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style1.xml" ContentType="application/vnd.ms-office.chartstyle+xml"/>
  <Override PartName="/word/charts/colors1.xml" ContentType="application/vnd.ms-office.chartcolorstyle+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7E57A" w14:textId="77777777" w:rsidR="00255B2F" w:rsidRDefault="00255B2F" w:rsidP="00601509">
      <w:pPr>
        <w:pStyle w:val="Title"/>
        <w:ind w:right="3968"/>
      </w:pPr>
      <w:r w:rsidRPr="00D13AF1">
        <w:t xml:space="preserve">Regulatory approaches to telemedicine </w:t>
      </w:r>
    </w:p>
    <w:p w14:paraId="7CFFD81E" w14:textId="54A9C028" w:rsidR="00312873" w:rsidRDefault="007652AF" w:rsidP="00312873">
      <w:pPr>
        <w:pStyle w:val="Title"/>
        <w:ind w:right="3968"/>
        <w:rPr>
          <w:sz w:val="36"/>
          <w:szCs w:val="36"/>
        </w:rPr>
      </w:pPr>
      <w:r>
        <w:rPr>
          <w:noProof/>
        </w:rPr>
        <mc:AlternateContent>
          <mc:Choice Requires="wps">
            <w:drawing>
              <wp:anchor distT="45720" distB="45720" distL="114300" distR="114300" simplePos="0" relativeHeight="251666432" behindDoc="0" locked="0" layoutInCell="1" allowOverlap="1" wp14:anchorId="160B2464" wp14:editId="77352901">
                <wp:simplePos x="0" y="0"/>
                <wp:positionH relativeFrom="column">
                  <wp:posOffset>-370205</wp:posOffset>
                </wp:positionH>
                <wp:positionV relativeFrom="paragraph">
                  <wp:posOffset>428625</wp:posOffset>
                </wp:positionV>
                <wp:extent cx="2360930" cy="1404620"/>
                <wp:effectExtent l="0" t="0" r="127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4540700" w14:textId="6224CFDF" w:rsidR="007652AF" w:rsidRPr="007652AF" w:rsidRDefault="007652AF">
                            <w:pPr>
                              <w:rPr>
                                <w:sz w:val="36"/>
                                <w:szCs w:val="32"/>
                              </w:rPr>
                            </w:pPr>
                            <w:r w:rsidRPr="007652AF">
                              <w:rPr>
                                <w:sz w:val="36"/>
                                <w:szCs w:val="32"/>
                              </w:rPr>
                              <w:t>18 December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60B2464" id="_x0000_t202" coordsize="21600,21600" o:spt="202" path="m,l,21600r21600,l21600,xe">
                <v:stroke joinstyle="miter"/>
                <v:path gradientshapeok="t" o:connecttype="rect"/>
              </v:shapetype>
              <v:shape id="Text Box 2" o:spid="_x0000_s1026" type="#_x0000_t202" style="position:absolute;left:0;text-align:left;margin-left:-29.15pt;margin-top:33.75pt;width:185.9pt;height:110.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" stroked="f">
                <v:textbox style="mso-fit-shape-to-text:t">
                  <w:txbxContent>
                    <w:p w14:paraId="44540700" w14:textId="6224CFDF" w:rsidR="007652AF" w:rsidRPr="007652AF" w:rsidRDefault="007652AF">
                      <w:pPr>
                        <w:rPr>
                          <w:sz w:val="36"/>
                          <w:szCs w:val="32"/>
                        </w:rPr>
                      </w:pPr>
                      <w:r w:rsidRPr="007652AF">
                        <w:rPr>
                          <w:sz w:val="36"/>
                          <w:szCs w:val="32"/>
                        </w:rPr>
                        <w:t>18 December 2017</w:t>
                      </w:r>
                    </w:p>
                  </w:txbxContent>
                </v:textbox>
                <w10:wrap type="square"/>
              </v:shape>
            </w:pict>
          </mc:Fallback>
        </mc:AlternateContent>
      </w:r>
    </w:p>
    <w:p w14:paraId="753EE0B9" w14:textId="1E94FC8F" w:rsidR="002B229F" w:rsidRPr="00D13AF1" w:rsidRDefault="002B229F" w:rsidP="007652AF">
      <w:pPr>
        <w:tabs>
          <w:tab w:val="clear" w:pos="280"/>
          <w:tab w:val="clear" w:pos="4800"/>
          <w:tab w:val="clear" w:pos="5780"/>
        </w:tabs>
        <w:suppressAutoHyphens w:val="0"/>
        <w:autoSpaceDE/>
        <w:autoSpaceDN/>
        <w:adjustRightInd/>
        <w:spacing w:after="200" w:line="276" w:lineRule="auto"/>
        <w:textAlignment w:val="auto"/>
      </w:pPr>
    </w:p>
    <w:p w14:paraId="08401717" w14:textId="19B06A87" w:rsidR="002B229F" w:rsidRPr="00D13AF1" w:rsidRDefault="00AC07CF" w:rsidP="002B229F">
      <w:pPr>
        <w:tabs>
          <w:tab w:val="clear" w:pos="280"/>
          <w:tab w:val="clear" w:pos="4800"/>
          <w:tab w:val="clear" w:pos="5780"/>
        </w:tabs>
        <w:suppressAutoHyphens w:val="0"/>
        <w:autoSpaceDE/>
        <w:autoSpaceDN/>
        <w:adjustRightInd/>
        <w:spacing w:after="200" w:line="276" w:lineRule="auto"/>
        <w:textAlignment w:val="auto"/>
        <w:sectPr w:rsidR="002B229F" w:rsidRPr="00D13AF1" w:rsidSect="0020091B">
          <w:footerReference w:type="default" r:id="rId8"/>
          <w:headerReference w:type="first" r:id="rId9"/>
          <w:pgSz w:w="11906" w:h="16838" w:code="9"/>
          <w:pgMar w:top="8364" w:right="1134" w:bottom="1134" w:left="1134" w:header="567" w:footer="397" w:gutter="0"/>
          <w:cols w:space="708"/>
          <w:vAlign w:val="center"/>
          <w:docGrid w:linePitch="360"/>
        </w:sectPr>
      </w:pPr>
      <w:r w:rsidRPr="00D13AF1">
        <w:rPr>
          <w:noProof/>
          <w:lang w:eastAsia="en-GB"/>
        </w:rPr>
        <w:drawing>
          <wp:anchor distT="0" distB="0" distL="114300" distR="114300" simplePos="0" relativeHeight="251654144" behindDoc="1" locked="1" layoutInCell="1" allowOverlap="1" wp14:anchorId="17419F38" wp14:editId="795448FD">
            <wp:simplePos x="0" y="0"/>
            <wp:positionH relativeFrom="page">
              <wp:posOffset>0</wp:posOffset>
            </wp:positionH>
            <wp:positionV relativeFrom="page">
              <wp:posOffset>6985</wp:posOffset>
            </wp:positionV>
            <wp:extent cx="7562850" cy="106775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v3 F1 cop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2850"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C286D4" w14:textId="77777777" w:rsidR="008A3C01" w:rsidRPr="00D13AF1" w:rsidRDefault="008A3C01" w:rsidP="00290607">
      <w:pPr>
        <w:pStyle w:val="Tablenote"/>
      </w:pPr>
      <w:r w:rsidRPr="00D13AF1">
        <w:lastRenderedPageBreak/>
        <w:t>Europe Economics is registered in England No</w:t>
      </w:r>
      <w:r w:rsidR="002121D4" w:rsidRPr="00D13AF1">
        <w:t xml:space="preserve">.  </w:t>
      </w:r>
      <w:r w:rsidRPr="00D13AF1">
        <w:t>3477100</w:t>
      </w:r>
      <w:r w:rsidR="002121D4" w:rsidRPr="00D13AF1">
        <w:t xml:space="preserve">.  </w:t>
      </w:r>
      <w:r w:rsidRPr="00D13AF1">
        <w:t>Registered offices at Chancery House, 53-64 Chancery Lane, London WC2A 1QU.</w:t>
      </w:r>
    </w:p>
    <w:p w14:paraId="4ABB32B4" w14:textId="77777777" w:rsidR="00625CA6" w:rsidRPr="00D13AF1" w:rsidRDefault="008A3C01" w:rsidP="00290607">
      <w:pPr>
        <w:pStyle w:val="Tablenote"/>
      </w:pPr>
      <w:r w:rsidRPr="00D13AF1">
        <w:t>Whilst every effort has been made to ensure the accuracy of the information/material contained in this report, Europe Economics assumes no responsibility for and gives no guarantees, undertakings or warranties concerning the accuracy, completeness or up to date nature of the information/analysis provided in the report and does not accept any liability whatsoever arising from any errors or omissions</w:t>
      </w:r>
      <w:r w:rsidR="00625CA6" w:rsidRPr="00D13AF1">
        <w:t>.</w:t>
      </w:r>
      <w:r w:rsidRPr="00D13AF1">
        <w:t xml:space="preserve"> </w:t>
      </w:r>
    </w:p>
    <w:p w14:paraId="0A950C5E" w14:textId="77777777" w:rsidR="008A3C01" w:rsidRPr="00D13AF1" w:rsidRDefault="008A3C01" w:rsidP="00290607">
      <w:pPr>
        <w:pStyle w:val="Tablenote"/>
      </w:pPr>
      <w:r w:rsidRPr="00D13AF1">
        <w:t>© Europe Economics</w:t>
      </w:r>
      <w:r w:rsidR="002121D4" w:rsidRPr="00D13AF1">
        <w:t xml:space="preserve">.  </w:t>
      </w:r>
      <w:r w:rsidRPr="00D13AF1">
        <w:t>All rights reserved</w:t>
      </w:r>
      <w:r w:rsidR="002121D4" w:rsidRPr="00D13AF1">
        <w:t xml:space="preserve">.  </w:t>
      </w:r>
      <w:r w:rsidRPr="00D13AF1">
        <w:t>Except for the quotation of short passages for the purpose of criticism or review, no part may be used or reproduced without permission.</w:t>
      </w:r>
    </w:p>
    <w:p w14:paraId="130837FC" w14:textId="77777777" w:rsidR="008A3C01" w:rsidRPr="00D13AF1" w:rsidRDefault="008A3C01" w:rsidP="006C7FD8">
      <w:pPr>
        <w:pStyle w:val="BodyEE"/>
        <w:sectPr w:rsidR="008A3C01" w:rsidRPr="00D13AF1" w:rsidSect="008A3C01">
          <w:headerReference w:type="first" r:id="rId11"/>
          <w:pgSz w:w="11906" w:h="16838" w:code="9"/>
          <w:pgMar w:top="1701" w:right="1134" w:bottom="1134" w:left="1134" w:header="567" w:footer="397" w:gutter="0"/>
          <w:cols w:space="708"/>
          <w:vAlign w:val="bottom"/>
          <w:titlePg/>
          <w:docGrid w:linePitch="360"/>
        </w:sectPr>
      </w:pPr>
    </w:p>
    <w:p w14:paraId="3D587D1D" w14:textId="77777777" w:rsidR="00084B9D" w:rsidRPr="00D13AF1" w:rsidRDefault="00084B9D" w:rsidP="00490E1A">
      <w:pPr>
        <w:spacing w:after="640"/>
        <w:rPr>
          <w:rFonts w:asciiTheme="majorHAnsi" w:hAnsiTheme="majorHAnsi"/>
          <w:color w:val="683493" w:themeColor="accent1"/>
          <w:sz w:val="60"/>
          <w:szCs w:val="60"/>
        </w:rPr>
      </w:pPr>
      <w:r w:rsidRPr="00D13AF1">
        <w:rPr>
          <w:rFonts w:asciiTheme="majorHAnsi" w:hAnsiTheme="majorHAnsi"/>
          <w:color w:val="683493" w:themeColor="accent1"/>
          <w:sz w:val="60"/>
          <w:szCs w:val="60"/>
        </w:rPr>
        <w:lastRenderedPageBreak/>
        <w:t>Contents</w:t>
      </w:r>
    </w:p>
    <w:p w14:paraId="764D399B" w14:textId="77777777" w:rsidR="00B51130" w:rsidRDefault="00490E1A">
      <w:pPr>
        <w:pStyle w:val="TOC1"/>
        <w:tabs>
          <w:tab w:val="right" w:leader="dot" w:pos="9628"/>
        </w:tabs>
        <w:rPr>
          <w:rFonts w:eastAsiaTheme="minorEastAsia" w:cstheme="minorBidi"/>
          <w:noProof/>
          <w:color w:val="auto"/>
          <w:szCs w:val="22"/>
          <w:lang w:eastAsia="en-GB"/>
        </w:rPr>
      </w:pPr>
      <w:r w:rsidRPr="00D13AF1">
        <w:fldChar w:fldCharType="begin"/>
      </w:r>
      <w:r w:rsidRPr="00D13AF1">
        <w:instrText xml:space="preserve"> TOC \o "2-2" \h \z \t "Heading 1,1,Heading 1 Blue,1,Heading 1 Grey,1,Heading 1 Pink,1,Heading 1 Dark Pink,1,Heading 1 Dark Grey,1" </w:instrText>
      </w:r>
      <w:r w:rsidRPr="00D13AF1">
        <w:fldChar w:fldCharType="separate"/>
      </w:r>
      <w:hyperlink w:anchor="_Toc504484099" w:history="1">
        <w:r w:rsidR="00B51130" w:rsidRPr="00B2284F">
          <w:rPr>
            <w:rStyle w:val="Hyperlink"/>
            <w:noProof/>
          </w:rPr>
          <w:t>Executive Summary</w:t>
        </w:r>
        <w:r w:rsidR="00B51130">
          <w:rPr>
            <w:noProof/>
            <w:webHidden/>
          </w:rPr>
          <w:tab/>
        </w:r>
        <w:r w:rsidR="00B51130">
          <w:rPr>
            <w:noProof/>
            <w:webHidden/>
          </w:rPr>
          <w:fldChar w:fldCharType="begin"/>
        </w:r>
        <w:r w:rsidR="00B51130">
          <w:rPr>
            <w:noProof/>
            <w:webHidden/>
          </w:rPr>
          <w:instrText xml:space="preserve"> PAGEREF _Toc504484099 \h </w:instrText>
        </w:r>
        <w:r w:rsidR="00B51130">
          <w:rPr>
            <w:noProof/>
            <w:webHidden/>
          </w:rPr>
        </w:r>
        <w:r w:rsidR="00B51130">
          <w:rPr>
            <w:noProof/>
            <w:webHidden/>
          </w:rPr>
          <w:fldChar w:fldCharType="separate"/>
        </w:r>
        <w:r w:rsidR="00B51130">
          <w:rPr>
            <w:noProof/>
            <w:webHidden/>
          </w:rPr>
          <w:t>4</w:t>
        </w:r>
        <w:r w:rsidR="00B51130">
          <w:rPr>
            <w:noProof/>
            <w:webHidden/>
          </w:rPr>
          <w:fldChar w:fldCharType="end"/>
        </w:r>
      </w:hyperlink>
    </w:p>
    <w:p w14:paraId="0BA7DD88" w14:textId="77777777" w:rsidR="00B51130" w:rsidRDefault="00000000">
      <w:pPr>
        <w:pStyle w:val="TOC1"/>
        <w:tabs>
          <w:tab w:val="left" w:pos="480"/>
          <w:tab w:val="right" w:leader="dot" w:pos="9628"/>
        </w:tabs>
        <w:rPr>
          <w:rFonts w:eastAsiaTheme="minorEastAsia" w:cstheme="minorBidi"/>
          <w:noProof/>
          <w:color w:val="auto"/>
          <w:szCs w:val="22"/>
          <w:lang w:eastAsia="en-GB"/>
        </w:rPr>
      </w:pPr>
      <w:hyperlink w:anchor="_Toc504484100" w:history="1">
        <w:r w:rsidR="00B51130" w:rsidRPr="00B2284F">
          <w:rPr>
            <w:rStyle w:val="Hyperlink"/>
            <w:noProof/>
          </w:rPr>
          <w:t>1</w:t>
        </w:r>
        <w:r w:rsidR="00B51130">
          <w:rPr>
            <w:rFonts w:eastAsiaTheme="minorEastAsia" w:cstheme="minorBidi"/>
            <w:noProof/>
            <w:color w:val="auto"/>
            <w:szCs w:val="22"/>
            <w:lang w:eastAsia="en-GB"/>
          </w:rPr>
          <w:tab/>
        </w:r>
        <w:r w:rsidR="00B51130" w:rsidRPr="00B2284F">
          <w:rPr>
            <w:rStyle w:val="Hyperlink"/>
            <w:noProof/>
          </w:rPr>
          <w:t>Introduction</w:t>
        </w:r>
        <w:r w:rsidR="00B51130">
          <w:rPr>
            <w:noProof/>
            <w:webHidden/>
          </w:rPr>
          <w:tab/>
        </w:r>
        <w:r w:rsidR="00B51130">
          <w:rPr>
            <w:noProof/>
            <w:webHidden/>
          </w:rPr>
          <w:fldChar w:fldCharType="begin"/>
        </w:r>
        <w:r w:rsidR="00B51130">
          <w:rPr>
            <w:noProof/>
            <w:webHidden/>
          </w:rPr>
          <w:instrText xml:space="preserve"> PAGEREF _Toc504484100 \h </w:instrText>
        </w:r>
        <w:r w:rsidR="00B51130">
          <w:rPr>
            <w:noProof/>
            <w:webHidden/>
          </w:rPr>
        </w:r>
        <w:r w:rsidR="00B51130">
          <w:rPr>
            <w:noProof/>
            <w:webHidden/>
          </w:rPr>
          <w:fldChar w:fldCharType="separate"/>
        </w:r>
        <w:r w:rsidR="00B51130">
          <w:rPr>
            <w:noProof/>
            <w:webHidden/>
          </w:rPr>
          <w:t>1</w:t>
        </w:r>
        <w:r w:rsidR="00B51130">
          <w:rPr>
            <w:noProof/>
            <w:webHidden/>
          </w:rPr>
          <w:fldChar w:fldCharType="end"/>
        </w:r>
      </w:hyperlink>
    </w:p>
    <w:p w14:paraId="41EA6560" w14:textId="77777777" w:rsidR="00B51130" w:rsidRDefault="00000000">
      <w:pPr>
        <w:pStyle w:val="TOC2"/>
        <w:rPr>
          <w:rFonts w:eastAsiaTheme="minorEastAsia" w:cstheme="minorBidi"/>
          <w:noProof/>
          <w:color w:val="auto"/>
          <w:szCs w:val="22"/>
          <w:lang w:eastAsia="en-GB"/>
        </w:rPr>
      </w:pPr>
      <w:hyperlink w:anchor="_Toc504484101" w:history="1">
        <w:r w:rsidR="00B51130" w:rsidRPr="00B2284F">
          <w:rPr>
            <w:rStyle w:val="Hyperlink"/>
            <w:noProof/>
          </w:rPr>
          <w:t>1.1</w:t>
        </w:r>
        <w:r w:rsidR="00B51130">
          <w:rPr>
            <w:rFonts w:eastAsiaTheme="minorEastAsia" w:cstheme="minorBidi"/>
            <w:noProof/>
            <w:color w:val="auto"/>
            <w:szCs w:val="22"/>
            <w:lang w:eastAsia="en-GB"/>
          </w:rPr>
          <w:tab/>
        </w:r>
        <w:r w:rsidR="00B51130" w:rsidRPr="00B2284F">
          <w:rPr>
            <w:rStyle w:val="Hyperlink"/>
            <w:noProof/>
          </w:rPr>
          <w:t>About this study</w:t>
        </w:r>
        <w:r w:rsidR="00B51130">
          <w:rPr>
            <w:noProof/>
            <w:webHidden/>
          </w:rPr>
          <w:tab/>
        </w:r>
        <w:r w:rsidR="00B51130">
          <w:rPr>
            <w:noProof/>
            <w:webHidden/>
          </w:rPr>
          <w:fldChar w:fldCharType="begin"/>
        </w:r>
        <w:r w:rsidR="00B51130">
          <w:rPr>
            <w:noProof/>
            <w:webHidden/>
          </w:rPr>
          <w:instrText xml:space="preserve"> PAGEREF _Toc504484101 \h </w:instrText>
        </w:r>
        <w:r w:rsidR="00B51130">
          <w:rPr>
            <w:noProof/>
            <w:webHidden/>
          </w:rPr>
        </w:r>
        <w:r w:rsidR="00B51130">
          <w:rPr>
            <w:noProof/>
            <w:webHidden/>
          </w:rPr>
          <w:fldChar w:fldCharType="separate"/>
        </w:r>
        <w:r w:rsidR="00B51130">
          <w:rPr>
            <w:noProof/>
            <w:webHidden/>
          </w:rPr>
          <w:t>1</w:t>
        </w:r>
        <w:r w:rsidR="00B51130">
          <w:rPr>
            <w:noProof/>
            <w:webHidden/>
          </w:rPr>
          <w:fldChar w:fldCharType="end"/>
        </w:r>
      </w:hyperlink>
    </w:p>
    <w:p w14:paraId="583FEBD7" w14:textId="77777777" w:rsidR="00B51130" w:rsidRDefault="00000000">
      <w:pPr>
        <w:pStyle w:val="TOC2"/>
        <w:rPr>
          <w:rFonts w:eastAsiaTheme="minorEastAsia" w:cstheme="minorBidi"/>
          <w:noProof/>
          <w:color w:val="auto"/>
          <w:szCs w:val="22"/>
          <w:lang w:eastAsia="en-GB"/>
        </w:rPr>
      </w:pPr>
      <w:hyperlink w:anchor="_Toc504484102" w:history="1">
        <w:r w:rsidR="00B51130" w:rsidRPr="00B2284F">
          <w:rPr>
            <w:rStyle w:val="Hyperlink"/>
            <w:noProof/>
          </w:rPr>
          <w:t>1.2</w:t>
        </w:r>
        <w:r w:rsidR="00B51130">
          <w:rPr>
            <w:rFonts w:eastAsiaTheme="minorEastAsia" w:cstheme="minorBidi"/>
            <w:noProof/>
            <w:color w:val="auto"/>
            <w:szCs w:val="22"/>
            <w:lang w:eastAsia="en-GB"/>
          </w:rPr>
          <w:tab/>
        </w:r>
        <w:r w:rsidR="00B51130" w:rsidRPr="00B2284F">
          <w:rPr>
            <w:rStyle w:val="Hyperlink"/>
            <w:noProof/>
          </w:rPr>
          <w:t>Background to telemedicine and this study</w:t>
        </w:r>
        <w:r w:rsidR="00B51130">
          <w:rPr>
            <w:noProof/>
            <w:webHidden/>
          </w:rPr>
          <w:tab/>
        </w:r>
        <w:r w:rsidR="00B51130">
          <w:rPr>
            <w:noProof/>
            <w:webHidden/>
          </w:rPr>
          <w:fldChar w:fldCharType="begin"/>
        </w:r>
        <w:r w:rsidR="00B51130">
          <w:rPr>
            <w:noProof/>
            <w:webHidden/>
          </w:rPr>
          <w:instrText xml:space="preserve"> PAGEREF _Toc504484102 \h </w:instrText>
        </w:r>
        <w:r w:rsidR="00B51130">
          <w:rPr>
            <w:noProof/>
            <w:webHidden/>
          </w:rPr>
        </w:r>
        <w:r w:rsidR="00B51130">
          <w:rPr>
            <w:noProof/>
            <w:webHidden/>
          </w:rPr>
          <w:fldChar w:fldCharType="separate"/>
        </w:r>
        <w:r w:rsidR="00B51130">
          <w:rPr>
            <w:noProof/>
            <w:webHidden/>
          </w:rPr>
          <w:t>1</w:t>
        </w:r>
        <w:r w:rsidR="00B51130">
          <w:rPr>
            <w:noProof/>
            <w:webHidden/>
          </w:rPr>
          <w:fldChar w:fldCharType="end"/>
        </w:r>
      </w:hyperlink>
    </w:p>
    <w:p w14:paraId="27477A63" w14:textId="77777777" w:rsidR="00B51130" w:rsidRDefault="00000000">
      <w:pPr>
        <w:pStyle w:val="TOC2"/>
        <w:rPr>
          <w:rFonts w:eastAsiaTheme="minorEastAsia" w:cstheme="minorBidi"/>
          <w:noProof/>
          <w:color w:val="auto"/>
          <w:szCs w:val="22"/>
          <w:lang w:eastAsia="en-GB"/>
        </w:rPr>
      </w:pPr>
      <w:hyperlink w:anchor="_Toc504484103" w:history="1">
        <w:r w:rsidR="00B51130" w:rsidRPr="00B2284F">
          <w:rPr>
            <w:rStyle w:val="Hyperlink"/>
            <w:noProof/>
          </w:rPr>
          <w:t>1.3</w:t>
        </w:r>
        <w:r w:rsidR="00B51130">
          <w:rPr>
            <w:rFonts w:eastAsiaTheme="minorEastAsia" w:cstheme="minorBidi"/>
            <w:noProof/>
            <w:color w:val="auto"/>
            <w:szCs w:val="22"/>
            <w:lang w:eastAsia="en-GB"/>
          </w:rPr>
          <w:tab/>
        </w:r>
        <w:r w:rsidR="00B51130" w:rsidRPr="00B2284F">
          <w:rPr>
            <w:rStyle w:val="Hyperlink"/>
            <w:noProof/>
          </w:rPr>
          <w:t>Research questions</w:t>
        </w:r>
        <w:r w:rsidR="00B51130">
          <w:rPr>
            <w:noProof/>
            <w:webHidden/>
          </w:rPr>
          <w:tab/>
        </w:r>
        <w:r w:rsidR="00B51130">
          <w:rPr>
            <w:noProof/>
            <w:webHidden/>
          </w:rPr>
          <w:fldChar w:fldCharType="begin"/>
        </w:r>
        <w:r w:rsidR="00B51130">
          <w:rPr>
            <w:noProof/>
            <w:webHidden/>
          </w:rPr>
          <w:instrText xml:space="preserve"> PAGEREF _Toc504484103 \h </w:instrText>
        </w:r>
        <w:r w:rsidR="00B51130">
          <w:rPr>
            <w:noProof/>
            <w:webHidden/>
          </w:rPr>
        </w:r>
        <w:r w:rsidR="00B51130">
          <w:rPr>
            <w:noProof/>
            <w:webHidden/>
          </w:rPr>
          <w:fldChar w:fldCharType="separate"/>
        </w:r>
        <w:r w:rsidR="00B51130">
          <w:rPr>
            <w:noProof/>
            <w:webHidden/>
          </w:rPr>
          <w:t>3</w:t>
        </w:r>
        <w:r w:rsidR="00B51130">
          <w:rPr>
            <w:noProof/>
            <w:webHidden/>
          </w:rPr>
          <w:fldChar w:fldCharType="end"/>
        </w:r>
      </w:hyperlink>
    </w:p>
    <w:p w14:paraId="7C2EF54A" w14:textId="77777777" w:rsidR="00B51130" w:rsidRDefault="00000000">
      <w:pPr>
        <w:pStyle w:val="TOC2"/>
        <w:rPr>
          <w:rFonts w:eastAsiaTheme="minorEastAsia" w:cstheme="minorBidi"/>
          <w:noProof/>
          <w:color w:val="auto"/>
          <w:szCs w:val="22"/>
          <w:lang w:eastAsia="en-GB"/>
        </w:rPr>
      </w:pPr>
      <w:hyperlink w:anchor="_Toc504484104" w:history="1">
        <w:r w:rsidR="00B51130" w:rsidRPr="00B2284F">
          <w:rPr>
            <w:rStyle w:val="Hyperlink"/>
            <w:noProof/>
          </w:rPr>
          <w:t>1.4</w:t>
        </w:r>
        <w:r w:rsidR="00B51130">
          <w:rPr>
            <w:rFonts w:eastAsiaTheme="minorEastAsia" w:cstheme="minorBidi"/>
            <w:noProof/>
            <w:color w:val="auto"/>
            <w:szCs w:val="22"/>
            <w:lang w:eastAsia="en-GB"/>
          </w:rPr>
          <w:tab/>
        </w:r>
        <w:r w:rsidR="00B51130" w:rsidRPr="00B2284F">
          <w:rPr>
            <w:rStyle w:val="Hyperlink"/>
            <w:noProof/>
          </w:rPr>
          <w:t>Approach to the research</w:t>
        </w:r>
        <w:r w:rsidR="00B51130">
          <w:rPr>
            <w:noProof/>
            <w:webHidden/>
          </w:rPr>
          <w:tab/>
        </w:r>
        <w:r w:rsidR="00B51130">
          <w:rPr>
            <w:noProof/>
            <w:webHidden/>
          </w:rPr>
          <w:fldChar w:fldCharType="begin"/>
        </w:r>
        <w:r w:rsidR="00B51130">
          <w:rPr>
            <w:noProof/>
            <w:webHidden/>
          </w:rPr>
          <w:instrText xml:space="preserve"> PAGEREF _Toc504484104 \h </w:instrText>
        </w:r>
        <w:r w:rsidR="00B51130">
          <w:rPr>
            <w:noProof/>
            <w:webHidden/>
          </w:rPr>
        </w:r>
        <w:r w:rsidR="00B51130">
          <w:rPr>
            <w:noProof/>
            <w:webHidden/>
          </w:rPr>
          <w:fldChar w:fldCharType="separate"/>
        </w:r>
        <w:r w:rsidR="00B51130">
          <w:rPr>
            <w:noProof/>
            <w:webHidden/>
          </w:rPr>
          <w:t>3</w:t>
        </w:r>
        <w:r w:rsidR="00B51130">
          <w:rPr>
            <w:noProof/>
            <w:webHidden/>
          </w:rPr>
          <w:fldChar w:fldCharType="end"/>
        </w:r>
      </w:hyperlink>
    </w:p>
    <w:p w14:paraId="3085031B" w14:textId="77777777" w:rsidR="00B51130" w:rsidRDefault="00000000">
      <w:pPr>
        <w:pStyle w:val="TOC2"/>
        <w:rPr>
          <w:rFonts w:eastAsiaTheme="minorEastAsia" w:cstheme="minorBidi"/>
          <w:noProof/>
          <w:color w:val="auto"/>
          <w:szCs w:val="22"/>
          <w:lang w:eastAsia="en-GB"/>
        </w:rPr>
      </w:pPr>
      <w:hyperlink w:anchor="_Toc504484105" w:history="1">
        <w:r w:rsidR="00B51130" w:rsidRPr="00B2284F">
          <w:rPr>
            <w:rStyle w:val="Hyperlink"/>
            <w:noProof/>
          </w:rPr>
          <w:t>1.5</w:t>
        </w:r>
        <w:r w:rsidR="00B51130">
          <w:rPr>
            <w:rFonts w:eastAsiaTheme="minorEastAsia" w:cstheme="minorBidi"/>
            <w:noProof/>
            <w:color w:val="auto"/>
            <w:szCs w:val="22"/>
            <w:lang w:eastAsia="en-GB"/>
          </w:rPr>
          <w:tab/>
        </w:r>
        <w:r w:rsidR="00B51130" w:rsidRPr="00B2284F">
          <w:rPr>
            <w:rStyle w:val="Hyperlink"/>
            <w:noProof/>
          </w:rPr>
          <w:t>Structure of the report</w:t>
        </w:r>
        <w:r w:rsidR="00B51130">
          <w:rPr>
            <w:noProof/>
            <w:webHidden/>
          </w:rPr>
          <w:tab/>
        </w:r>
        <w:r w:rsidR="00B51130">
          <w:rPr>
            <w:noProof/>
            <w:webHidden/>
          </w:rPr>
          <w:fldChar w:fldCharType="begin"/>
        </w:r>
        <w:r w:rsidR="00B51130">
          <w:rPr>
            <w:noProof/>
            <w:webHidden/>
          </w:rPr>
          <w:instrText xml:space="preserve"> PAGEREF _Toc504484105 \h </w:instrText>
        </w:r>
        <w:r w:rsidR="00B51130">
          <w:rPr>
            <w:noProof/>
            <w:webHidden/>
          </w:rPr>
        </w:r>
        <w:r w:rsidR="00B51130">
          <w:rPr>
            <w:noProof/>
            <w:webHidden/>
          </w:rPr>
          <w:fldChar w:fldCharType="separate"/>
        </w:r>
        <w:r w:rsidR="00B51130">
          <w:rPr>
            <w:noProof/>
            <w:webHidden/>
          </w:rPr>
          <w:t>8</w:t>
        </w:r>
        <w:r w:rsidR="00B51130">
          <w:rPr>
            <w:noProof/>
            <w:webHidden/>
          </w:rPr>
          <w:fldChar w:fldCharType="end"/>
        </w:r>
      </w:hyperlink>
    </w:p>
    <w:p w14:paraId="79D4F9F2" w14:textId="77777777" w:rsidR="00B51130" w:rsidRDefault="00000000">
      <w:pPr>
        <w:pStyle w:val="TOC1"/>
        <w:tabs>
          <w:tab w:val="left" w:pos="480"/>
          <w:tab w:val="right" w:leader="dot" w:pos="9628"/>
        </w:tabs>
        <w:rPr>
          <w:rFonts w:eastAsiaTheme="minorEastAsia" w:cstheme="minorBidi"/>
          <w:noProof/>
          <w:color w:val="auto"/>
          <w:szCs w:val="22"/>
          <w:lang w:eastAsia="en-GB"/>
        </w:rPr>
      </w:pPr>
      <w:hyperlink w:anchor="_Toc504484106" w:history="1">
        <w:r w:rsidR="00B51130" w:rsidRPr="00B2284F">
          <w:rPr>
            <w:rStyle w:val="Hyperlink"/>
            <w:noProof/>
          </w:rPr>
          <w:t>2</w:t>
        </w:r>
        <w:r w:rsidR="00B51130">
          <w:rPr>
            <w:rFonts w:eastAsiaTheme="minorEastAsia" w:cstheme="minorBidi"/>
            <w:noProof/>
            <w:color w:val="auto"/>
            <w:szCs w:val="22"/>
            <w:lang w:eastAsia="en-GB"/>
          </w:rPr>
          <w:tab/>
        </w:r>
        <w:r w:rsidR="00B51130" w:rsidRPr="00B2284F">
          <w:rPr>
            <w:rStyle w:val="Hyperlink"/>
            <w:noProof/>
          </w:rPr>
          <w:t>Regulatory Context</w:t>
        </w:r>
        <w:r w:rsidR="00B51130">
          <w:rPr>
            <w:noProof/>
            <w:webHidden/>
          </w:rPr>
          <w:tab/>
        </w:r>
        <w:r w:rsidR="00B51130">
          <w:rPr>
            <w:noProof/>
            <w:webHidden/>
          </w:rPr>
          <w:fldChar w:fldCharType="begin"/>
        </w:r>
        <w:r w:rsidR="00B51130">
          <w:rPr>
            <w:noProof/>
            <w:webHidden/>
          </w:rPr>
          <w:instrText xml:space="preserve"> PAGEREF _Toc504484106 \h </w:instrText>
        </w:r>
        <w:r w:rsidR="00B51130">
          <w:rPr>
            <w:noProof/>
            <w:webHidden/>
          </w:rPr>
        </w:r>
        <w:r w:rsidR="00B51130">
          <w:rPr>
            <w:noProof/>
            <w:webHidden/>
          </w:rPr>
          <w:fldChar w:fldCharType="separate"/>
        </w:r>
        <w:r w:rsidR="00B51130">
          <w:rPr>
            <w:noProof/>
            <w:webHidden/>
          </w:rPr>
          <w:t>9</w:t>
        </w:r>
        <w:r w:rsidR="00B51130">
          <w:rPr>
            <w:noProof/>
            <w:webHidden/>
          </w:rPr>
          <w:fldChar w:fldCharType="end"/>
        </w:r>
      </w:hyperlink>
    </w:p>
    <w:p w14:paraId="7A85C2A1" w14:textId="77777777" w:rsidR="00B51130" w:rsidRDefault="00000000">
      <w:pPr>
        <w:pStyle w:val="TOC2"/>
        <w:rPr>
          <w:rFonts w:eastAsiaTheme="minorEastAsia" w:cstheme="minorBidi"/>
          <w:noProof/>
          <w:color w:val="auto"/>
          <w:szCs w:val="22"/>
          <w:lang w:eastAsia="en-GB"/>
        </w:rPr>
      </w:pPr>
      <w:hyperlink w:anchor="_Toc504484107" w:history="1">
        <w:r w:rsidR="00B51130" w:rsidRPr="00B2284F">
          <w:rPr>
            <w:rStyle w:val="Hyperlink"/>
            <w:noProof/>
          </w:rPr>
          <w:t>2.1</w:t>
        </w:r>
        <w:r w:rsidR="00B51130">
          <w:rPr>
            <w:rFonts w:eastAsiaTheme="minorEastAsia" w:cstheme="minorBidi"/>
            <w:noProof/>
            <w:color w:val="auto"/>
            <w:szCs w:val="22"/>
            <w:lang w:eastAsia="en-GB"/>
          </w:rPr>
          <w:tab/>
        </w:r>
        <w:r w:rsidR="00B51130" w:rsidRPr="00B2284F">
          <w:rPr>
            <w:rStyle w:val="Hyperlink"/>
            <w:noProof/>
          </w:rPr>
          <w:t>Analytical dimensions informing our approach to the research</w:t>
        </w:r>
        <w:r w:rsidR="00B51130">
          <w:rPr>
            <w:noProof/>
            <w:webHidden/>
          </w:rPr>
          <w:tab/>
        </w:r>
        <w:r w:rsidR="00B51130">
          <w:rPr>
            <w:noProof/>
            <w:webHidden/>
          </w:rPr>
          <w:fldChar w:fldCharType="begin"/>
        </w:r>
        <w:r w:rsidR="00B51130">
          <w:rPr>
            <w:noProof/>
            <w:webHidden/>
          </w:rPr>
          <w:instrText xml:space="preserve"> PAGEREF _Toc504484107 \h </w:instrText>
        </w:r>
        <w:r w:rsidR="00B51130">
          <w:rPr>
            <w:noProof/>
            <w:webHidden/>
          </w:rPr>
        </w:r>
        <w:r w:rsidR="00B51130">
          <w:rPr>
            <w:noProof/>
            <w:webHidden/>
          </w:rPr>
          <w:fldChar w:fldCharType="separate"/>
        </w:r>
        <w:r w:rsidR="00B51130">
          <w:rPr>
            <w:noProof/>
            <w:webHidden/>
          </w:rPr>
          <w:t>9</w:t>
        </w:r>
        <w:r w:rsidR="00B51130">
          <w:rPr>
            <w:noProof/>
            <w:webHidden/>
          </w:rPr>
          <w:fldChar w:fldCharType="end"/>
        </w:r>
      </w:hyperlink>
    </w:p>
    <w:p w14:paraId="7888954B" w14:textId="77777777" w:rsidR="00B51130" w:rsidRDefault="00000000">
      <w:pPr>
        <w:pStyle w:val="TOC2"/>
        <w:rPr>
          <w:rFonts w:eastAsiaTheme="minorEastAsia" w:cstheme="minorBidi"/>
          <w:noProof/>
          <w:color w:val="auto"/>
          <w:szCs w:val="22"/>
          <w:lang w:eastAsia="en-GB"/>
        </w:rPr>
      </w:pPr>
      <w:hyperlink w:anchor="_Toc504484108" w:history="1">
        <w:r w:rsidR="00B51130" w:rsidRPr="00B2284F">
          <w:rPr>
            <w:rStyle w:val="Hyperlink"/>
            <w:noProof/>
          </w:rPr>
          <w:t>2.2</w:t>
        </w:r>
        <w:r w:rsidR="00B51130">
          <w:rPr>
            <w:rFonts w:eastAsiaTheme="minorEastAsia" w:cstheme="minorBidi"/>
            <w:noProof/>
            <w:color w:val="auto"/>
            <w:szCs w:val="22"/>
            <w:lang w:eastAsia="en-GB"/>
          </w:rPr>
          <w:tab/>
        </w:r>
        <w:r w:rsidR="00B51130" w:rsidRPr="00B2284F">
          <w:rPr>
            <w:rStyle w:val="Hyperlink"/>
            <w:noProof/>
          </w:rPr>
          <w:t>Overview of regulatory frameworks in countries examined in this study</w:t>
        </w:r>
        <w:r w:rsidR="00B51130">
          <w:rPr>
            <w:noProof/>
            <w:webHidden/>
          </w:rPr>
          <w:tab/>
        </w:r>
        <w:r w:rsidR="00B51130">
          <w:rPr>
            <w:noProof/>
            <w:webHidden/>
          </w:rPr>
          <w:fldChar w:fldCharType="begin"/>
        </w:r>
        <w:r w:rsidR="00B51130">
          <w:rPr>
            <w:noProof/>
            <w:webHidden/>
          </w:rPr>
          <w:instrText xml:space="preserve"> PAGEREF _Toc504484108 \h </w:instrText>
        </w:r>
        <w:r w:rsidR="00B51130">
          <w:rPr>
            <w:noProof/>
            <w:webHidden/>
          </w:rPr>
        </w:r>
        <w:r w:rsidR="00B51130">
          <w:rPr>
            <w:noProof/>
            <w:webHidden/>
          </w:rPr>
          <w:fldChar w:fldCharType="separate"/>
        </w:r>
        <w:r w:rsidR="00B51130">
          <w:rPr>
            <w:noProof/>
            <w:webHidden/>
          </w:rPr>
          <w:t>10</w:t>
        </w:r>
        <w:r w:rsidR="00B51130">
          <w:rPr>
            <w:noProof/>
            <w:webHidden/>
          </w:rPr>
          <w:fldChar w:fldCharType="end"/>
        </w:r>
      </w:hyperlink>
    </w:p>
    <w:p w14:paraId="2AD4535C" w14:textId="77777777" w:rsidR="00B51130" w:rsidRDefault="00000000">
      <w:pPr>
        <w:pStyle w:val="TOC2"/>
        <w:rPr>
          <w:rFonts w:eastAsiaTheme="minorEastAsia" w:cstheme="minorBidi"/>
          <w:noProof/>
          <w:color w:val="auto"/>
          <w:szCs w:val="22"/>
          <w:lang w:eastAsia="en-GB"/>
        </w:rPr>
      </w:pPr>
      <w:hyperlink w:anchor="_Toc504484109" w:history="1">
        <w:r w:rsidR="00B51130" w:rsidRPr="00B2284F">
          <w:rPr>
            <w:rStyle w:val="Hyperlink"/>
            <w:noProof/>
          </w:rPr>
          <w:t>2.3</w:t>
        </w:r>
        <w:r w:rsidR="00B51130">
          <w:rPr>
            <w:rFonts w:eastAsiaTheme="minorEastAsia" w:cstheme="minorBidi"/>
            <w:noProof/>
            <w:color w:val="auto"/>
            <w:szCs w:val="22"/>
            <w:lang w:eastAsia="en-GB"/>
          </w:rPr>
          <w:tab/>
        </w:r>
        <w:r w:rsidR="00B51130" w:rsidRPr="00B2284F">
          <w:rPr>
            <w:rStyle w:val="Hyperlink"/>
            <w:noProof/>
          </w:rPr>
          <w:t>Regulating telemedicine in the UK</w:t>
        </w:r>
        <w:r w:rsidR="00B51130">
          <w:rPr>
            <w:noProof/>
            <w:webHidden/>
          </w:rPr>
          <w:tab/>
        </w:r>
        <w:r w:rsidR="00B51130">
          <w:rPr>
            <w:noProof/>
            <w:webHidden/>
          </w:rPr>
          <w:fldChar w:fldCharType="begin"/>
        </w:r>
        <w:r w:rsidR="00B51130">
          <w:rPr>
            <w:noProof/>
            <w:webHidden/>
          </w:rPr>
          <w:instrText xml:space="preserve"> PAGEREF _Toc504484109 \h </w:instrText>
        </w:r>
        <w:r w:rsidR="00B51130">
          <w:rPr>
            <w:noProof/>
            <w:webHidden/>
          </w:rPr>
        </w:r>
        <w:r w:rsidR="00B51130">
          <w:rPr>
            <w:noProof/>
            <w:webHidden/>
          </w:rPr>
          <w:fldChar w:fldCharType="separate"/>
        </w:r>
        <w:r w:rsidR="00B51130">
          <w:rPr>
            <w:noProof/>
            <w:webHidden/>
          </w:rPr>
          <w:t>16</w:t>
        </w:r>
        <w:r w:rsidR="00B51130">
          <w:rPr>
            <w:noProof/>
            <w:webHidden/>
          </w:rPr>
          <w:fldChar w:fldCharType="end"/>
        </w:r>
      </w:hyperlink>
    </w:p>
    <w:p w14:paraId="2E8EC6AA" w14:textId="77777777" w:rsidR="00B51130" w:rsidRDefault="00000000">
      <w:pPr>
        <w:pStyle w:val="TOC1"/>
        <w:tabs>
          <w:tab w:val="left" w:pos="480"/>
          <w:tab w:val="right" w:leader="dot" w:pos="9628"/>
        </w:tabs>
        <w:rPr>
          <w:rFonts w:eastAsiaTheme="minorEastAsia" w:cstheme="minorBidi"/>
          <w:noProof/>
          <w:color w:val="auto"/>
          <w:szCs w:val="22"/>
          <w:lang w:eastAsia="en-GB"/>
        </w:rPr>
      </w:pPr>
      <w:hyperlink w:anchor="_Toc504484110" w:history="1">
        <w:r w:rsidR="00B51130" w:rsidRPr="00B2284F">
          <w:rPr>
            <w:rStyle w:val="Hyperlink"/>
            <w:noProof/>
          </w:rPr>
          <w:t>3</w:t>
        </w:r>
        <w:r w:rsidR="00B51130">
          <w:rPr>
            <w:rFonts w:eastAsiaTheme="minorEastAsia" w:cstheme="minorBidi"/>
            <w:noProof/>
            <w:color w:val="auto"/>
            <w:szCs w:val="22"/>
            <w:lang w:eastAsia="en-GB"/>
          </w:rPr>
          <w:tab/>
        </w:r>
        <w:r w:rsidR="00B51130" w:rsidRPr="00B2284F">
          <w:rPr>
            <w:rStyle w:val="Hyperlink"/>
            <w:noProof/>
          </w:rPr>
          <w:t>Definition of Telemedicine</w:t>
        </w:r>
        <w:r w:rsidR="00B51130">
          <w:rPr>
            <w:noProof/>
            <w:webHidden/>
          </w:rPr>
          <w:tab/>
        </w:r>
        <w:r w:rsidR="00B51130">
          <w:rPr>
            <w:noProof/>
            <w:webHidden/>
          </w:rPr>
          <w:fldChar w:fldCharType="begin"/>
        </w:r>
        <w:r w:rsidR="00B51130">
          <w:rPr>
            <w:noProof/>
            <w:webHidden/>
          </w:rPr>
          <w:instrText xml:space="preserve"> PAGEREF _Toc504484110 \h </w:instrText>
        </w:r>
        <w:r w:rsidR="00B51130">
          <w:rPr>
            <w:noProof/>
            <w:webHidden/>
          </w:rPr>
        </w:r>
        <w:r w:rsidR="00B51130">
          <w:rPr>
            <w:noProof/>
            <w:webHidden/>
          </w:rPr>
          <w:fldChar w:fldCharType="separate"/>
        </w:r>
        <w:r w:rsidR="00B51130">
          <w:rPr>
            <w:noProof/>
            <w:webHidden/>
          </w:rPr>
          <w:t>19</w:t>
        </w:r>
        <w:r w:rsidR="00B51130">
          <w:rPr>
            <w:noProof/>
            <w:webHidden/>
          </w:rPr>
          <w:fldChar w:fldCharType="end"/>
        </w:r>
      </w:hyperlink>
    </w:p>
    <w:p w14:paraId="36684438" w14:textId="77777777" w:rsidR="00B51130" w:rsidRDefault="00000000">
      <w:pPr>
        <w:pStyle w:val="TOC2"/>
        <w:rPr>
          <w:rFonts w:eastAsiaTheme="minorEastAsia" w:cstheme="minorBidi"/>
          <w:noProof/>
          <w:color w:val="auto"/>
          <w:szCs w:val="22"/>
          <w:lang w:eastAsia="en-GB"/>
        </w:rPr>
      </w:pPr>
      <w:hyperlink w:anchor="_Toc504484111" w:history="1">
        <w:r w:rsidR="00B51130" w:rsidRPr="00B2284F">
          <w:rPr>
            <w:rStyle w:val="Hyperlink"/>
            <w:noProof/>
          </w:rPr>
          <w:t>3.1</w:t>
        </w:r>
        <w:r w:rsidR="00B51130">
          <w:rPr>
            <w:rFonts w:eastAsiaTheme="minorEastAsia" w:cstheme="minorBidi"/>
            <w:noProof/>
            <w:color w:val="auto"/>
            <w:szCs w:val="22"/>
            <w:lang w:eastAsia="en-GB"/>
          </w:rPr>
          <w:tab/>
        </w:r>
        <w:r w:rsidR="00B51130" w:rsidRPr="00B2284F">
          <w:rPr>
            <w:rStyle w:val="Hyperlink"/>
            <w:noProof/>
          </w:rPr>
          <w:t>Introduction</w:t>
        </w:r>
        <w:r w:rsidR="00B51130">
          <w:rPr>
            <w:noProof/>
            <w:webHidden/>
          </w:rPr>
          <w:tab/>
        </w:r>
        <w:r w:rsidR="00B51130">
          <w:rPr>
            <w:noProof/>
            <w:webHidden/>
          </w:rPr>
          <w:fldChar w:fldCharType="begin"/>
        </w:r>
        <w:r w:rsidR="00B51130">
          <w:rPr>
            <w:noProof/>
            <w:webHidden/>
          </w:rPr>
          <w:instrText xml:space="preserve"> PAGEREF _Toc504484111 \h </w:instrText>
        </w:r>
        <w:r w:rsidR="00B51130">
          <w:rPr>
            <w:noProof/>
            <w:webHidden/>
          </w:rPr>
        </w:r>
        <w:r w:rsidR="00B51130">
          <w:rPr>
            <w:noProof/>
            <w:webHidden/>
          </w:rPr>
          <w:fldChar w:fldCharType="separate"/>
        </w:r>
        <w:r w:rsidR="00B51130">
          <w:rPr>
            <w:noProof/>
            <w:webHidden/>
          </w:rPr>
          <w:t>19</w:t>
        </w:r>
        <w:r w:rsidR="00B51130">
          <w:rPr>
            <w:noProof/>
            <w:webHidden/>
          </w:rPr>
          <w:fldChar w:fldCharType="end"/>
        </w:r>
      </w:hyperlink>
    </w:p>
    <w:p w14:paraId="590DF7BA" w14:textId="77777777" w:rsidR="00B51130" w:rsidRDefault="00000000">
      <w:pPr>
        <w:pStyle w:val="TOC2"/>
        <w:rPr>
          <w:rFonts w:eastAsiaTheme="minorEastAsia" w:cstheme="minorBidi"/>
          <w:noProof/>
          <w:color w:val="auto"/>
          <w:szCs w:val="22"/>
          <w:lang w:eastAsia="en-GB"/>
        </w:rPr>
      </w:pPr>
      <w:hyperlink w:anchor="_Toc504484112" w:history="1">
        <w:r w:rsidR="00B51130" w:rsidRPr="00B2284F">
          <w:rPr>
            <w:rStyle w:val="Hyperlink"/>
            <w:noProof/>
          </w:rPr>
          <w:t>3.2</w:t>
        </w:r>
        <w:r w:rsidR="00B51130">
          <w:rPr>
            <w:rFonts w:eastAsiaTheme="minorEastAsia" w:cstheme="minorBidi"/>
            <w:noProof/>
            <w:color w:val="auto"/>
            <w:szCs w:val="22"/>
            <w:lang w:eastAsia="en-GB"/>
          </w:rPr>
          <w:tab/>
        </w:r>
        <w:r w:rsidR="00B51130" w:rsidRPr="00B2284F">
          <w:rPr>
            <w:rStyle w:val="Hyperlink"/>
            <w:noProof/>
          </w:rPr>
          <w:t>Key findings</w:t>
        </w:r>
        <w:r w:rsidR="00B51130">
          <w:rPr>
            <w:noProof/>
            <w:webHidden/>
          </w:rPr>
          <w:tab/>
        </w:r>
        <w:r w:rsidR="00B51130">
          <w:rPr>
            <w:noProof/>
            <w:webHidden/>
          </w:rPr>
          <w:fldChar w:fldCharType="begin"/>
        </w:r>
        <w:r w:rsidR="00B51130">
          <w:rPr>
            <w:noProof/>
            <w:webHidden/>
          </w:rPr>
          <w:instrText xml:space="preserve"> PAGEREF _Toc504484112 \h </w:instrText>
        </w:r>
        <w:r w:rsidR="00B51130">
          <w:rPr>
            <w:noProof/>
            <w:webHidden/>
          </w:rPr>
        </w:r>
        <w:r w:rsidR="00B51130">
          <w:rPr>
            <w:noProof/>
            <w:webHidden/>
          </w:rPr>
          <w:fldChar w:fldCharType="separate"/>
        </w:r>
        <w:r w:rsidR="00B51130">
          <w:rPr>
            <w:noProof/>
            <w:webHidden/>
          </w:rPr>
          <w:t>19</w:t>
        </w:r>
        <w:r w:rsidR="00B51130">
          <w:rPr>
            <w:noProof/>
            <w:webHidden/>
          </w:rPr>
          <w:fldChar w:fldCharType="end"/>
        </w:r>
      </w:hyperlink>
    </w:p>
    <w:p w14:paraId="07E57D2E" w14:textId="77777777" w:rsidR="00B51130" w:rsidRDefault="00000000">
      <w:pPr>
        <w:pStyle w:val="TOC1"/>
        <w:tabs>
          <w:tab w:val="left" w:pos="480"/>
          <w:tab w:val="right" w:leader="dot" w:pos="9628"/>
        </w:tabs>
        <w:rPr>
          <w:rFonts w:eastAsiaTheme="minorEastAsia" w:cstheme="minorBidi"/>
          <w:noProof/>
          <w:color w:val="auto"/>
          <w:szCs w:val="22"/>
          <w:lang w:eastAsia="en-GB"/>
        </w:rPr>
      </w:pPr>
      <w:hyperlink w:anchor="_Toc504484113" w:history="1">
        <w:r w:rsidR="00B51130" w:rsidRPr="00B2284F">
          <w:rPr>
            <w:rStyle w:val="Hyperlink"/>
            <w:noProof/>
          </w:rPr>
          <w:t>4</w:t>
        </w:r>
        <w:r w:rsidR="00B51130">
          <w:rPr>
            <w:rFonts w:eastAsiaTheme="minorEastAsia" w:cstheme="minorBidi"/>
            <w:noProof/>
            <w:color w:val="auto"/>
            <w:szCs w:val="22"/>
            <w:lang w:eastAsia="en-GB"/>
          </w:rPr>
          <w:tab/>
        </w:r>
        <w:r w:rsidR="00B51130" w:rsidRPr="00B2284F">
          <w:rPr>
            <w:rStyle w:val="Hyperlink"/>
            <w:noProof/>
          </w:rPr>
          <w:t>Requirements for Healthcare Professionals</w:t>
        </w:r>
        <w:r w:rsidR="00B51130">
          <w:rPr>
            <w:noProof/>
            <w:webHidden/>
          </w:rPr>
          <w:tab/>
        </w:r>
        <w:r w:rsidR="00B51130">
          <w:rPr>
            <w:noProof/>
            <w:webHidden/>
          </w:rPr>
          <w:fldChar w:fldCharType="begin"/>
        </w:r>
        <w:r w:rsidR="00B51130">
          <w:rPr>
            <w:noProof/>
            <w:webHidden/>
          </w:rPr>
          <w:instrText xml:space="preserve"> PAGEREF _Toc504484113 \h </w:instrText>
        </w:r>
        <w:r w:rsidR="00B51130">
          <w:rPr>
            <w:noProof/>
            <w:webHidden/>
          </w:rPr>
        </w:r>
        <w:r w:rsidR="00B51130">
          <w:rPr>
            <w:noProof/>
            <w:webHidden/>
          </w:rPr>
          <w:fldChar w:fldCharType="separate"/>
        </w:r>
        <w:r w:rsidR="00B51130">
          <w:rPr>
            <w:noProof/>
            <w:webHidden/>
          </w:rPr>
          <w:t>22</w:t>
        </w:r>
        <w:r w:rsidR="00B51130">
          <w:rPr>
            <w:noProof/>
            <w:webHidden/>
          </w:rPr>
          <w:fldChar w:fldCharType="end"/>
        </w:r>
      </w:hyperlink>
    </w:p>
    <w:p w14:paraId="0A0002B0" w14:textId="77777777" w:rsidR="00B51130" w:rsidRDefault="00000000">
      <w:pPr>
        <w:pStyle w:val="TOC2"/>
        <w:rPr>
          <w:rFonts w:eastAsiaTheme="minorEastAsia" w:cstheme="minorBidi"/>
          <w:noProof/>
          <w:color w:val="auto"/>
          <w:szCs w:val="22"/>
          <w:lang w:eastAsia="en-GB"/>
        </w:rPr>
      </w:pPr>
      <w:hyperlink w:anchor="_Toc504484114" w:history="1">
        <w:r w:rsidR="00B51130" w:rsidRPr="00B2284F">
          <w:rPr>
            <w:rStyle w:val="Hyperlink"/>
            <w:noProof/>
          </w:rPr>
          <w:t>4.1</w:t>
        </w:r>
        <w:r w:rsidR="00B51130">
          <w:rPr>
            <w:rFonts w:eastAsiaTheme="minorEastAsia" w:cstheme="minorBidi"/>
            <w:noProof/>
            <w:color w:val="auto"/>
            <w:szCs w:val="22"/>
            <w:lang w:eastAsia="en-GB"/>
          </w:rPr>
          <w:tab/>
        </w:r>
        <w:r w:rsidR="00B51130" w:rsidRPr="00B2284F">
          <w:rPr>
            <w:rStyle w:val="Hyperlink"/>
            <w:noProof/>
          </w:rPr>
          <w:t>Licensing and cross-border requirements</w:t>
        </w:r>
        <w:r w:rsidR="00B51130">
          <w:rPr>
            <w:noProof/>
            <w:webHidden/>
          </w:rPr>
          <w:tab/>
        </w:r>
        <w:r w:rsidR="00B51130">
          <w:rPr>
            <w:noProof/>
            <w:webHidden/>
          </w:rPr>
          <w:fldChar w:fldCharType="begin"/>
        </w:r>
        <w:r w:rsidR="00B51130">
          <w:rPr>
            <w:noProof/>
            <w:webHidden/>
          </w:rPr>
          <w:instrText xml:space="preserve"> PAGEREF _Toc504484114 \h </w:instrText>
        </w:r>
        <w:r w:rsidR="00B51130">
          <w:rPr>
            <w:noProof/>
            <w:webHidden/>
          </w:rPr>
        </w:r>
        <w:r w:rsidR="00B51130">
          <w:rPr>
            <w:noProof/>
            <w:webHidden/>
          </w:rPr>
          <w:fldChar w:fldCharType="separate"/>
        </w:r>
        <w:r w:rsidR="00B51130">
          <w:rPr>
            <w:noProof/>
            <w:webHidden/>
          </w:rPr>
          <w:t>22</w:t>
        </w:r>
        <w:r w:rsidR="00B51130">
          <w:rPr>
            <w:noProof/>
            <w:webHidden/>
          </w:rPr>
          <w:fldChar w:fldCharType="end"/>
        </w:r>
      </w:hyperlink>
    </w:p>
    <w:p w14:paraId="3D73DD86" w14:textId="77777777" w:rsidR="00B51130" w:rsidRDefault="00000000">
      <w:pPr>
        <w:pStyle w:val="TOC2"/>
        <w:rPr>
          <w:rFonts w:eastAsiaTheme="minorEastAsia" w:cstheme="minorBidi"/>
          <w:noProof/>
          <w:color w:val="auto"/>
          <w:szCs w:val="22"/>
          <w:lang w:eastAsia="en-GB"/>
        </w:rPr>
      </w:pPr>
      <w:hyperlink w:anchor="_Toc504484115" w:history="1">
        <w:r w:rsidR="00B51130" w:rsidRPr="00B2284F">
          <w:rPr>
            <w:rStyle w:val="Hyperlink"/>
            <w:noProof/>
          </w:rPr>
          <w:t>4.2</w:t>
        </w:r>
        <w:r w:rsidR="00B51130">
          <w:rPr>
            <w:rFonts w:eastAsiaTheme="minorEastAsia" w:cstheme="minorBidi"/>
            <w:noProof/>
            <w:color w:val="auto"/>
            <w:szCs w:val="22"/>
            <w:lang w:eastAsia="en-GB"/>
          </w:rPr>
          <w:tab/>
        </w:r>
        <w:r w:rsidR="00B51130" w:rsidRPr="00B2284F">
          <w:rPr>
            <w:rStyle w:val="Hyperlink"/>
            <w:noProof/>
          </w:rPr>
          <w:t>Requirements and standards for the provision of telemedicine</w:t>
        </w:r>
        <w:r w:rsidR="00B51130">
          <w:rPr>
            <w:noProof/>
            <w:webHidden/>
          </w:rPr>
          <w:tab/>
        </w:r>
        <w:r w:rsidR="00B51130">
          <w:rPr>
            <w:noProof/>
            <w:webHidden/>
          </w:rPr>
          <w:fldChar w:fldCharType="begin"/>
        </w:r>
        <w:r w:rsidR="00B51130">
          <w:rPr>
            <w:noProof/>
            <w:webHidden/>
          </w:rPr>
          <w:instrText xml:space="preserve"> PAGEREF _Toc504484115 \h </w:instrText>
        </w:r>
        <w:r w:rsidR="00B51130">
          <w:rPr>
            <w:noProof/>
            <w:webHidden/>
          </w:rPr>
        </w:r>
        <w:r w:rsidR="00B51130">
          <w:rPr>
            <w:noProof/>
            <w:webHidden/>
          </w:rPr>
          <w:fldChar w:fldCharType="separate"/>
        </w:r>
        <w:r w:rsidR="00B51130">
          <w:rPr>
            <w:noProof/>
            <w:webHidden/>
          </w:rPr>
          <w:t>24</w:t>
        </w:r>
        <w:r w:rsidR="00B51130">
          <w:rPr>
            <w:noProof/>
            <w:webHidden/>
          </w:rPr>
          <w:fldChar w:fldCharType="end"/>
        </w:r>
      </w:hyperlink>
    </w:p>
    <w:p w14:paraId="21063160" w14:textId="77777777" w:rsidR="00B51130" w:rsidRDefault="00000000">
      <w:pPr>
        <w:pStyle w:val="TOC2"/>
        <w:rPr>
          <w:rFonts w:eastAsiaTheme="minorEastAsia" w:cstheme="minorBidi"/>
          <w:noProof/>
          <w:color w:val="auto"/>
          <w:szCs w:val="22"/>
          <w:lang w:eastAsia="en-GB"/>
        </w:rPr>
      </w:pPr>
      <w:hyperlink w:anchor="_Toc504484116" w:history="1">
        <w:r w:rsidR="00B51130" w:rsidRPr="00B2284F">
          <w:rPr>
            <w:rStyle w:val="Hyperlink"/>
            <w:noProof/>
          </w:rPr>
          <w:t>4.3</w:t>
        </w:r>
        <w:r w:rsidR="00B51130">
          <w:rPr>
            <w:rFonts w:eastAsiaTheme="minorEastAsia" w:cstheme="minorBidi"/>
            <w:noProof/>
            <w:color w:val="auto"/>
            <w:szCs w:val="22"/>
            <w:lang w:eastAsia="en-GB"/>
          </w:rPr>
          <w:tab/>
        </w:r>
        <w:r w:rsidR="00B51130" w:rsidRPr="00B2284F">
          <w:rPr>
            <w:rStyle w:val="Hyperlink"/>
            <w:noProof/>
          </w:rPr>
          <w:t>Locus of responsibility</w:t>
        </w:r>
        <w:r w:rsidR="00B51130">
          <w:rPr>
            <w:noProof/>
            <w:webHidden/>
          </w:rPr>
          <w:tab/>
        </w:r>
        <w:r w:rsidR="00B51130">
          <w:rPr>
            <w:noProof/>
            <w:webHidden/>
          </w:rPr>
          <w:fldChar w:fldCharType="begin"/>
        </w:r>
        <w:r w:rsidR="00B51130">
          <w:rPr>
            <w:noProof/>
            <w:webHidden/>
          </w:rPr>
          <w:instrText xml:space="preserve"> PAGEREF _Toc504484116 \h </w:instrText>
        </w:r>
        <w:r w:rsidR="00B51130">
          <w:rPr>
            <w:noProof/>
            <w:webHidden/>
          </w:rPr>
        </w:r>
        <w:r w:rsidR="00B51130">
          <w:rPr>
            <w:noProof/>
            <w:webHidden/>
          </w:rPr>
          <w:fldChar w:fldCharType="separate"/>
        </w:r>
        <w:r w:rsidR="00B51130">
          <w:rPr>
            <w:noProof/>
            <w:webHidden/>
          </w:rPr>
          <w:t>30</w:t>
        </w:r>
        <w:r w:rsidR="00B51130">
          <w:rPr>
            <w:noProof/>
            <w:webHidden/>
          </w:rPr>
          <w:fldChar w:fldCharType="end"/>
        </w:r>
      </w:hyperlink>
    </w:p>
    <w:p w14:paraId="05A10599" w14:textId="77777777" w:rsidR="00B51130" w:rsidRDefault="00000000">
      <w:pPr>
        <w:pStyle w:val="TOC2"/>
        <w:rPr>
          <w:rFonts w:eastAsiaTheme="minorEastAsia" w:cstheme="minorBidi"/>
          <w:noProof/>
          <w:color w:val="auto"/>
          <w:szCs w:val="22"/>
          <w:lang w:eastAsia="en-GB"/>
        </w:rPr>
      </w:pPr>
      <w:hyperlink w:anchor="_Toc504484117" w:history="1">
        <w:r w:rsidR="00B51130" w:rsidRPr="00B2284F">
          <w:rPr>
            <w:rStyle w:val="Hyperlink"/>
            <w:noProof/>
          </w:rPr>
          <w:t>4.4</w:t>
        </w:r>
        <w:r w:rsidR="00B51130">
          <w:rPr>
            <w:rFonts w:eastAsiaTheme="minorEastAsia" w:cstheme="minorBidi"/>
            <w:noProof/>
            <w:color w:val="auto"/>
            <w:szCs w:val="22"/>
            <w:lang w:eastAsia="en-GB"/>
          </w:rPr>
          <w:tab/>
        </w:r>
        <w:r w:rsidR="00B51130" w:rsidRPr="00B2284F">
          <w:rPr>
            <w:rStyle w:val="Hyperlink"/>
            <w:noProof/>
          </w:rPr>
          <w:t>Consequences of non-compliance</w:t>
        </w:r>
        <w:r w:rsidR="00B51130">
          <w:rPr>
            <w:noProof/>
            <w:webHidden/>
          </w:rPr>
          <w:tab/>
        </w:r>
        <w:r w:rsidR="00B51130">
          <w:rPr>
            <w:noProof/>
            <w:webHidden/>
          </w:rPr>
          <w:fldChar w:fldCharType="begin"/>
        </w:r>
        <w:r w:rsidR="00B51130">
          <w:rPr>
            <w:noProof/>
            <w:webHidden/>
          </w:rPr>
          <w:instrText xml:space="preserve"> PAGEREF _Toc504484117 \h </w:instrText>
        </w:r>
        <w:r w:rsidR="00B51130">
          <w:rPr>
            <w:noProof/>
            <w:webHidden/>
          </w:rPr>
        </w:r>
        <w:r w:rsidR="00B51130">
          <w:rPr>
            <w:noProof/>
            <w:webHidden/>
          </w:rPr>
          <w:fldChar w:fldCharType="separate"/>
        </w:r>
        <w:r w:rsidR="00B51130">
          <w:rPr>
            <w:noProof/>
            <w:webHidden/>
          </w:rPr>
          <w:t>31</w:t>
        </w:r>
        <w:r w:rsidR="00B51130">
          <w:rPr>
            <w:noProof/>
            <w:webHidden/>
          </w:rPr>
          <w:fldChar w:fldCharType="end"/>
        </w:r>
      </w:hyperlink>
    </w:p>
    <w:p w14:paraId="0D606A45" w14:textId="77777777" w:rsidR="00B51130" w:rsidRDefault="00000000">
      <w:pPr>
        <w:pStyle w:val="TOC1"/>
        <w:tabs>
          <w:tab w:val="left" w:pos="480"/>
          <w:tab w:val="right" w:leader="dot" w:pos="9628"/>
        </w:tabs>
        <w:rPr>
          <w:rFonts w:eastAsiaTheme="minorEastAsia" w:cstheme="minorBidi"/>
          <w:noProof/>
          <w:color w:val="auto"/>
          <w:szCs w:val="22"/>
          <w:lang w:eastAsia="en-GB"/>
        </w:rPr>
      </w:pPr>
      <w:hyperlink w:anchor="_Toc504484118" w:history="1">
        <w:r w:rsidR="00B51130" w:rsidRPr="00B2284F">
          <w:rPr>
            <w:rStyle w:val="Hyperlink"/>
            <w:noProof/>
          </w:rPr>
          <w:t>5</w:t>
        </w:r>
        <w:r w:rsidR="00B51130">
          <w:rPr>
            <w:rFonts w:eastAsiaTheme="minorEastAsia" w:cstheme="minorBidi"/>
            <w:noProof/>
            <w:color w:val="auto"/>
            <w:szCs w:val="22"/>
            <w:lang w:eastAsia="en-GB"/>
          </w:rPr>
          <w:tab/>
        </w:r>
        <w:r w:rsidR="00B51130" w:rsidRPr="00B2284F">
          <w:rPr>
            <w:rStyle w:val="Hyperlink"/>
            <w:noProof/>
          </w:rPr>
          <w:t>Challenges in Regulating Telemedicine</w:t>
        </w:r>
        <w:r w:rsidR="00B51130">
          <w:rPr>
            <w:noProof/>
            <w:webHidden/>
          </w:rPr>
          <w:tab/>
        </w:r>
        <w:r w:rsidR="00B51130">
          <w:rPr>
            <w:noProof/>
            <w:webHidden/>
          </w:rPr>
          <w:fldChar w:fldCharType="begin"/>
        </w:r>
        <w:r w:rsidR="00B51130">
          <w:rPr>
            <w:noProof/>
            <w:webHidden/>
          </w:rPr>
          <w:instrText xml:space="preserve"> PAGEREF _Toc504484118 \h </w:instrText>
        </w:r>
        <w:r w:rsidR="00B51130">
          <w:rPr>
            <w:noProof/>
            <w:webHidden/>
          </w:rPr>
        </w:r>
        <w:r w:rsidR="00B51130">
          <w:rPr>
            <w:noProof/>
            <w:webHidden/>
          </w:rPr>
          <w:fldChar w:fldCharType="separate"/>
        </w:r>
        <w:r w:rsidR="00B51130">
          <w:rPr>
            <w:noProof/>
            <w:webHidden/>
          </w:rPr>
          <w:t>33</w:t>
        </w:r>
        <w:r w:rsidR="00B51130">
          <w:rPr>
            <w:noProof/>
            <w:webHidden/>
          </w:rPr>
          <w:fldChar w:fldCharType="end"/>
        </w:r>
      </w:hyperlink>
    </w:p>
    <w:p w14:paraId="46D98892" w14:textId="77777777" w:rsidR="00B51130" w:rsidRDefault="00000000">
      <w:pPr>
        <w:pStyle w:val="TOC1"/>
        <w:tabs>
          <w:tab w:val="left" w:pos="480"/>
          <w:tab w:val="right" w:leader="dot" w:pos="9628"/>
        </w:tabs>
        <w:rPr>
          <w:rFonts w:eastAsiaTheme="minorEastAsia" w:cstheme="minorBidi"/>
          <w:noProof/>
          <w:color w:val="auto"/>
          <w:szCs w:val="22"/>
          <w:lang w:eastAsia="en-GB"/>
        </w:rPr>
      </w:pPr>
      <w:hyperlink w:anchor="_Toc504484119" w:history="1">
        <w:r w:rsidR="00B51130" w:rsidRPr="00B2284F">
          <w:rPr>
            <w:rStyle w:val="Hyperlink"/>
            <w:noProof/>
          </w:rPr>
          <w:t>6</w:t>
        </w:r>
        <w:r w:rsidR="00B51130">
          <w:rPr>
            <w:rFonts w:eastAsiaTheme="minorEastAsia" w:cstheme="minorBidi"/>
            <w:noProof/>
            <w:color w:val="auto"/>
            <w:szCs w:val="22"/>
            <w:lang w:eastAsia="en-GB"/>
          </w:rPr>
          <w:tab/>
        </w:r>
        <w:r w:rsidR="00B51130" w:rsidRPr="00B2284F">
          <w:rPr>
            <w:rStyle w:val="Hyperlink"/>
            <w:noProof/>
          </w:rPr>
          <w:t>Regulating Remote Services in Other Industries</w:t>
        </w:r>
        <w:r w:rsidR="00B51130">
          <w:rPr>
            <w:noProof/>
            <w:webHidden/>
          </w:rPr>
          <w:tab/>
        </w:r>
        <w:r w:rsidR="00B51130">
          <w:rPr>
            <w:noProof/>
            <w:webHidden/>
          </w:rPr>
          <w:fldChar w:fldCharType="begin"/>
        </w:r>
        <w:r w:rsidR="00B51130">
          <w:rPr>
            <w:noProof/>
            <w:webHidden/>
          </w:rPr>
          <w:instrText xml:space="preserve"> PAGEREF _Toc504484119 \h </w:instrText>
        </w:r>
        <w:r w:rsidR="00B51130">
          <w:rPr>
            <w:noProof/>
            <w:webHidden/>
          </w:rPr>
        </w:r>
        <w:r w:rsidR="00B51130">
          <w:rPr>
            <w:noProof/>
            <w:webHidden/>
          </w:rPr>
          <w:fldChar w:fldCharType="separate"/>
        </w:r>
        <w:r w:rsidR="00B51130">
          <w:rPr>
            <w:noProof/>
            <w:webHidden/>
          </w:rPr>
          <w:t>34</w:t>
        </w:r>
        <w:r w:rsidR="00B51130">
          <w:rPr>
            <w:noProof/>
            <w:webHidden/>
          </w:rPr>
          <w:fldChar w:fldCharType="end"/>
        </w:r>
      </w:hyperlink>
    </w:p>
    <w:p w14:paraId="22592906" w14:textId="77777777" w:rsidR="00B51130" w:rsidRDefault="00000000">
      <w:pPr>
        <w:pStyle w:val="TOC2"/>
        <w:rPr>
          <w:rFonts w:eastAsiaTheme="minorEastAsia" w:cstheme="minorBidi"/>
          <w:noProof/>
          <w:color w:val="auto"/>
          <w:szCs w:val="22"/>
          <w:lang w:eastAsia="en-GB"/>
        </w:rPr>
      </w:pPr>
      <w:hyperlink w:anchor="_Toc504484120" w:history="1">
        <w:r w:rsidR="00B51130" w:rsidRPr="00B2284F">
          <w:rPr>
            <w:rStyle w:val="Hyperlink"/>
            <w:noProof/>
          </w:rPr>
          <w:t>6.1</w:t>
        </w:r>
        <w:r w:rsidR="00B51130">
          <w:rPr>
            <w:rFonts w:eastAsiaTheme="minorEastAsia" w:cstheme="minorBidi"/>
            <w:noProof/>
            <w:color w:val="auto"/>
            <w:szCs w:val="22"/>
            <w:lang w:eastAsia="en-GB"/>
          </w:rPr>
          <w:tab/>
        </w:r>
        <w:r w:rsidR="00B51130" w:rsidRPr="00B2284F">
          <w:rPr>
            <w:rStyle w:val="Hyperlink"/>
            <w:noProof/>
          </w:rPr>
          <w:t>Engineering</w:t>
        </w:r>
        <w:r w:rsidR="00B51130">
          <w:rPr>
            <w:noProof/>
            <w:webHidden/>
          </w:rPr>
          <w:tab/>
        </w:r>
        <w:r w:rsidR="00B51130">
          <w:rPr>
            <w:noProof/>
            <w:webHidden/>
          </w:rPr>
          <w:fldChar w:fldCharType="begin"/>
        </w:r>
        <w:r w:rsidR="00B51130">
          <w:rPr>
            <w:noProof/>
            <w:webHidden/>
          </w:rPr>
          <w:instrText xml:space="preserve"> PAGEREF _Toc504484120 \h </w:instrText>
        </w:r>
        <w:r w:rsidR="00B51130">
          <w:rPr>
            <w:noProof/>
            <w:webHidden/>
          </w:rPr>
        </w:r>
        <w:r w:rsidR="00B51130">
          <w:rPr>
            <w:noProof/>
            <w:webHidden/>
          </w:rPr>
          <w:fldChar w:fldCharType="separate"/>
        </w:r>
        <w:r w:rsidR="00B51130">
          <w:rPr>
            <w:noProof/>
            <w:webHidden/>
          </w:rPr>
          <w:t>34</w:t>
        </w:r>
        <w:r w:rsidR="00B51130">
          <w:rPr>
            <w:noProof/>
            <w:webHidden/>
          </w:rPr>
          <w:fldChar w:fldCharType="end"/>
        </w:r>
      </w:hyperlink>
    </w:p>
    <w:p w14:paraId="518798CE" w14:textId="77777777" w:rsidR="00B51130" w:rsidRDefault="00000000">
      <w:pPr>
        <w:pStyle w:val="TOC2"/>
        <w:rPr>
          <w:rFonts w:eastAsiaTheme="minorEastAsia" w:cstheme="minorBidi"/>
          <w:noProof/>
          <w:color w:val="auto"/>
          <w:szCs w:val="22"/>
          <w:lang w:eastAsia="en-GB"/>
        </w:rPr>
      </w:pPr>
      <w:hyperlink w:anchor="_Toc504484121" w:history="1">
        <w:r w:rsidR="00B51130" w:rsidRPr="00B2284F">
          <w:rPr>
            <w:rStyle w:val="Hyperlink"/>
            <w:noProof/>
          </w:rPr>
          <w:t>6.2</w:t>
        </w:r>
        <w:r w:rsidR="00B51130">
          <w:rPr>
            <w:rFonts w:eastAsiaTheme="minorEastAsia" w:cstheme="minorBidi"/>
            <w:noProof/>
            <w:color w:val="auto"/>
            <w:szCs w:val="22"/>
            <w:lang w:eastAsia="en-GB"/>
          </w:rPr>
          <w:tab/>
        </w:r>
        <w:r w:rsidR="00B51130" w:rsidRPr="00B2284F">
          <w:rPr>
            <w:rStyle w:val="Hyperlink"/>
            <w:noProof/>
          </w:rPr>
          <w:t>Surveying</w:t>
        </w:r>
        <w:r w:rsidR="00B51130">
          <w:rPr>
            <w:noProof/>
            <w:webHidden/>
          </w:rPr>
          <w:tab/>
        </w:r>
        <w:r w:rsidR="00B51130">
          <w:rPr>
            <w:noProof/>
            <w:webHidden/>
          </w:rPr>
          <w:fldChar w:fldCharType="begin"/>
        </w:r>
        <w:r w:rsidR="00B51130">
          <w:rPr>
            <w:noProof/>
            <w:webHidden/>
          </w:rPr>
          <w:instrText xml:space="preserve"> PAGEREF _Toc504484121 \h </w:instrText>
        </w:r>
        <w:r w:rsidR="00B51130">
          <w:rPr>
            <w:noProof/>
            <w:webHidden/>
          </w:rPr>
        </w:r>
        <w:r w:rsidR="00B51130">
          <w:rPr>
            <w:noProof/>
            <w:webHidden/>
          </w:rPr>
          <w:fldChar w:fldCharType="separate"/>
        </w:r>
        <w:r w:rsidR="00B51130">
          <w:rPr>
            <w:noProof/>
            <w:webHidden/>
          </w:rPr>
          <w:t>34</w:t>
        </w:r>
        <w:r w:rsidR="00B51130">
          <w:rPr>
            <w:noProof/>
            <w:webHidden/>
          </w:rPr>
          <w:fldChar w:fldCharType="end"/>
        </w:r>
      </w:hyperlink>
    </w:p>
    <w:p w14:paraId="59FDF791" w14:textId="77777777" w:rsidR="00B51130" w:rsidRDefault="00000000">
      <w:pPr>
        <w:pStyle w:val="TOC2"/>
        <w:rPr>
          <w:rFonts w:eastAsiaTheme="minorEastAsia" w:cstheme="minorBidi"/>
          <w:noProof/>
          <w:color w:val="auto"/>
          <w:szCs w:val="22"/>
          <w:lang w:eastAsia="en-GB"/>
        </w:rPr>
      </w:pPr>
      <w:hyperlink w:anchor="_Toc504484122" w:history="1">
        <w:r w:rsidR="00B51130" w:rsidRPr="00B2284F">
          <w:rPr>
            <w:rStyle w:val="Hyperlink"/>
            <w:noProof/>
          </w:rPr>
          <w:t>6.3</w:t>
        </w:r>
        <w:r w:rsidR="00B51130">
          <w:rPr>
            <w:rFonts w:eastAsiaTheme="minorEastAsia" w:cstheme="minorBidi"/>
            <w:noProof/>
            <w:color w:val="auto"/>
            <w:szCs w:val="22"/>
            <w:lang w:eastAsia="en-GB"/>
          </w:rPr>
          <w:tab/>
        </w:r>
        <w:r w:rsidR="00B51130" w:rsidRPr="00B2284F">
          <w:rPr>
            <w:rStyle w:val="Hyperlink"/>
            <w:noProof/>
          </w:rPr>
          <w:t>Legal advice</w:t>
        </w:r>
        <w:r w:rsidR="00B51130">
          <w:rPr>
            <w:noProof/>
            <w:webHidden/>
          </w:rPr>
          <w:tab/>
        </w:r>
        <w:r w:rsidR="00B51130">
          <w:rPr>
            <w:noProof/>
            <w:webHidden/>
          </w:rPr>
          <w:fldChar w:fldCharType="begin"/>
        </w:r>
        <w:r w:rsidR="00B51130">
          <w:rPr>
            <w:noProof/>
            <w:webHidden/>
          </w:rPr>
          <w:instrText xml:space="preserve"> PAGEREF _Toc504484122 \h </w:instrText>
        </w:r>
        <w:r w:rsidR="00B51130">
          <w:rPr>
            <w:noProof/>
            <w:webHidden/>
          </w:rPr>
        </w:r>
        <w:r w:rsidR="00B51130">
          <w:rPr>
            <w:noProof/>
            <w:webHidden/>
          </w:rPr>
          <w:fldChar w:fldCharType="separate"/>
        </w:r>
        <w:r w:rsidR="00B51130">
          <w:rPr>
            <w:noProof/>
            <w:webHidden/>
          </w:rPr>
          <w:t>35</w:t>
        </w:r>
        <w:r w:rsidR="00B51130">
          <w:rPr>
            <w:noProof/>
            <w:webHidden/>
          </w:rPr>
          <w:fldChar w:fldCharType="end"/>
        </w:r>
      </w:hyperlink>
    </w:p>
    <w:p w14:paraId="7F0F629E" w14:textId="77777777" w:rsidR="00B51130" w:rsidRDefault="00000000">
      <w:pPr>
        <w:pStyle w:val="TOC2"/>
        <w:rPr>
          <w:rFonts w:eastAsiaTheme="minorEastAsia" w:cstheme="minorBidi"/>
          <w:noProof/>
          <w:color w:val="auto"/>
          <w:szCs w:val="22"/>
          <w:lang w:eastAsia="en-GB"/>
        </w:rPr>
      </w:pPr>
      <w:hyperlink w:anchor="_Toc504484123" w:history="1">
        <w:r w:rsidR="00B51130" w:rsidRPr="00B2284F">
          <w:rPr>
            <w:rStyle w:val="Hyperlink"/>
            <w:noProof/>
          </w:rPr>
          <w:t>6.4</w:t>
        </w:r>
        <w:r w:rsidR="00B51130">
          <w:rPr>
            <w:rFonts w:eastAsiaTheme="minorEastAsia" w:cstheme="minorBidi"/>
            <w:noProof/>
            <w:color w:val="auto"/>
            <w:szCs w:val="22"/>
            <w:lang w:eastAsia="en-GB"/>
          </w:rPr>
          <w:tab/>
        </w:r>
        <w:r w:rsidR="00B51130" w:rsidRPr="00B2284F">
          <w:rPr>
            <w:rStyle w:val="Hyperlink"/>
            <w:noProof/>
          </w:rPr>
          <w:t>Summary</w:t>
        </w:r>
        <w:r w:rsidR="00B51130">
          <w:rPr>
            <w:noProof/>
            <w:webHidden/>
          </w:rPr>
          <w:tab/>
        </w:r>
        <w:r w:rsidR="00B51130">
          <w:rPr>
            <w:noProof/>
            <w:webHidden/>
          </w:rPr>
          <w:fldChar w:fldCharType="begin"/>
        </w:r>
        <w:r w:rsidR="00B51130">
          <w:rPr>
            <w:noProof/>
            <w:webHidden/>
          </w:rPr>
          <w:instrText xml:space="preserve"> PAGEREF _Toc504484123 \h </w:instrText>
        </w:r>
        <w:r w:rsidR="00B51130">
          <w:rPr>
            <w:noProof/>
            <w:webHidden/>
          </w:rPr>
        </w:r>
        <w:r w:rsidR="00B51130">
          <w:rPr>
            <w:noProof/>
            <w:webHidden/>
          </w:rPr>
          <w:fldChar w:fldCharType="separate"/>
        </w:r>
        <w:r w:rsidR="00B51130">
          <w:rPr>
            <w:noProof/>
            <w:webHidden/>
          </w:rPr>
          <w:t>36</w:t>
        </w:r>
        <w:r w:rsidR="00B51130">
          <w:rPr>
            <w:noProof/>
            <w:webHidden/>
          </w:rPr>
          <w:fldChar w:fldCharType="end"/>
        </w:r>
      </w:hyperlink>
    </w:p>
    <w:p w14:paraId="0C474BA6" w14:textId="77777777" w:rsidR="00B51130" w:rsidRDefault="00000000">
      <w:pPr>
        <w:pStyle w:val="TOC1"/>
        <w:tabs>
          <w:tab w:val="left" w:pos="480"/>
          <w:tab w:val="right" w:leader="dot" w:pos="9628"/>
        </w:tabs>
        <w:rPr>
          <w:rFonts w:eastAsiaTheme="minorEastAsia" w:cstheme="minorBidi"/>
          <w:noProof/>
          <w:color w:val="auto"/>
          <w:szCs w:val="22"/>
          <w:lang w:eastAsia="en-GB"/>
        </w:rPr>
      </w:pPr>
      <w:hyperlink w:anchor="_Toc504484124" w:history="1">
        <w:r w:rsidR="00B51130" w:rsidRPr="00B2284F">
          <w:rPr>
            <w:rStyle w:val="Hyperlink"/>
            <w:noProof/>
          </w:rPr>
          <w:t>7</w:t>
        </w:r>
        <w:r w:rsidR="00B51130">
          <w:rPr>
            <w:rFonts w:eastAsiaTheme="minorEastAsia" w:cstheme="minorBidi"/>
            <w:noProof/>
            <w:color w:val="auto"/>
            <w:szCs w:val="22"/>
            <w:lang w:eastAsia="en-GB"/>
          </w:rPr>
          <w:tab/>
        </w:r>
        <w:r w:rsidR="00B51130" w:rsidRPr="00B2284F">
          <w:rPr>
            <w:rStyle w:val="Hyperlink"/>
            <w:noProof/>
          </w:rPr>
          <w:t>Conclusions</w:t>
        </w:r>
        <w:r w:rsidR="00B51130">
          <w:rPr>
            <w:noProof/>
            <w:webHidden/>
          </w:rPr>
          <w:tab/>
        </w:r>
        <w:r w:rsidR="00B51130">
          <w:rPr>
            <w:noProof/>
            <w:webHidden/>
          </w:rPr>
          <w:fldChar w:fldCharType="begin"/>
        </w:r>
        <w:r w:rsidR="00B51130">
          <w:rPr>
            <w:noProof/>
            <w:webHidden/>
          </w:rPr>
          <w:instrText xml:space="preserve"> PAGEREF _Toc504484124 \h </w:instrText>
        </w:r>
        <w:r w:rsidR="00B51130">
          <w:rPr>
            <w:noProof/>
            <w:webHidden/>
          </w:rPr>
        </w:r>
        <w:r w:rsidR="00B51130">
          <w:rPr>
            <w:noProof/>
            <w:webHidden/>
          </w:rPr>
          <w:fldChar w:fldCharType="separate"/>
        </w:r>
        <w:r w:rsidR="00B51130">
          <w:rPr>
            <w:noProof/>
            <w:webHidden/>
          </w:rPr>
          <w:t>38</w:t>
        </w:r>
        <w:r w:rsidR="00B51130">
          <w:rPr>
            <w:noProof/>
            <w:webHidden/>
          </w:rPr>
          <w:fldChar w:fldCharType="end"/>
        </w:r>
      </w:hyperlink>
    </w:p>
    <w:p w14:paraId="262DE9B6" w14:textId="77777777" w:rsidR="00B51130" w:rsidRDefault="00000000">
      <w:pPr>
        <w:pStyle w:val="TOC1"/>
        <w:tabs>
          <w:tab w:val="right" w:leader="dot" w:pos="9628"/>
        </w:tabs>
        <w:rPr>
          <w:rFonts w:eastAsiaTheme="minorEastAsia" w:cstheme="minorBidi"/>
          <w:noProof/>
          <w:color w:val="auto"/>
          <w:szCs w:val="22"/>
          <w:lang w:eastAsia="en-GB"/>
        </w:rPr>
      </w:pPr>
      <w:hyperlink w:anchor="_Toc504484125" w:history="1">
        <w:r w:rsidR="00B51130" w:rsidRPr="00B2284F">
          <w:rPr>
            <w:rStyle w:val="Hyperlink"/>
            <w:b/>
            <w:noProof/>
          </w:rPr>
          <w:t>Appendix 1 — online survey</w:t>
        </w:r>
        <w:r w:rsidR="00B51130">
          <w:rPr>
            <w:noProof/>
            <w:webHidden/>
          </w:rPr>
          <w:tab/>
        </w:r>
        <w:r w:rsidR="00B51130">
          <w:rPr>
            <w:noProof/>
            <w:webHidden/>
          </w:rPr>
          <w:fldChar w:fldCharType="begin"/>
        </w:r>
        <w:r w:rsidR="00B51130">
          <w:rPr>
            <w:noProof/>
            <w:webHidden/>
          </w:rPr>
          <w:instrText xml:space="preserve"> PAGEREF _Toc504484125 \h </w:instrText>
        </w:r>
        <w:r w:rsidR="00B51130">
          <w:rPr>
            <w:noProof/>
            <w:webHidden/>
          </w:rPr>
        </w:r>
        <w:r w:rsidR="00B51130">
          <w:rPr>
            <w:noProof/>
            <w:webHidden/>
          </w:rPr>
          <w:fldChar w:fldCharType="separate"/>
        </w:r>
        <w:r w:rsidR="00B51130">
          <w:rPr>
            <w:noProof/>
            <w:webHidden/>
          </w:rPr>
          <w:t>40</w:t>
        </w:r>
        <w:r w:rsidR="00B51130">
          <w:rPr>
            <w:noProof/>
            <w:webHidden/>
          </w:rPr>
          <w:fldChar w:fldCharType="end"/>
        </w:r>
      </w:hyperlink>
    </w:p>
    <w:p w14:paraId="4A6BACC1" w14:textId="77777777" w:rsidR="00B51130" w:rsidRDefault="00000000">
      <w:pPr>
        <w:pStyle w:val="TOC1"/>
        <w:tabs>
          <w:tab w:val="left" w:pos="480"/>
          <w:tab w:val="right" w:leader="dot" w:pos="9628"/>
        </w:tabs>
        <w:rPr>
          <w:rFonts w:eastAsiaTheme="minorEastAsia" w:cstheme="minorBidi"/>
          <w:noProof/>
          <w:color w:val="auto"/>
          <w:szCs w:val="22"/>
          <w:lang w:eastAsia="en-GB"/>
        </w:rPr>
      </w:pPr>
      <w:hyperlink w:anchor="_Toc504484126" w:history="1">
        <w:r w:rsidR="00B51130" w:rsidRPr="00B2284F">
          <w:rPr>
            <w:rStyle w:val="Hyperlink"/>
            <w:noProof/>
          </w:rPr>
          <w:t>8</w:t>
        </w:r>
        <w:r w:rsidR="00B51130">
          <w:rPr>
            <w:rFonts w:eastAsiaTheme="minorEastAsia" w:cstheme="minorBidi"/>
            <w:noProof/>
            <w:color w:val="auto"/>
            <w:szCs w:val="22"/>
            <w:lang w:eastAsia="en-GB"/>
          </w:rPr>
          <w:tab/>
        </w:r>
        <w:r w:rsidR="00B51130" w:rsidRPr="00B2284F">
          <w:rPr>
            <w:rStyle w:val="Hyperlink"/>
            <w:noProof/>
          </w:rPr>
          <w:t>Telemedicine Online Survey</w:t>
        </w:r>
        <w:r w:rsidR="00B51130">
          <w:rPr>
            <w:noProof/>
            <w:webHidden/>
          </w:rPr>
          <w:tab/>
        </w:r>
        <w:r w:rsidR="00B51130">
          <w:rPr>
            <w:noProof/>
            <w:webHidden/>
          </w:rPr>
          <w:fldChar w:fldCharType="begin"/>
        </w:r>
        <w:r w:rsidR="00B51130">
          <w:rPr>
            <w:noProof/>
            <w:webHidden/>
          </w:rPr>
          <w:instrText xml:space="preserve"> PAGEREF _Toc504484126 \h </w:instrText>
        </w:r>
        <w:r w:rsidR="00B51130">
          <w:rPr>
            <w:noProof/>
            <w:webHidden/>
          </w:rPr>
        </w:r>
        <w:r w:rsidR="00B51130">
          <w:rPr>
            <w:noProof/>
            <w:webHidden/>
          </w:rPr>
          <w:fldChar w:fldCharType="separate"/>
        </w:r>
        <w:r w:rsidR="00B51130">
          <w:rPr>
            <w:noProof/>
            <w:webHidden/>
          </w:rPr>
          <w:t>41</w:t>
        </w:r>
        <w:r w:rsidR="00B51130">
          <w:rPr>
            <w:noProof/>
            <w:webHidden/>
          </w:rPr>
          <w:fldChar w:fldCharType="end"/>
        </w:r>
      </w:hyperlink>
    </w:p>
    <w:p w14:paraId="1FCF4673" w14:textId="77777777" w:rsidR="00B51130" w:rsidRDefault="00000000">
      <w:pPr>
        <w:pStyle w:val="TOC2"/>
        <w:rPr>
          <w:rFonts w:eastAsiaTheme="minorEastAsia" w:cstheme="minorBidi"/>
          <w:noProof/>
          <w:color w:val="auto"/>
          <w:szCs w:val="22"/>
          <w:lang w:eastAsia="en-GB"/>
        </w:rPr>
      </w:pPr>
      <w:hyperlink w:anchor="_Toc504484127" w:history="1">
        <w:r w:rsidR="00B51130" w:rsidRPr="00B2284F">
          <w:rPr>
            <w:rStyle w:val="Hyperlink"/>
            <w:noProof/>
          </w:rPr>
          <w:t>About your organisation</w:t>
        </w:r>
        <w:r w:rsidR="00B51130">
          <w:rPr>
            <w:noProof/>
            <w:webHidden/>
          </w:rPr>
          <w:tab/>
        </w:r>
        <w:r w:rsidR="00B51130">
          <w:rPr>
            <w:noProof/>
            <w:webHidden/>
          </w:rPr>
          <w:fldChar w:fldCharType="begin"/>
        </w:r>
        <w:r w:rsidR="00B51130">
          <w:rPr>
            <w:noProof/>
            <w:webHidden/>
          </w:rPr>
          <w:instrText xml:space="preserve"> PAGEREF _Toc504484127 \h </w:instrText>
        </w:r>
        <w:r w:rsidR="00B51130">
          <w:rPr>
            <w:noProof/>
            <w:webHidden/>
          </w:rPr>
        </w:r>
        <w:r w:rsidR="00B51130">
          <w:rPr>
            <w:noProof/>
            <w:webHidden/>
          </w:rPr>
          <w:fldChar w:fldCharType="separate"/>
        </w:r>
        <w:r w:rsidR="00B51130">
          <w:rPr>
            <w:noProof/>
            <w:webHidden/>
          </w:rPr>
          <w:t>41</w:t>
        </w:r>
        <w:r w:rsidR="00B51130">
          <w:rPr>
            <w:noProof/>
            <w:webHidden/>
          </w:rPr>
          <w:fldChar w:fldCharType="end"/>
        </w:r>
      </w:hyperlink>
    </w:p>
    <w:p w14:paraId="6DCE778D" w14:textId="77777777" w:rsidR="00B51130" w:rsidRDefault="00000000">
      <w:pPr>
        <w:pStyle w:val="TOC2"/>
        <w:rPr>
          <w:rFonts w:eastAsiaTheme="minorEastAsia" w:cstheme="minorBidi"/>
          <w:noProof/>
          <w:color w:val="auto"/>
          <w:szCs w:val="22"/>
          <w:lang w:eastAsia="en-GB"/>
        </w:rPr>
      </w:pPr>
      <w:hyperlink w:anchor="_Toc504484128" w:history="1">
        <w:r w:rsidR="00B51130" w:rsidRPr="00B2284F">
          <w:rPr>
            <w:rStyle w:val="Hyperlink"/>
            <w:noProof/>
          </w:rPr>
          <w:t>Your organisation and telemedicine</w:t>
        </w:r>
        <w:r w:rsidR="00B51130">
          <w:rPr>
            <w:noProof/>
            <w:webHidden/>
          </w:rPr>
          <w:tab/>
        </w:r>
        <w:r w:rsidR="00B51130">
          <w:rPr>
            <w:noProof/>
            <w:webHidden/>
          </w:rPr>
          <w:fldChar w:fldCharType="begin"/>
        </w:r>
        <w:r w:rsidR="00B51130">
          <w:rPr>
            <w:noProof/>
            <w:webHidden/>
          </w:rPr>
          <w:instrText xml:space="preserve"> PAGEREF _Toc504484128 \h </w:instrText>
        </w:r>
        <w:r w:rsidR="00B51130">
          <w:rPr>
            <w:noProof/>
            <w:webHidden/>
          </w:rPr>
        </w:r>
        <w:r w:rsidR="00B51130">
          <w:rPr>
            <w:noProof/>
            <w:webHidden/>
          </w:rPr>
          <w:fldChar w:fldCharType="separate"/>
        </w:r>
        <w:r w:rsidR="00B51130">
          <w:rPr>
            <w:noProof/>
            <w:webHidden/>
          </w:rPr>
          <w:t>42</w:t>
        </w:r>
        <w:r w:rsidR="00B51130">
          <w:rPr>
            <w:noProof/>
            <w:webHidden/>
          </w:rPr>
          <w:fldChar w:fldCharType="end"/>
        </w:r>
      </w:hyperlink>
    </w:p>
    <w:p w14:paraId="24CD4AE5" w14:textId="77777777" w:rsidR="00B51130" w:rsidRDefault="00000000">
      <w:pPr>
        <w:pStyle w:val="TOC1"/>
        <w:tabs>
          <w:tab w:val="left" w:pos="480"/>
          <w:tab w:val="right" w:leader="dot" w:pos="9628"/>
        </w:tabs>
        <w:rPr>
          <w:rFonts w:eastAsiaTheme="minorEastAsia" w:cstheme="minorBidi"/>
          <w:noProof/>
          <w:color w:val="auto"/>
          <w:szCs w:val="22"/>
          <w:lang w:eastAsia="en-GB"/>
        </w:rPr>
      </w:pPr>
      <w:hyperlink w:anchor="_Toc504484129" w:history="1">
        <w:r w:rsidR="00B51130" w:rsidRPr="00B2284F">
          <w:rPr>
            <w:rStyle w:val="Hyperlink"/>
            <w:noProof/>
          </w:rPr>
          <w:t>9</w:t>
        </w:r>
        <w:r w:rsidR="00B51130">
          <w:rPr>
            <w:rFonts w:eastAsiaTheme="minorEastAsia" w:cstheme="minorBidi"/>
            <w:noProof/>
            <w:color w:val="auto"/>
            <w:szCs w:val="22"/>
            <w:lang w:eastAsia="en-GB"/>
          </w:rPr>
          <w:tab/>
        </w:r>
        <w:r w:rsidR="00B51130" w:rsidRPr="00B2284F">
          <w:rPr>
            <w:rStyle w:val="Hyperlink"/>
            <w:noProof/>
          </w:rPr>
          <w:t>Survey Respondents</w:t>
        </w:r>
        <w:r w:rsidR="00B51130">
          <w:rPr>
            <w:noProof/>
            <w:webHidden/>
          </w:rPr>
          <w:tab/>
        </w:r>
        <w:r w:rsidR="00B51130">
          <w:rPr>
            <w:noProof/>
            <w:webHidden/>
          </w:rPr>
          <w:fldChar w:fldCharType="begin"/>
        </w:r>
        <w:r w:rsidR="00B51130">
          <w:rPr>
            <w:noProof/>
            <w:webHidden/>
          </w:rPr>
          <w:instrText xml:space="preserve"> PAGEREF _Toc504484129 \h </w:instrText>
        </w:r>
        <w:r w:rsidR="00B51130">
          <w:rPr>
            <w:noProof/>
            <w:webHidden/>
          </w:rPr>
        </w:r>
        <w:r w:rsidR="00B51130">
          <w:rPr>
            <w:noProof/>
            <w:webHidden/>
          </w:rPr>
          <w:fldChar w:fldCharType="separate"/>
        </w:r>
        <w:r w:rsidR="00B51130">
          <w:rPr>
            <w:noProof/>
            <w:webHidden/>
          </w:rPr>
          <w:t>44</w:t>
        </w:r>
        <w:r w:rsidR="00B51130">
          <w:rPr>
            <w:noProof/>
            <w:webHidden/>
          </w:rPr>
          <w:fldChar w:fldCharType="end"/>
        </w:r>
      </w:hyperlink>
    </w:p>
    <w:p w14:paraId="72BEF19B" w14:textId="77777777" w:rsidR="00B51130" w:rsidRDefault="00000000">
      <w:pPr>
        <w:pStyle w:val="TOC1"/>
        <w:tabs>
          <w:tab w:val="left" w:pos="480"/>
          <w:tab w:val="right" w:leader="dot" w:pos="9628"/>
        </w:tabs>
        <w:rPr>
          <w:rFonts w:eastAsiaTheme="minorEastAsia" w:cstheme="minorBidi"/>
          <w:noProof/>
          <w:color w:val="auto"/>
          <w:szCs w:val="22"/>
          <w:lang w:eastAsia="en-GB"/>
        </w:rPr>
      </w:pPr>
      <w:hyperlink w:anchor="_Toc504484130" w:history="1">
        <w:r w:rsidR="00B51130" w:rsidRPr="00B2284F">
          <w:rPr>
            <w:rStyle w:val="Hyperlink"/>
            <w:noProof/>
          </w:rPr>
          <w:t>10</w:t>
        </w:r>
        <w:r w:rsidR="00B51130">
          <w:rPr>
            <w:rFonts w:eastAsiaTheme="minorEastAsia" w:cstheme="minorBidi"/>
            <w:noProof/>
            <w:color w:val="auto"/>
            <w:szCs w:val="22"/>
            <w:lang w:eastAsia="en-GB"/>
          </w:rPr>
          <w:tab/>
        </w:r>
        <w:r w:rsidR="00B51130" w:rsidRPr="00B2284F">
          <w:rPr>
            <w:rStyle w:val="Hyperlink"/>
            <w:noProof/>
          </w:rPr>
          <w:t>Online survey responses</w:t>
        </w:r>
        <w:r w:rsidR="00B51130">
          <w:rPr>
            <w:noProof/>
            <w:webHidden/>
          </w:rPr>
          <w:tab/>
        </w:r>
        <w:r w:rsidR="00B51130">
          <w:rPr>
            <w:noProof/>
            <w:webHidden/>
          </w:rPr>
          <w:fldChar w:fldCharType="begin"/>
        </w:r>
        <w:r w:rsidR="00B51130">
          <w:rPr>
            <w:noProof/>
            <w:webHidden/>
          </w:rPr>
          <w:instrText xml:space="preserve"> PAGEREF _Toc504484130 \h </w:instrText>
        </w:r>
        <w:r w:rsidR="00B51130">
          <w:rPr>
            <w:noProof/>
            <w:webHidden/>
          </w:rPr>
        </w:r>
        <w:r w:rsidR="00B51130">
          <w:rPr>
            <w:noProof/>
            <w:webHidden/>
          </w:rPr>
          <w:fldChar w:fldCharType="separate"/>
        </w:r>
        <w:r w:rsidR="00B51130">
          <w:rPr>
            <w:noProof/>
            <w:webHidden/>
          </w:rPr>
          <w:t>45</w:t>
        </w:r>
        <w:r w:rsidR="00B51130">
          <w:rPr>
            <w:noProof/>
            <w:webHidden/>
          </w:rPr>
          <w:fldChar w:fldCharType="end"/>
        </w:r>
      </w:hyperlink>
    </w:p>
    <w:p w14:paraId="2247ACEA" w14:textId="77777777" w:rsidR="00B51130" w:rsidRDefault="00000000">
      <w:pPr>
        <w:pStyle w:val="TOC1"/>
        <w:tabs>
          <w:tab w:val="left" w:pos="480"/>
          <w:tab w:val="right" w:leader="dot" w:pos="9628"/>
        </w:tabs>
        <w:rPr>
          <w:rFonts w:eastAsiaTheme="minorEastAsia" w:cstheme="minorBidi"/>
          <w:noProof/>
          <w:color w:val="auto"/>
          <w:szCs w:val="22"/>
          <w:lang w:eastAsia="en-GB"/>
        </w:rPr>
      </w:pPr>
      <w:hyperlink w:anchor="_Toc504484131" w:history="1">
        <w:r w:rsidR="00B51130" w:rsidRPr="00B2284F">
          <w:rPr>
            <w:rStyle w:val="Hyperlink"/>
            <w:noProof/>
          </w:rPr>
          <w:t>11</w:t>
        </w:r>
        <w:r w:rsidR="00B51130">
          <w:rPr>
            <w:rFonts w:eastAsiaTheme="minorEastAsia" w:cstheme="minorBidi"/>
            <w:noProof/>
            <w:color w:val="auto"/>
            <w:szCs w:val="22"/>
            <w:lang w:eastAsia="en-GB"/>
          </w:rPr>
          <w:tab/>
        </w:r>
        <w:r w:rsidR="00B51130" w:rsidRPr="00B2284F">
          <w:rPr>
            <w:rStyle w:val="Hyperlink"/>
            <w:noProof/>
          </w:rPr>
          <w:t>Summaries of Key Findings</w:t>
        </w:r>
        <w:r w:rsidR="00B51130">
          <w:rPr>
            <w:noProof/>
            <w:webHidden/>
          </w:rPr>
          <w:tab/>
        </w:r>
        <w:r w:rsidR="00B51130">
          <w:rPr>
            <w:noProof/>
            <w:webHidden/>
          </w:rPr>
          <w:fldChar w:fldCharType="begin"/>
        </w:r>
        <w:r w:rsidR="00B51130">
          <w:rPr>
            <w:noProof/>
            <w:webHidden/>
          </w:rPr>
          <w:instrText xml:space="preserve"> PAGEREF _Toc504484131 \h </w:instrText>
        </w:r>
        <w:r w:rsidR="00B51130">
          <w:rPr>
            <w:noProof/>
            <w:webHidden/>
          </w:rPr>
        </w:r>
        <w:r w:rsidR="00B51130">
          <w:rPr>
            <w:noProof/>
            <w:webHidden/>
          </w:rPr>
          <w:fldChar w:fldCharType="separate"/>
        </w:r>
        <w:r w:rsidR="00B51130">
          <w:rPr>
            <w:noProof/>
            <w:webHidden/>
          </w:rPr>
          <w:t>48</w:t>
        </w:r>
        <w:r w:rsidR="00B51130">
          <w:rPr>
            <w:noProof/>
            <w:webHidden/>
          </w:rPr>
          <w:fldChar w:fldCharType="end"/>
        </w:r>
      </w:hyperlink>
    </w:p>
    <w:p w14:paraId="32C14C2C" w14:textId="77777777" w:rsidR="00B51130" w:rsidRDefault="00000000">
      <w:pPr>
        <w:pStyle w:val="TOC2"/>
        <w:tabs>
          <w:tab w:val="left" w:pos="1320"/>
        </w:tabs>
        <w:rPr>
          <w:rFonts w:eastAsiaTheme="minorEastAsia" w:cstheme="minorBidi"/>
          <w:noProof/>
          <w:color w:val="auto"/>
          <w:szCs w:val="22"/>
          <w:lang w:eastAsia="en-GB"/>
        </w:rPr>
      </w:pPr>
      <w:hyperlink w:anchor="_Toc504484132" w:history="1">
        <w:r w:rsidR="00B51130" w:rsidRPr="00B2284F">
          <w:rPr>
            <w:rStyle w:val="Hyperlink"/>
            <w:noProof/>
          </w:rPr>
          <w:t>11.1</w:t>
        </w:r>
        <w:r w:rsidR="00B51130">
          <w:rPr>
            <w:rFonts w:eastAsiaTheme="minorEastAsia" w:cstheme="minorBidi"/>
            <w:noProof/>
            <w:color w:val="auto"/>
            <w:szCs w:val="22"/>
            <w:lang w:eastAsia="en-GB"/>
          </w:rPr>
          <w:tab/>
        </w:r>
        <w:r w:rsidR="00B51130" w:rsidRPr="00B2284F">
          <w:rPr>
            <w:rStyle w:val="Hyperlink"/>
            <w:noProof/>
          </w:rPr>
          <w:t>Definition of telemedicine</w:t>
        </w:r>
        <w:r w:rsidR="00B51130">
          <w:rPr>
            <w:noProof/>
            <w:webHidden/>
          </w:rPr>
          <w:tab/>
        </w:r>
        <w:r w:rsidR="00B51130">
          <w:rPr>
            <w:noProof/>
            <w:webHidden/>
          </w:rPr>
          <w:fldChar w:fldCharType="begin"/>
        </w:r>
        <w:r w:rsidR="00B51130">
          <w:rPr>
            <w:noProof/>
            <w:webHidden/>
          </w:rPr>
          <w:instrText xml:space="preserve"> PAGEREF _Toc504484132 \h </w:instrText>
        </w:r>
        <w:r w:rsidR="00B51130">
          <w:rPr>
            <w:noProof/>
            <w:webHidden/>
          </w:rPr>
        </w:r>
        <w:r w:rsidR="00B51130">
          <w:rPr>
            <w:noProof/>
            <w:webHidden/>
          </w:rPr>
          <w:fldChar w:fldCharType="separate"/>
        </w:r>
        <w:r w:rsidR="00B51130">
          <w:rPr>
            <w:noProof/>
            <w:webHidden/>
          </w:rPr>
          <w:t>48</w:t>
        </w:r>
        <w:r w:rsidR="00B51130">
          <w:rPr>
            <w:noProof/>
            <w:webHidden/>
          </w:rPr>
          <w:fldChar w:fldCharType="end"/>
        </w:r>
      </w:hyperlink>
    </w:p>
    <w:p w14:paraId="3C94128B" w14:textId="77777777" w:rsidR="00B51130" w:rsidRDefault="00000000">
      <w:pPr>
        <w:pStyle w:val="TOC2"/>
        <w:tabs>
          <w:tab w:val="left" w:pos="1320"/>
        </w:tabs>
        <w:rPr>
          <w:rFonts w:eastAsiaTheme="minorEastAsia" w:cstheme="minorBidi"/>
          <w:noProof/>
          <w:color w:val="auto"/>
          <w:szCs w:val="22"/>
          <w:lang w:eastAsia="en-GB"/>
        </w:rPr>
      </w:pPr>
      <w:hyperlink w:anchor="_Toc504484133" w:history="1">
        <w:r w:rsidR="00B51130" w:rsidRPr="00B2284F">
          <w:rPr>
            <w:rStyle w:val="Hyperlink"/>
            <w:noProof/>
          </w:rPr>
          <w:t>11.2</w:t>
        </w:r>
        <w:r w:rsidR="00B51130">
          <w:rPr>
            <w:rFonts w:eastAsiaTheme="minorEastAsia" w:cstheme="minorBidi"/>
            <w:noProof/>
            <w:color w:val="auto"/>
            <w:szCs w:val="22"/>
            <w:lang w:eastAsia="en-GB"/>
          </w:rPr>
          <w:tab/>
        </w:r>
        <w:r w:rsidR="00B51130" w:rsidRPr="00B2284F">
          <w:rPr>
            <w:rStyle w:val="Hyperlink"/>
            <w:noProof/>
          </w:rPr>
          <w:t>Licensing requirements</w:t>
        </w:r>
        <w:r w:rsidR="00B51130">
          <w:rPr>
            <w:noProof/>
            <w:webHidden/>
          </w:rPr>
          <w:tab/>
        </w:r>
        <w:r w:rsidR="00B51130">
          <w:rPr>
            <w:noProof/>
            <w:webHidden/>
          </w:rPr>
          <w:fldChar w:fldCharType="begin"/>
        </w:r>
        <w:r w:rsidR="00B51130">
          <w:rPr>
            <w:noProof/>
            <w:webHidden/>
          </w:rPr>
          <w:instrText xml:space="preserve"> PAGEREF _Toc504484133 \h </w:instrText>
        </w:r>
        <w:r w:rsidR="00B51130">
          <w:rPr>
            <w:noProof/>
            <w:webHidden/>
          </w:rPr>
        </w:r>
        <w:r w:rsidR="00B51130">
          <w:rPr>
            <w:noProof/>
            <w:webHidden/>
          </w:rPr>
          <w:fldChar w:fldCharType="separate"/>
        </w:r>
        <w:r w:rsidR="00B51130">
          <w:rPr>
            <w:noProof/>
            <w:webHidden/>
          </w:rPr>
          <w:t>48</w:t>
        </w:r>
        <w:r w:rsidR="00B51130">
          <w:rPr>
            <w:noProof/>
            <w:webHidden/>
          </w:rPr>
          <w:fldChar w:fldCharType="end"/>
        </w:r>
      </w:hyperlink>
    </w:p>
    <w:p w14:paraId="1798412E" w14:textId="77777777" w:rsidR="00B51130" w:rsidRDefault="00000000">
      <w:pPr>
        <w:pStyle w:val="TOC2"/>
        <w:tabs>
          <w:tab w:val="left" w:pos="1320"/>
        </w:tabs>
        <w:rPr>
          <w:rFonts w:eastAsiaTheme="minorEastAsia" w:cstheme="minorBidi"/>
          <w:noProof/>
          <w:color w:val="auto"/>
          <w:szCs w:val="22"/>
          <w:lang w:eastAsia="en-GB"/>
        </w:rPr>
      </w:pPr>
      <w:hyperlink w:anchor="_Toc504484134" w:history="1">
        <w:r w:rsidR="00B51130" w:rsidRPr="00B2284F">
          <w:rPr>
            <w:rStyle w:val="Hyperlink"/>
            <w:noProof/>
          </w:rPr>
          <w:t>11.3</w:t>
        </w:r>
        <w:r w:rsidR="00B51130">
          <w:rPr>
            <w:rFonts w:eastAsiaTheme="minorEastAsia" w:cstheme="minorBidi"/>
            <w:noProof/>
            <w:color w:val="auto"/>
            <w:szCs w:val="22"/>
            <w:lang w:eastAsia="en-GB"/>
          </w:rPr>
          <w:tab/>
        </w:r>
        <w:r w:rsidR="00B51130" w:rsidRPr="00B2284F">
          <w:rPr>
            <w:rStyle w:val="Hyperlink"/>
            <w:noProof/>
          </w:rPr>
          <w:t>Requirements for healthcare professionals</w:t>
        </w:r>
        <w:r w:rsidR="00B51130">
          <w:rPr>
            <w:noProof/>
            <w:webHidden/>
          </w:rPr>
          <w:tab/>
        </w:r>
        <w:r w:rsidR="00B51130">
          <w:rPr>
            <w:noProof/>
            <w:webHidden/>
          </w:rPr>
          <w:fldChar w:fldCharType="begin"/>
        </w:r>
        <w:r w:rsidR="00B51130">
          <w:rPr>
            <w:noProof/>
            <w:webHidden/>
          </w:rPr>
          <w:instrText xml:space="preserve"> PAGEREF _Toc504484134 \h </w:instrText>
        </w:r>
        <w:r w:rsidR="00B51130">
          <w:rPr>
            <w:noProof/>
            <w:webHidden/>
          </w:rPr>
        </w:r>
        <w:r w:rsidR="00B51130">
          <w:rPr>
            <w:noProof/>
            <w:webHidden/>
          </w:rPr>
          <w:fldChar w:fldCharType="separate"/>
        </w:r>
        <w:r w:rsidR="00B51130">
          <w:rPr>
            <w:noProof/>
            <w:webHidden/>
          </w:rPr>
          <w:t>49</w:t>
        </w:r>
        <w:r w:rsidR="00B51130">
          <w:rPr>
            <w:noProof/>
            <w:webHidden/>
          </w:rPr>
          <w:fldChar w:fldCharType="end"/>
        </w:r>
      </w:hyperlink>
    </w:p>
    <w:p w14:paraId="47093DA7" w14:textId="77777777" w:rsidR="00B51130" w:rsidRDefault="00000000">
      <w:pPr>
        <w:pStyle w:val="TOC1"/>
        <w:tabs>
          <w:tab w:val="right" w:leader="dot" w:pos="9628"/>
        </w:tabs>
        <w:rPr>
          <w:rFonts w:eastAsiaTheme="minorEastAsia" w:cstheme="minorBidi"/>
          <w:noProof/>
          <w:color w:val="auto"/>
          <w:szCs w:val="22"/>
          <w:lang w:eastAsia="en-GB"/>
        </w:rPr>
      </w:pPr>
      <w:hyperlink w:anchor="_Toc504484135" w:history="1">
        <w:r w:rsidR="00B51130" w:rsidRPr="00B2284F">
          <w:rPr>
            <w:rStyle w:val="Hyperlink"/>
            <w:b/>
            <w:noProof/>
          </w:rPr>
          <w:t>Appendix 2 — core countries</w:t>
        </w:r>
        <w:r w:rsidR="00B51130">
          <w:rPr>
            <w:noProof/>
            <w:webHidden/>
          </w:rPr>
          <w:tab/>
        </w:r>
        <w:r w:rsidR="00B51130">
          <w:rPr>
            <w:noProof/>
            <w:webHidden/>
          </w:rPr>
          <w:fldChar w:fldCharType="begin"/>
        </w:r>
        <w:r w:rsidR="00B51130">
          <w:rPr>
            <w:noProof/>
            <w:webHidden/>
          </w:rPr>
          <w:instrText xml:space="preserve"> PAGEREF _Toc504484135 \h </w:instrText>
        </w:r>
        <w:r w:rsidR="00B51130">
          <w:rPr>
            <w:noProof/>
            <w:webHidden/>
          </w:rPr>
        </w:r>
        <w:r w:rsidR="00B51130">
          <w:rPr>
            <w:noProof/>
            <w:webHidden/>
          </w:rPr>
          <w:fldChar w:fldCharType="separate"/>
        </w:r>
        <w:r w:rsidR="00B51130">
          <w:rPr>
            <w:noProof/>
            <w:webHidden/>
          </w:rPr>
          <w:t>51</w:t>
        </w:r>
        <w:r w:rsidR="00B51130">
          <w:rPr>
            <w:noProof/>
            <w:webHidden/>
          </w:rPr>
          <w:fldChar w:fldCharType="end"/>
        </w:r>
      </w:hyperlink>
    </w:p>
    <w:p w14:paraId="488F157F" w14:textId="77777777" w:rsidR="00B51130" w:rsidRDefault="00000000">
      <w:pPr>
        <w:pStyle w:val="TOC1"/>
        <w:tabs>
          <w:tab w:val="left" w:pos="480"/>
          <w:tab w:val="right" w:leader="dot" w:pos="9628"/>
        </w:tabs>
        <w:rPr>
          <w:rFonts w:eastAsiaTheme="minorEastAsia" w:cstheme="minorBidi"/>
          <w:noProof/>
          <w:color w:val="auto"/>
          <w:szCs w:val="22"/>
          <w:lang w:eastAsia="en-GB"/>
        </w:rPr>
      </w:pPr>
      <w:hyperlink w:anchor="_Toc504484136" w:history="1">
        <w:r w:rsidR="00B51130" w:rsidRPr="00B2284F">
          <w:rPr>
            <w:rStyle w:val="Hyperlink"/>
            <w:noProof/>
          </w:rPr>
          <w:t>1</w:t>
        </w:r>
        <w:r w:rsidR="00B51130">
          <w:rPr>
            <w:rFonts w:eastAsiaTheme="minorEastAsia" w:cstheme="minorBidi"/>
            <w:noProof/>
            <w:color w:val="auto"/>
            <w:szCs w:val="22"/>
            <w:lang w:eastAsia="en-GB"/>
          </w:rPr>
          <w:tab/>
        </w:r>
        <w:r w:rsidR="00B51130" w:rsidRPr="00B2284F">
          <w:rPr>
            <w:rStyle w:val="Hyperlink"/>
            <w:noProof/>
          </w:rPr>
          <w:t>Australia</w:t>
        </w:r>
        <w:r w:rsidR="00B51130">
          <w:rPr>
            <w:noProof/>
            <w:webHidden/>
          </w:rPr>
          <w:tab/>
        </w:r>
        <w:r w:rsidR="00B51130">
          <w:rPr>
            <w:noProof/>
            <w:webHidden/>
          </w:rPr>
          <w:fldChar w:fldCharType="begin"/>
        </w:r>
        <w:r w:rsidR="00B51130">
          <w:rPr>
            <w:noProof/>
            <w:webHidden/>
          </w:rPr>
          <w:instrText xml:space="preserve"> PAGEREF _Toc504484136 \h </w:instrText>
        </w:r>
        <w:r w:rsidR="00B51130">
          <w:rPr>
            <w:noProof/>
            <w:webHidden/>
          </w:rPr>
        </w:r>
        <w:r w:rsidR="00B51130">
          <w:rPr>
            <w:noProof/>
            <w:webHidden/>
          </w:rPr>
          <w:fldChar w:fldCharType="separate"/>
        </w:r>
        <w:r w:rsidR="00B51130">
          <w:rPr>
            <w:noProof/>
            <w:webHidden/>
          </w:rPr>
          <w:t>52</w:t>
        </w:r>
        <w:r w:rsidR="00B51130">
          <w:rPr>
            <w:noProof/>
            <w:webHidden/>
          </w:rPr>
          <w:fldChar w:fldCharType="end"/>
        </w:r>
      </w:hyperlink>
    </w:p>
    <w:p w14:paraId="34387D35" w14:textId="77777777" w:rsidR="00B51130" w:rsidRDefault="00000000">
      <w:pPr>
        <w:pStyle w:val="TOC2"/>
        <w:rPr>
          <w:rFonts w:eastAsiaTheme="minorEastAsia" w:cstheme="minorBidi"/>
          <w:noProof/>
          <w:color w:val="auto"/>
          <w:szCs w:val="22"/>
          <w:lang w:eastAsia="en-GB"/>
        </w:rPr>
      </w:pPr>
      <w:hyperlink w:anchor="_Toc504484137" w:history="1">
        <w:r w:rsidR="00B51130" w:rsidRPr="00B2284F">
          <w:rPr>
            <w:rStyle w:val="Hyperlink"/>
            <w:noProof/>
          </w:rPr>
          <w:t>1.1</w:t>
        </w:r>
        <w:r w:rsidR="00B51130">
          <w:rPr>
            <w:rFonts w:eastAsiaTheme="minorEastAsia" w:cstheme="minorBidi"/>
            <w:noProof/>
            <w:color w:val="auto"/>
            <w:szCs w:val="22"/>
            <w:lang w:eastAsia="en-GB"/>
          </w:rPr>
          <w:tab/>
        </w:r>
        <w:r w:rsidR="00B51130" w:rsidRPr="00B2284F">
          <w:rPr>
            <w:rStyle w:val="Hyperlink"/>
            <w:noProof/>
          </w:rPr>
          <w:t>Country level overview</w:t>
        </w:r>
        <w:r w:rsidR="00B51130">
          <w:rPr>
            <w:noProof/>
            <w:webHidden/>
          </w:rPr>
          <w:tab/>
        </w:r>
        <w:r w:rsidR="00B51130">
          <w:rPr>
            <w:noProof/>
            <w:webHidden/>
          </w:rPr>
          <w:fldChar w:fldCharType="begin"/>
        </w:r>
        <w:r w:rsidR="00B51130">
          <w:rPr>
            <w:noProof/>
            <w:webHidden/>
          </w:rPr>
          <w:instrText xml:space="preserve"> PAGEREF _Toc504484137 \h </w:instrText>
        </w:r>
        <w:r w:rsidR="00B51130">
          <w:rPr>
            <w:noProof/>
            <w:webHidden/>
          </w:rPr>
        </w:r>
        <w:r w:rsidR="00B51130">
          <w:rPr>
            <w:noProof/>
            <w:webHidden/>
          </w:rPr>
          <w:fldChar w:fldCharType="separate"/>
        </w:r>
        <w:r w:rsidR="00B51130">
          <w:rPr>
            <w:noProof/>
            <w:webHidden/>
          </w:rPr>
          <w:t>52</w:t>
        </w:r>
        <w:r w:rsidR="00B51130">
          <w:rPr>
            <w:noProof/>
            <w:webHidden/>
          </w:rPr>
          <w:fldChar w:fldCharType="end"/>
        </w:r>
      </w:hyperlink>
    </w:p>
    <w:p w14:paraId="76282C72" w14:textId="77777777" w:rsidR="00B51130" w:rsidRDefault="00000000">
      <w:pPr>
        <w:pStyle w:val="TOC2"/>
        <w:rPr>
          <w:rFonts w:eastAsiaTheme="minorEastAsia" w:cstheme="minorBidi"/>
          <w:noProof/>
          <w:color w:val="auto"/>
          <w:szCs w:val="22"/>
          <w:lang w:eastAsia="en-GB"/>
        </w:rPr>
      </w:pPr>
      <w:hyperlink w:anchor="_Toc504484138" w:history="1">
        <w:r w:rsidR="00B51130" w:rsidRPr="00B2284F">
          <w:rPr>
            <w:rStyle w:val="Hyperlink"/>
            <w:noProof/>
          </w:rPr>
          <w:t>1.2</w:t>
        </w:r>
        <w:r w:rsidR="00B51130">
          <w:rPr>
            <w:rFonts w:eastAsiaTheme="minorEastAsia" w:cstheme="minorBidi"/>
            <w:noProof/>
            <w:color w:val="auto"/>
            <w:szCs w:val="22"/>
            <w:lang w:eastAsia="en-GB"/>
          </w:rPr>
          <w:tab/>
        </w:r>
        <w:r w:rsidR="00B51130" w:rsidRPr="00B2284F">
          <w:rPr>
            <w:rStyle w:val="Hyperlink"/>
            <w:noProof/>
          </w:rPr>
          <w:t>Medical Board of Australia</w:t>
        </w:r>
        <w:r w:rsidR="00B51130">
          <w:rPr>
            <w:noProof/>
            <w:webHidden/>
          </w:rPr>
          <w:tab/>
        </w:r>
        <w:r w:rsidR="00B51130">
          <w:rPr>
            <w:noProof/>
            <w:webHidden/>
          </w:rPr>
          <w:fldChar w:fldCharType="begin"/>
        </w:r>
        <w:r w:rsidR="00B51130">
          <w:rPr>
            <w:noProof/>
            <w:webHidden/>
          </w:rPr>
          <w:instrText xml:space="preserve"> PAGEREF _Toc504484138 \h </w:instrText>
        </w:r>
        <w:r w:rsidR="00B51130">
          <w:rPr>
            <w:noProof/>
            <w:webHidden/>
          </w:rPr>
        </w:r>
        <w:r w:rsidR="00B51130">
          <w:rPr>
            <w:noProof/>
            <w:webHidden/>
          </w:rPr>
          <w:fldChar w:fldCharType="separate"/>
        </w:r>
        <w:r w:rsidR="00B51130">
          <w:rPr>
            <w:noProof/>
            <w:webHidden/>
          </w:rPr>
          <w:t>54</w:t>
        </w:r>
        <w:r w:rsidR="00B51130">
          <w:rPr>
            <w:noProof/>
            <w:webHidden/>
          </w:rPr>
          <w:fldChar w:fldCharType="end"/>
        </w:r>
      </w:hyperlink>
    </w:p>
    <w:p w14:paraId="7E3E1B94" w14:textId="77777777" w:rsidR="00B51130" w:rsidRDefault="00000000">
      <w:pPr>
        <w:pStyle w:val="TOC2"/>
        <w:rPr>
          <w:rFonts w:eastAsiaTheme="minorEastAsia" w:cstheme="minorBidi"/>
          <w:noProof/>
          <w:color w:val="auto"/>
          <w:szCs w:val="22"/>
          <w:lang w:eastAsia="en-GB"/>
        </w:rPr>
      </w:pPr>
      <w:hyperlink w:anchor="_Toc504484139" w:history="1">
        <w:r w:rsidR="00B51130" w:rsidRPr="00B2284F">
          <w:rPr>
            <w:rStyle w:val="Hyperlink"/>
            <w:noProof/>
          </w:rPr>
          <w:t>1.3</w:t>
        </w:r>
        <w:r w:rsidR="00B51130">
          <w:rPr>
            <w:rFonts w:eastAsiaTheme="minorEastAsia" w:cstheme="minorBidi"/>
            <w:noProof/>
            <w:color w:val="auto"/>
            <w:szCs w:val="22"/>
            <w:lang w:eastAsia="en-GB"/>
          </w:rPr>
          <w:tab/>
        </w:r>
        <w:r w:rsidR="00B51130" w:rsidRPr="00B2284F">
          <w:rPr>
            <w:rStyle w:val="Hyperlink"/>
            <w:noProof/>
          </w:rPr>
          <w:t>ACRRM (Australian College of Rural and Remote Medicine)</w:t>
        </w:r>
        <w:r w:rsidR="00B51130">
          <w:rPr>
            <w:noProof/>
            <w:webHidden/>
          </w:rPr>
          <w:tab/>
        </w:r>
        <w:r w:rsidR="00B51130">
          <w:rPr>
            <w:noProof/>
            <w:webHidden/>
          </w:rPr>
          <w:fldChar w:fldCharType="begin"/>
        </w:r>
        <w:r w:rsidR="00B51130">
          <w:rPr>
            <w:noProof/>
            <w:webHidden/>
          </w:rPr>
          <w:instrText xml:space="preserve"> PAGEREF _Toc504484139 \h </w:instrText>
        </w:r>
        <w:r w:rsidR="00B51130">
          <w:rPr>
            <w:noProof/>
            <w:webHidden/>
          </w:rPr>
        </w:r>
        <w:r w:rsidR="00B51130">
          <w:rPr>
            <w:noProof/>
            <w:webHidden/>
          </w:rPr>
          <w:fldChar w:fldCharType="separate"/>
        </w:r>
        <w:r w:rsidR="00B51130">
          <w:rPr>
            <w:noProof/>
            <w:webHidden/>
          </w:rPr>
          <w:t>55</w:t>
        </w:r>
        <w:r w:rsidR="00B51130">
          <w:rPr>
            <w:noProof/>
            <w:webHidden/>
          </w:rPr>
          <w:fldChar w:fldCharType="end"/>
        </w:r>
      </w:hyperlink>
    </w:p>
    <w:p w14:paraId="2FB4FADF" w14:textId="77777777" w:rsidR="00B51130" w:rsidRDefault="00000000">
      <w:pPr>
        <w:pStyle w:val="TOC2"/>
        <w:rPr>
          <w:rFonts w:eastAsiaTheme="minorEastAsia" w:cstheme="minorBidi"/>
          <w:noProof/>
          <w:color w:val="auto"/>
          <w:szCs w:val="22"/>
          <w:lang w:eastAsia="en-GB"/>
        </w:rPr>
      </w:pPr>
      <w:hyperlink w:anchor="_Toc504484140" w:history="1">
        <w:r w:rsidR="00B51130" w:rsidRPr="00B2284F">
          <w:rPr>
            <w:rStyle w:val="Hyperlink"/>
            <w:noProof/>
          </w:rPr>
          <w:t>1.4</w:t>
        </w:r>
        <w:r w:rsidR="00B51130">
          <w:rPr>
            <w:rFonts w:eastAsiaTheme="minorEastAsia" w:cstheme="minorBidi"/>
            <w:noProof/>
            <w:color w:val="auto"/>
            <w:szCs w:val="22"/>
            <w:lang w:eastAsia="en-GB"/>
          </w:rPr>
          <w:tab/>
        </w:r>
        <w:r w:rsidR="00B51130" w:rsidRPr="00B2284F">
          <w:rPr>
            <w:rStyle w:val="Hyperlink"/>
            <w:noProof/>
          </w:rPr>
          <w:t>RACGP (The Royal Australian College of General Practitioners)</w:t>
        </w:r>
        <w:r w:rsidR="00B51130">
          <w:rPr>
            <w:noProof/>
            <w:webHidden/>
          </w:rPr>
          <w:tab/>
        </w:r>
        <w:r w:rsidR="00B51130">
          <w:rPr>
            <w:noProof/>
            <w:webHidden/>
          </w:rPr>
          <w:fldChar w:fldCharType="begin"/>
        </w:r>
        <w:r w:rsidR="00B51130">
          <w:rPr>
            <w:noProof/>
            <w:webHidden/>
          </w:rPr>
          <w:instrText xml:space="preserve"> PAGEREF _Toc504484140 \h </w:instrText>
        </w:r>
        <w:r w:rsidR="00B51130">
          <w:rPr>
            <w:noProof/>
            <w:webHidden/>
          </w:rPr>
        </w:r>
        <w:r w:rsidR="00B51130">
          <w:rPr>
            <w:noProof/>
            <w:webHidden/>
          </w:rPr>
          <w:fldChar w:fldCharType="separate"/>
        </w:r>
        <w:r w:rsidR="00B51130">
          <w:rPr>
            <w:noProof/>
            <w:webHidden/>
          </w:rPr>
          <w:t>60</w:t>
        </w:r>
        <w:r w:rsidR="00B51130">
          <w:rPr>
            <w:noProof/>
            <w:webHidden/>
          </w:rPr>
          <w:fldChar w:fldCharType="end"/>
        </w:r>
      </w:hyperlink>
    </w:p>
    <w:p w14:paraId="4D090B76" w14:textId="77777777" w:rsidR="00B51130" w:rsidRDefault="00000000">
      <w:pPr>
        <w:pStyle w:val="TOC2"/>
        <w:rPr>
          <w:rFonts w:eastAsiaTheme="minorEastAsia" w:cstheme="minorBidi"/>
          <w:noProof/>
          <w:color w:val="auto"/>
          <w:szCs w:val="22"/>
          <w:lang w:eastAsia="en-GB"/>
        </w:rPr>
      </w:pPr>
      <w:hyperlink w:anchor="_Toc504484141" w:history="1">
        <w:r w:rsidR="00B51130" w:rsidRPr="00B2284F">
          <w:rPr>
            <w:rStyle w:val="Hyperlink"/>
            <w:noProof/>
          </w:rPr>
          <w:t>1.5</w:t>
        </w:r>
        <w:r w:rsidR="00B51130">
          <w:rPr>
            <w:rFonts w:eastAsiaTheme="minorEastAsia" w:cstheme="minorBidi"/>
            <w:noProof/>
            <w:color w:val="auto"/>
            <w:szCs w:val="22"/>
            <w:lang w:eastAsia="en-GB"/>
          </w:rPr>
          <w:tab/>
        </w:r>
        <w:r w:rsidR="00B51130" w:rsidRPr="00B2284F">
          <w:rPr>
            <w:rStyle w:val="Hyperlink"/>
            <w:noProof/>
          </w:rPr>
          <w:t>AMA (Australian Medical Association)</w:t>
        </w:r>
        <w:r w:rsidR="00B51130">
          <w:rPr>
            <w:noProof/>
            <w:webHidden/>
          </w:rPr>
          <w:tab/>
        </w:r>
        <w:r w:rsidR="00B51130">
          <w:rPr>
            <w:noProof/>
            <w:webHidden/>
          </w:rPr>
          <w:fldChar w:fldCharType="begin"/>
        </w:r>
        <w:r w:rsidR="00B51130">
          <w:rPr>
            <w:noProof/>
            <w:webHidden/>
          </w:rPr>
          <w:instrText xml:space="preserve"> PAGEREF _Toc504484141 \h </w:instrText>
        </w:r>
        <w:r w:rsidR="00B51130">
          <w:rPr>
            <w:noProof/>
            <w:webHidden/>
          </w:rPr>
        </w:r>
        <w:r w:rsidR="00B51130">
          <w:rPr>
            <w:noProof/>
            <w:webHidden/>
          </w:rPr>
          <w:fldChar w:fldCharType="separate"/>
        </w:r>
        <w:r w:rsidR="00B51130">
          <w:rPr>
            <w:noProof/>
            <w:webHidden/>
          </w:rPr>
          <w:t>63</w:t>
        </w:r>
        <w:r w:rsidR="00B51130">
          <w:rPr>
            <w:noProof/>
            <w:webHidden/>
          </w:rPr>
          <w:fldChar w:fldCharType="end"/>
        </w:r>
      </w:hyperlink>
    </w:p>
    <w:p w14:paraId="6F098E86" w14:textId="77777777" w:rsidR="00B51130" w:rsidRDefault="00000000">
      <w:pPr>
        <w:pStyle w:val="TOC2"/>
        <w:rPr>
          <w:rFonts w:eastAsiaTheme="minorEastAsia" w:cstheme="minorBidi"/>
          <w:noProof/>
          <w:color w:val="auto"/>
          <w:szCs w:val="22"/>
          <w:lang w:eastAsia="en-GB"/>
        </w:rPr>
      </w:pPr>
      <w:hyperlink w:anchor="_Toc504484142" w:history="1">
        <w:r w:rsidR="00B51130" w:rsidRPr="00B2284F">
          <w:rPr>
            <w:rStyle w:val="Hyperlink"/>
            <w:noProof/>
          </w:rPr>
          <w:t>1.6</w:t>
        </w:r>
        <w:r w:rsidR="00B51130">
          <w:rPr>
            <w:rFonts w:eastAsiaTheme="minorEastAsia" w:cstheme="minorBidi"/>
            <w:noProof/>
            <w:color w:val="auto"/>
            <w:szCs w:val="22"/>
            <w:lang w:eastAsia="en-GB"/>
          </w:rPr>
          <w:tab/>
        </w:r>
        <w:r w:rsidR="00B51130" w:rsidRPr="00B2284F">
          <w:rPr>
            <w:rStyle w:val="Hyperlink"/>
            <w:noProof/>
          </w:rPr>
          <w:t>The Royal Australasian College of Physicians</w:t>
        </w:r>
        <w:r w:rsidR="00B51130">
          <w:rPr>
            <w:noProof/>
            <w:webHidden/>
          </w:rPr>
          <w:tab/>
        </w:r>
        <w:r w:rsidR="00B51130">
          <w:rPr>
            <w:noProof/>
            <w:webHidden/>
          </w:rPr>
          <w:fldChar w:fldCharType="begin"/>
        </w:r>
        <w:r w:rsidR="00B51130">
          <w:rPr>
            <w:noProof/>
            <w:webHidden/>
          </w:rPr>
          <w:instrText xml:space="preserve"> PAGEREF _Toc504484142 \h </w:instrText>
        </w:r>
        <w:r w:rsidR="00B51130">
          <w:rPr>
            <w:noProof/>
            <w:webHidden/>
          </w:rPr>
        </w:r>
        <w:r w:rsidR="00B51130">
          <w:rPr>
            <w:noProof/>
            <w:webHidden/>
          </w:rPr>
          <w:fldChar w:fldCharType="separate"/>
        </w:r>
        <w:r w:rsidR="00B51130">
          <w:rPr>
            <w:noProof/>
            <w:webHidden/>
          </w:rPr>
          <w:t>64</w:t>
        </w:r>
        <w:r w:rsidR="00B51130">
          <w:rPr>
            <w:noProof/>
            <w:webHidden/>
          </w:rPr>
          <w:fldChar w:fldCharType="end"/>
        </w:r>
      </w:hyperlink>
    </w:p>
    <w:p w14:paraId="5CAD90A8" w14:textId="77777777" w:rsidR="00B51130" w:rsidRDefault="00000000">
      <w:pPr>
        <w:pStyle w:val="TOC2"/>
        <w:rPr>
          <w:rFonts w:eastAsiaTheme="minorEastAsia" w:cstheme="minorBidi"/>
          <w:noProof/>
          <w:color w:val="auto"/>
          <w:szCs w:val="22"/>
          <w:lang w:eastAsia="en-GB"/>
        </w:rPr>
      </w:pPr>
      <w:hyperlink w:anchor="_Toc504484143" w:history="1">
        <w:r w:rsidR="00B51130" w:rsidRPr="00B2284F">
          <w:rPr>
            <w:rStyle w:val="Hyperlink"/>
            <w:noProof/>
          </w:rPr>
          <w:t>1.7</w:t>
        </w:r>
        <w:r w:rsidR="00B51130">
          <w:rPr>
            <w:rFonts w:eastAsiaTheme="minorEastAsia" w:cstheme="minorBidi"/>
            <w:noProof/>
            <w:color w:val="auto"/>
            <w:szCs w:val="22"/>
            <w:lang w:eastAsia="en-GB"/>
          </w:rPr>
          <w:tab/>
        </w:r>
        <w:r w:rsidR="00B51130" w:rsidRPr="00B2284F">
          <w:rPr>
            <w:rStyle w:val="Hyperlink"/>
            <w:noProof/>
          </w:rPr>
          <w:t>Australian Health Practitioner Regulation Agency (AHPRA)</w:t>
        </w:r>
        <w:r w:rsidR="00B51130">
          <w:rPr>
            <w:noProof/>
            <w:webHidden/>
          </w:rPr>
          <w:tab/>
        </w:r>
        <w:r w:rsidR="00B51130">
          <w:rPr>
            <w:noProof/>
            <w:webHidden/>
          </w:rPr>
          <w:fldChar w:fldCharType="begin"/>
        </w:r>
        <w:r w:rsidR="00B51130">
          <w:rPr>
            <w:noProof/>
            <w:webHidden/>
          </w:rPr>
          <w:instrText xml:space="preserve"> PAGEREF _Toc504484143 \h </w:instrText>
        </w:r>
        <w:r w:rsidR="00B51130">
          <w:rPr>
            <w:noProof/>
            <w:webHidden/>
          </w:rPr>
        </w:r>
        <w:r w:rsidR="00B51130">
          <w:rPr>
            <w:noProof/>
            <w:webHidden/>
          </w:rPr>
          <w:fldChar w:fldCharType="separate"/>
        </w:r>
        <w:r w:rsidR="00B51130">
          <w:rPr>
            <w:noProof/>
            <w:webHidden/>
          </w:rPr>
          <w:t>66</w:t>
        </w:r>
        <w:r w:rsidR="00B51130">
          <w:rPr>
            <w:noProof/>
            <w:webHidden/>
          </w:rPr>
          <w:fldChar w:fldCharType="end"/>
        </w:r>
      </w:hyperlink>
    </w:p>
    <w:p w14:paraId="09935F1E" w14:textId="77777777" w:rsidR="00B51130" w:rsidRDefault="00000000">
      <w:pPr>
        <w:pStyle w:val="TOC2"/>
        <w:rPr>
          <w:rFonts w:eastAsiaTheme="minorEastAsia" w:cstheme="minorBidi"/>
          <w:noProof/>
          <w:color w:val="auto"/>
          <w:szCs w:val="22"/>
          <w:lang w:eastAsia="en-GB"/>
        </w:rPr>
      </w:pPr>
      <w:hyperlink w:anchor="_Toc504484144" w:history="1">
        <w:r w:rsidR="00B51130" w:rsidRPr="00B2284F">
          <w:rPr>
            <w:rStyle w:val="Hyperlink"/>
            <w:noProof/>
          </w:rPr>
          <w:t>1.8</w:t>
        </w:r>
        <w:r w:rsidR="00B51130">
          <w:rPr>
            <w:rFonts w:eastAsiaTheme="minorEastAsia" w:cstheme="minorBidi"/>
            <w:noProof/>
            <w:color w:val="auto"/>
            <w:szCs w:val="22"/>
            <w:lang w:eastAsia="en-GB"/>
          </w:rPr>
          <w:tab/>
        </w:r>
        <w:r w:rsidR="00B51130" w:rsidRPr="00B2284F">
          <w:rPr>
            <w:rStyle w:val="Hyperlink"/>
            <w:noProof/>
          </w:rPr>
          <w:t>Medical Council of New South Wales</w:t>
        </w:r>
        <w:r w:rsidR="00B51130">
          <w:rPr>
            <w:noProof/>
            <w:webHidden/>
          </w:rPr>
          <w:tab/>
        </w:r>
        <w:r w:rsidR="00B51130">
          <w:rPr>
            <w:noProof/>
            <w:webHidden/>
          </w:rPr>
          <w:fldChar w:fldCharType="begin"/>
        </w:r>
        <w:r w:rsidR="00B51130">
          <w:rPr>
            <w:noProof/>
            <w:webHidden/>
          </w:rPr>
          <w:instrText xml:space="preserve"> PAGEREF _Toc504484144 \h </w:instrText>
        </w:r>
        <w:r w:rsidR="00B51130">
          <w:rPr>
            <w:noProof/>
            <w:webHidden/>
          </w:rPr>
        </w:r>
        <w:r w:rsidR="00B51130">
          <w:rPr>
            <w:noProof/>
            <w:webHidden/>
          </w:rPr>
          <w:fldChar w:fldCharType="separate"/>
        </w:r>
        <w:r w:rsidR="00B51130">
          <w:rPr>
            <w:noProof/>
            <w:webHidden/>
          </w:rPr>
          <w:t>67</w:t>
        </w:r>
        <w:r w:rsidR="00B51130">
          <w:rPr>
            <w:noProof/>
            <w:webHidden/>
          </w:rPr>
          <w:fldChar w:fldCharType="end"/>
        </w:r>
      </w:hyperlink>
    </w:p>
    <w:p w14:paraId="75B4AC74" w14:textId="77777777" w:rsidR="00B51130" w:rsidRDefault="00000000">
      <w:pPr>
        <w:pStyle w:val="TOC1"/>
        <w:tabs>
          <w:tab w:val="left" w:pos="480"/>
          <w:tab w:val="right" w:leader="dot" w:pos="9628"/>
        </w:tabs>
        <w:rPr>
          <w:rFonts w:eastAsiaTheme="minorEastAsia" w:cstheme="minorBidi"/>
          <w:noProof/>
          <w:color w:val="auto"/>
          <w:szCs w:val="22"/>
          <w:lang w:eastAsia="en-GB"/>
        </w:rPr>
      </w:pPr>
      <w:hyperlink w:anchor="_Toc504484145" w:history="1">
        <w:r w:rsidR="00B51130" w:rsidRPr="00B2284F">
          <w:rPr>
            <w:rStyle w:val="Hyperlink"/>
            <w:noProof/>
          </w:rPr>
          <w:t>2</w:t>
        </w:r>
        <w:r w:rsidR="00B51130">
          <w:rPr>
            <w:rFonts w:eastAsiaTheme="minorEastAsia" w:cstheme="minorBidi"/>
            <w:noProof/>
            <w:color w:val="auto"/>
            <w:szCs w:val="22"/>
            <w:lang w:eastAsia="en-GB"/>
          </w:rPr>
          <w:tab/>
        </w:r>
        <w:r w:rsidR="00B51130" w:rsidRPr="00B2284F">
          <w:rPr>
            <w:rStyle w:val="Hyperlink"/>
            <w:noProof/>
          </w:rPr>
          <w:t>Canada</w:t>
        </w:r>
        <w:r w:rsidR="00B51130">
          <w:rPr>
            <w:noProof/>
            <w:webHidden/>
          </w:rPr>
          <w:tab/>
        </w:r>
        <w:r w:rsidR="00B51130">
          <w:rPr>
            <w:noProof/>
            <w:webHidden/>
          </w:rPr>
          <w:fldChar w:fldCharType="begin"/>
        </w:r>
        <w:r w:rsidR="00B51130">
          <w:rPr>
            <w:noProof/>
            <w:webHidden/>
          </w:rPr>
          <w:instrText xml:space="preserve"> PAGEREF _Toc504484145 \h </w:instrText>
        </w:r>
        <w:r w:rsidR="00B51130">
          <w:rPr>
            <w:noProof/>
            <w:webHidden/>
          </w:rPr>
        </w:r>
        <w:r w:rsidR="00B51130">
          <w:rPr>
            <w:noProof/>
            <w:webHidden/>
          </w:rPr>
          <w:fldChar w:fldCharType="separate"/>
        </w:r>
        <w:r w:rsidR="00B51130">
          <w:rPr>
            <w:noProof/>
            <w:webHidden/>
          </w:rPr>
          <w:t>69</w:t>
        </w:r>
        <w:r w:rsidR="00B51130">
          <w:rPr>
            <w:noProof/>
            <w:webHidden/>
          </w:rPr>
          <w:fldChar w:fldCharType="end"/>
        </w:r>
      </w:hyperlink>
    </w:p>
    <w:p w14:paraId="2F48E4F0" w14:textId="77777777" w:rsidR="00B51130" w:rsidRDefault="00000000">
      <w:pPr>
        <w:pStyle w:val="TOC2"/>
        <w:rPr>
          <w:rFonts w:eastAsiaTheme="minorEastAsia" w:cstheme="minorBidi"/>
          <w:noProof/>
          <w:color w:val="auto"/>
          <w:szCs w:val="22"/>
          <w:lang w:eastAsia="en-GB"/>
        </w:rPr>
      </w:pPr>
      <w:hyperlink w:anchor="_Toc504484146" w:history="1">
        <w:r w:rsidR="00B51130" w:rsidRPr="00B2284F">
          <w:rPr>
            <w:rStyle w:val="Hyperlink"/>
            <w:noProof/>
          </w:rPr>
          <w:t>2.1</w:t>
        </w:r>
        <w:r w:rsidR="00B51130">
          <w:rPr>
            <w:rFonts w:eastAsiaTheme="minorEastAsia" w:cstheme="minorBidi"/>
            <w:noProof/>
            <w:color w:val="auto"/>
            <w:szCs w:val="22"/>
            <w:lang w:eastAsia="en-GB"/>
          </w:rPr>
          <w:tab/>
        </w:r>
        <w:r w:rsidR="00B51130" w:rsidRPr="00B2284F">
          <w:rPr>
            <w:rStyle w:val="Hyperlink"/>
            <w:noProof/>
          </w:rPr>
          <w:t>Country level overview</w:t>
        </w:r>
        <w:r w:rsidR="00B51130">
          <w:rPr>
            <w:noProof/>
            <w:webHidden/>
          </w:rPr>
          <w:tab/>
        </w:r>
        <w:r w:rsidR="00B51130">
          <w:rPr>
            <w:noProof/>
            <w:webHidden/>
          </w:rPr>
          <w:fldChar w:fldCharType="begin"/>
        </w:r>
        <w:r w:rsidR="00B51130">
          <w:rPr>
            <w:noProof/>
            <w:webHidden/>
          </w:rPr>
          <w:instrText xml:space="preserve"> PAGEREF _Toc504484146 \h </w:instrText>
        </w:r>
        <w:r w:rsidR="00B51130">
          <w:rPr>
            <w:noProof/>
            <w:webHidden/>
          </w:rPr>
        </w:r>
        <w:r w:rsidR="00B51130">
          <w:rPr>
            <w:noProof/>
            <w:webHidden/>
          </w:rPr>
          <w:fldChar w:fldCharType="separate"/>
        </w:r>
        <w:r w:rsidR="00B51130">
          <w:rPr>
            <w:noProof/>
            <w:webHidden/>
          </w:rPr>
          <w:t>69</w:t>
        </w:r>
        <w:r w:rsidR="00B51130">
          <w:rPr>
            <w:noProof/>
            <w:webHidden/>
          </w:rPr>
          <w:fldChar w:fldCharType="end"/>
        </w:r>
      </w:hyperlink>
    </w:p>
    <w:p w14:paraId="1A839C56" w14:textId="77777777" w:rsidR="00B51130" w:rsidRDefault="00000000">
      <w:pPr>
        <w:pStyle w:val="TOC2"/>
        <w:rPr>
          <w:rFonts w:eastAsiaTheme="minorEastAsia" w:cstheme="minorBidi"/>
          <w:noProof/>
          <w:color w:val="auto"/>
          <w:szCs w:val="22"/>
          <w:lang w:eastAsia="en-GB"/>
        </w:rPr>
      </w:pPr>
      <w:hyperlink w:anchor="_Toc504484147" w:history="1">
        <w:r w:rsidR="00B51130" w:rsidRPr="00B2284F">
          <w:rPr>
            <w:rStyle w:val="Hyperlink"/>
            <w:noProof/>
            <w:lang w:eastAsia="en-GB"/>
          </w:rPr>
          <w:t>2.2</w:t>
        </w:r>
        <w:r w:rsidR="00B51130">
          <w:rPr>
            <w:rFonts w:eastAsiaTheme="minorEastAsia" w:cstheme="minorBidi"/>
            <w:noProof/>
            <w:color w:val="auto"/>
            <w:szCs w:val="22"/>
            <w:lang w:eastAsia="en-GB"/>
          </w:rPr>
          <w:tab/>
        </w:r>
        <w:r w:rsidR="00B51130" w:rsidRPr="00B2284F">
          <w:rPr>
            <w:rStyle w:val="Hyperlink"/>
            <w:noProof/>
          </w:rPr>
          <w:t>Federation of Medical Regulatory Authorities of Canada</w:t>
        </w:r>
        <w:r w:rsidR="00B51130">
          <w:rPr>
            <w:noProof/>
            <w:webHidden/>
          </w:rPr>
          <w:tab/>
        </w:r>
        <w:r w:rsidR="00B51130">
          <w:rPr>
            <w:noProof/>
            <w:webHidden/>
          </w:rPr>
          <w:fldChar w:fldCharType="begin"/>
        </w:r>
        <w:r w:rsidR="00B51130">
          <w:rPr>
            <w:noProof/>
            <w:webHidden/>
          </w:rPr>
          <w:instrText xml:space="preserve"> PAGEREF _Toc504484147 \h </w:instrText>
        </w:r>
        <w:r w:rsidR="00B51130">
          <w:rPr>
            <w:noProof/>
            <w:webHidden/>
          </w:rPr>
        </w:r>
        <w:r w:rsidR="00B51130">
          <w:rPr>
            <w:noProof/>
            <w:webHidden/>
          </w:rPr>
          <w:fldChar w:fldCharType="separate"/>
        </w:r>
        <w:r w:rsidR="00B51130">
          <w:rPr>
            <w:noProof/>
            <w:webHidden/>
          </w:rPr>
          <w:t>69</w:t>
        </w:r>
        <w:r w:rsidR="00B51130">
          <w:rPr>
            <w:noProof/>
            <w:webHidden/>
          </w:rPr>
          <w:fldChar w:fldCharType="end"/>
        </w:r>
      </w:hyperlink>
    </w:p>
    <w:p w14:paraId="46115E37" w14:textId="77777777" w:rsidR="00B51130" w:rsidRDefault="00000000">
      <w:pPr>
        <w:pStyle w:val="TOC2"/>
        <w:rPr>
          <w:rFonts w:eastAsiaTheme="minorEastAsia" w:cstheme="minorBidi"/>
          <w:noProof/>
          <w:color w:val="auto"/>
          <w:szCs w:val="22"/>
          <w:lang w:eastAsia="en-GB"/>
        </w:rPr>
      </w:pPr>
      <w:hyperlink w:anchor="_Toc504484148" w:history="1">
        <w:r w:rsidR="00B51130" w:rsidRPr="00B2284F">
          <w:rPr>
            <w:rStyle w:val="Hyperlink"/>
            <w:noProof/>
          </w:rPr>
          <w:t>2.3</w:t>
        </w:r>
        <w:r w:rsidR="00B51130">
          <w:rPr>
            <w:rFonts w:eastAsiaTheme="minorEastAsia" w:cstheme="minorBidi"/>
            <w:noProof/>
            <w:color w:val="auto"/>
            <w:szCs w:val="22"/>
            <w:lang w:eastAsia="en-GB"/>
          </w:rPr>
          <w:tab/>
        </w:r>
        <w:r w:rsidR="00B51130" w:rsidRPr="00B2284F">
          <w:rPr>
            <w:rStyle w:val="Hyperlink"/>
            <w:noProof/>
          </w:rPr>
          <w:t>College of Physicians and Surgeons of Alberta</w:t>
        </w:r>
        <w:r w:rsidR="00B51130">
          <w:rPr>
            <w:noProof/>
            <w:webHidden/>
          </w:rPr>
          <w:tab/>
        </w:r>
        <w:r w:rsidR="00B51130">
          <w:rPr>
            <w:noProof/>
            <w:webHidden/>
          </w:rPr>
          <w:fldChar w:fldCharType="begin"/>
        </w:r>
        <w:r w:rsidR="00B51130">
          <w:rPr>
            <w:noProof/>
            <w:webHidden/>
          </w:rPr>
          <w:instrText xml:space="preserve"> PAGEREF _Toc504484148 \h </w:instrText>
        </w:r>
        <w:r w:rsidR="00B51130">
          <w:rPr>
            <w:noProof/>
            <w:webHidden/>
          </w:rPr>
        </w:r>
        <w:r w:rsidR="00B51130">
          <w:rPr>
            <w:noProof/>
            <w:webHidden/>
          </w:rPr>
          <w:fldChar w:fldCharType="separate"/>
        </w:r>
        <w:r w:rsidR="00B51130">
          <w:rPr>
            <w:noProof/>
            <w:webHidden/>
          </w:rPr>
          <w:t>71</w:t>
        </w:r>
        <w:r w:rsidR="00B51130">
          <w:rPr>
            <w:noProof/>
            <w:webHidden/>
          </w:rPr>
          <w:fldChar w:fldCharType="end"/>
        </w:r>
      </w:hyperlink>
    </w:p>
    <w:p w14:paraId="23584F0E" w14:textId="77777777" w:rsidR="00B51130" w:rsidRDefault="00000000">
      <w:pPr>
        <w:pStyle w:val="TOC2"/>
        <w:rPr>
          <w:rFonts w:eastAsiaTheme="minorEastAsia" w:cstheme="minorBidi"/>
          <w:noProof/>
          <w:color w:val="auto"/>
          <w:szCs w:val="22"/>
          <w:lang w:eastAsia="en-GB"/>
        </w:rPr>
      </w:pPr>
      <w:hyperlink w:anchor="_Toc504484149" w:history="1">
        <w:r w:rsidR="00B51130" w:rsidRPr="00B2284F">
          <w:rPr>
            <w:rStyle w:val="Hyperlink"/>
            <w:noProof/>
          </w:rPr>
          <w:t>2.4</w:t>
        </w:r>
        <w:r w:rsidR="00B51130">
          <w:rPr>
            <w:rFonts w:eastAsiaTheme="minorEastAsia" w:cstheme="minorBidi"/>
            <w:noProof/>
            <w:color w:val="auto"/>
            <w:szCs w:val="22"/>
            <w:lang w:eastAsia="en-GB"/>
          </w:rPr>
          <w:tab/>
        </w:r>
        <w:r w:rsidR="00B51130" w:rsidRPr="00B2284F">
          <w:rPr>
            <w:rStyle w:val="Hyperlink"/>
            <w:noProof/>
          </w:rPr>
          <w:t>College of Physicians and Surgeons of British Columbia</w:t>
        </w:r>
        <w:r w:rsidR="00B51130">
          <w:rPr>
            <w:noProof/>
            <w:webHidden/>
          </w:rPr>
          <w:tab/>
        </w:r>
        <w:r w:rsidR="00B51130">
          <w:rPr>
            <w:noProof/>
            <w:webHidden/>
          </w:rPr>
          <w:fldChar w:fldCharType="begin"/>
        </w:r>
        <w:r w:rsidR="00B51130">
          <w:rPr>
            <w:noProof/>
            <w:webHidden/>
          </w:rPr>
          <w:instrText xml:space="preserve"> PAGEREF _Toc504484149 \h </w:instrText>
        </w:r>
        <w:r w:rsidR="00B51130">
          <w:rPr>
            <w:noProof/>
            <w:webHidden/>
          </w:rPr>
        </w:r>
        <w:r w:rsidR="00B51130">
          <w:rPr>
            <w:noProof/>
            <w:webHidden/>
          </w:rPr>
          <w:fldChar w:fldCharType="separate"/>
        </w:r>
        <w:r w:rsidR="00B51130">
          <w:rPr>
            <w:noProof/>
            <w:webHidden/>
          </w:rPr>
          <w:t>72</w:t>
        </w:r>
        <w:r w:rsidR="00B51130">
          <w:rPr>
            <w:noProof/>
            <w:webHidden/>
          </w:rPr>
          <w:fldChar w:fldCharType="end"/>
        </w:r>
      </w:hyperlink>
    </w:p>
    <w:p w14:paraId="0DDD9538" w14:textId="77777777" w:rsidR="00B51130" w:rsidRDefault="00000000">
      <w:pPr>
        <w:pStyle w:val="TOC2"/>
        <w:rPr>
          <w:rFonts w:eastAsiaTheme="minorEastAsia" w:cstheme="minorBidi"/>
          <w:noProof/>
          <w:color w:val="auto"/>
          <w:szCs w:val="22"/>
          <w:lang w:eastAsia="en-GB"/>
        </w:rPr>
      </w:pPr>
      <w:hyperlink w:anchor="_Toc504484150" w:history="1">
        <w:r w:rsidR="00B51130" w:rsidRPr="00B2284F">
          <w:rPr>
            <w:rStyle w:val="Hyperlink"/>
            <w:noProof/>
          </w:rPr>
          <w:t>2.5</w:t>
        </w:r>
        <w:r w:rsidR="00B51130">
          <w:rPr>
            <w:rFonts w:eastAsiaTheme="minorEastAsia" w:cstheme="minorBidi"/>
            <w:noProof/>
            <w:color w:val="auto"/>
            <w:szCs w:val="22"/>
            <w:lang w:eastAsia="en-GB"/>
          </w:rPr>
          <w:tab/>
        </w:r>
        <w:r w:rsidR="00B51130" w:rsidRPr="00B2284F">
          <w:rPr>
            <w:rStyle w:val="Hyperlink"/>
            <w:noProof/>
          </w:rPr>
          <w:t>College of Physicians and Surgeons of Newfoundland and Labrador</w:t>
        </w:r>
        <w:r w:rsidR="00B51130">
          <w:rPr>
            <w:noProof/>
            <w:webHidden/>
          </w:rPr>
          <w:tab/>
        </w:r>
        <w:r w:rsidR="00B51130">
          <w:rPr>
            <w:noProof/>
            <w:webHidden/>
          </w:rPr>
          <w:fldChar w:fldCharType="begin"/>
        </w:r>
        <w:r w:rsidR="00B51130">
          <w:rPr>
            <w:noProof/>
            <w:webHidden/>
          </w:rPr>
          <w:instrText xml:space="preserve"> PAGEREF _Toc504484150 \h </w:instrText>
        </w:r>
        <w:r w:rsidR="00B51130">
          <w:rPr>
            <w:noProof/>
            <w:webHidden/>
          </w:rPr>
        </w:r>
        <w:r w:rsidR="00B51130">
          <w:rPr>
            <w:noProof/>
            <w:webHidden/>
          </w:rPr>
          <w:fldChar w:fldCharType="separate"/>
        </w:r>
        <w:r w:rsidR="00B51130">
          <w:rPr>
            <w:noProof/>
            <w:webHidden/>
          </w:rPr>
          <w:t>74</w:t>
        </w:r>
        <w:r w:rsidR="00B51130">
          <w:rPr>
            <w:noProof/>
            <w:webHidden/>
          </w:rPr>
          <w:fldChar w:fldCharType="end"/>
        </w:r>
      </w:hyperlink>
    </w:p>
    <w:p w14:paraId="08B2439D" w14:textId="77777777" w:rsidR="00B51130" w:rsidRDefault="00000000">
      <w:pPr>
        <w:pStyle w:val="TOC2"/>
        <w:rPr>
          <w:rFonts w:eastAsiaTheme="minorEastAsia" w:cstheme="minorBidi"/>
          <w:noProof/>
          <w:color w:val="auto"/>
          <w:szCs w:val="22"/>
          <w:lang w:eastAsia="en-GB"/>
        </w:rPr>
      </w:pPr>
      <w:hyperlink w:anchor="_Toc504484151" w:history="1">
        <w:r w:rsidR="00B51130" w:rsidRPr="00B2284F">
          <w:rPr>
            <w:rStyle w:val="Hyperlink"/>
            <w:noProof/>
          </w:rPr>
          <w:t>2.6</w:t>
        </w:r>
        <w:r w:rsidR="00B51130">
          <w:rPr>
            <w:rFonts w:eastAsiaTheme="minorEastAsia" w:cstheme="minorBidi"/>
            <w:noProof/>
            <w:color w:val="auto"/>
            <w:szCs w:val="22"/>
            <w:lang w:eastAsia="en-GB"/>
          </w:rPr>
          <w:tab/>
        </w:r>
        <w:r w:rsidR="00B51130" w:rsidRPr="00B2284F">
          <w:rPr>
            <w:rStyle w:val="Hyperlink"/>
            <w:noProof/>
          </w:rPr>
          <w:t>College of Physicians and Surgeons of Ontario</w:t>
        </w:r>
        <w:r w:rsidR="00B51130">
          <w:rPr>
            <w:noProof/>
            <w:webHidden/>
          </w:rPr>
          <w:tab/>
        </w:r>
        <w:r w:rsidR="00B51130">
          <w:rPr>
            <w:noProof/>
            <w:webHidden/>
          </w:rPr>
          <w:fldChar w:fldCharType="begin"/>
        </w:r>
        <w:r w:rsidR="00B51130">
          <w:rPr>
            <w:noProof/>
            <w:webHidden/>
          </w:rPr>
          <w:instrText xml:space="preserve"> PAGEREF _Toc504484151 \h </w:instrText>
        </w:r>
        <w:r w:rsidR="00B51130">
          <w:rPr>
            <w:noProof/>
            <w:webHidden/>
          </w:rPr>
        </w:r>
        <w:r w:rsidR="00B51130">
          <w:rPr>
            <w:noProof/>
            <w:webHidden/>
          </w:rPr>
          <w:fldChar w:fldCharType="separate"/>
        </w:r>
        <w:r w:rsidR="00B51130">
          <w:rPr>
            <w:noProof/>
            <w:webHidden/>
          </w:rPr>
          <w:t>75</w:t>
        </w:r>
        <w:r w:rsidR="00B51130">
          <w:rPr>
            <w:noProof/>
            <w:webHidden/>
          </w:rPr>
          <w:fldChar w:fldCharType="end"/>
        </w:r>
      </w:hyperlink>
    </w:p>
    <w:p w14:paraId="39D88F57" w14:textId="77777777" w:rsidR="00B51130" w:rsidRDefault="00000000">
      <w:pPr>
        <w:pStyle w:val="TOC2"/>
        <w:rPr>
          <w:rFonts w:eastAsiaTheme="minorEastAsia" w:cstheme="minorBidi"/>
          <w:noProof/>
          <w:color w:val="auto"/>
          <w:szCs w:val="22"/>
          <w:lang w:eastAsia="en-GB"/>
        </w:rPr>
      </w:pPr>
      <w:hyperlink w:anchor="_Toc504484152" w:history="1">
        <w:r w:rsidR="00B51130" w:rsidRPr="00B2284F">
          <w:rPr>
            <w:rStyle w:val="Hyperlink"/>
            <w:noProof/>
          </w:rPr>
          <w:t>2.7</w:t>
        </w:r>
        <w:r w:rsidR="00B51130">
          <w:rPr>
            <w:rFonts w:eastAsiaTheme="minorEastAsia" w:cstheme="minorBidi"/>
            <w:noProof/>
            <w:color w:val="auto"/>
            <w:szCs w:val="22"/>
            <w:lang w:eastAsia="en-GB"/>
          </w:rPr>
          <w:tab/>
        </w:r>
        <w:r w:rsidR="00B51130" w:rsidRPr="00B2284F">
          <w:rPr>
            <w:rStyle w:val="Hyperlink"/>
            <w:noProof/>
          </w:rPr>
          <w:t>College of Physicians and Surgeons of Saskatchewan</w:t>
        </w:r>
        <w:r w:rsidR="00B51130">
          <w:rPr>
            <w:noProof/>
            <w:webHidden/>
          </w:rPr>
          <w:tab/>
        </w:r>
        <w:r w:rsidR="00B51130">
          <w:rPr>
            <w:noProof/>
            <w:webHidden/>
          </w:rPr>
          <w:fldChar w:fldCharType="begin"/>
        </w:r>
        <w:r w:rsidR="00B51130">
          <w:rPr>
            <w:noProof/>
            <w:webHidden/>
          </w:rPr>
          <w:instrText xml:space="preserve"> PAGEREF _Toc504484152 \h </w:instrText>
        </w:r>
        <w:r w:rsidR="00B51130">
          <w:rPr>
            <w:noProof/>
            <w:webHidden/>
          </w:rPr>
        </w:r>
        <w:r w:rsidR="00B51130">
          <w:rPr>
            <w:noProof/>
            <w:webHidden/>
          </w:rPr>
          <w:fldChar w:fldCharType="separate"/>
        </w:r>
        <w:r w:rsidR="00B51130">
          <w:rPr>
            <w:noProof/>
            <w:webHidden/>
          </w:rPr>
          <w:t>77</w:t>
        </w:r>
        <w:r w:rsidR="00B51130">
          <w:rPr>
            <w:noProof/>
            <w:webHidden/>
          </w:rPr>
          <w:fldChar w:fldCharType="end"/>
        </w:r>
      </w:hyperlink>
    </w:p>
    <w:p w14:paraId="43FFC403" w14:textId="77777777" w:rsidR="00B51130" w:rsidRDefault="00000000">
      <w:pPr>
        <w:pStyle w:val="TOC1"/>
        <w:tabs>
          <w:tab w:val="left" w:pos="480"/>
          <w:tab w:val="right" w:leader="dot" w:pos="9628"/>
        </w:tabs>
        <w:rPr>
          <w:rFonts w:eastAsiaTheme="minorEastAsia" w:cstheme="minorBidi"/>
          <w:noProof/>
          <w:color w:val="auto"/>
          <w:szCs w:val="22"/>
          <w:lang w:eastAsia="en-GB"/>
        </w:rPr>
      </w:pPr>
      <w:hyperlink w:anchor="_Toc504484153" w:history="1">
        <w:r w:rsidR="00B51130" w:rsidRPr="00B2284F">
          <w:rPr>
            <w:rStyle w:val="Hyperlink"/>
            <w:noProof/>
          </w:rPr>
          <w:t>3</w:t>
        </w:r>
        <w:r w:rsidR="00B51130">
          <w:rPr>
            <w:rFonts w:eastAsiaTheme="minorEastAsia" w:cstheme="minorBidi"/>
            <w:noProof/>
            <w:color w:val="auto"/>
            <w:szCs w:val="22"/>
            <w:lang w:eastAsia="en-GB"/>
          </w:rPr>
          <w:tab/>
        </w:r>
        <w:r w:rsidR="00B51130" w:rsidRPr="00B2284F">
          <w:rPr>
            <w:rStyle w:val="Hyperlink"/>
            <w:noProof/>
          </w:rPr>
          <w:t>Denmark</w:t>
        </w:r>
        <w:r w:rsidR="00B51130">
          <w:rPr>
            <w:noProof/>
            <w:webHidden/>
          </w:rPr>
          <w:tab/>
        </w:r>
        <w:r w:rsidR="00B51130">
          <w:rPr>
            <w:noProof/>
            <w:webHidden/>
          </w:rPr>
          <w:fldChar w:fldCharType="begin"/>
        </w:r>
        <w:r w:rsidR="00B51130">
          <w:rPr>
            <w:noProof/>
            <w:webHidden/>
          </w:rPr>
          <w:instrText xml:space="preserve"> PAGEREF _Toc504484153 \h </w:instrText>
        </w:r>
        <w:r w:rsidR="00B51130">
          <w:rPr>
            <w:noProof/>
            <w:webHidden/>
          </w:rPr>
        </w:r>
        <w:r w:rsidR="00B51130">
          <w:rPr>
            <w:noProof/>
            <w:webHidden/>
          </w:rPr>
          <w:fldChar w:fldCharType="separate"/>
        </w:r>
        <w:r w:rsidR="00B51130">
          <w:rPr>
            <w:noProof/>
            <w:webHidden/>
          </w:rPr>
          <w:t>79</w:t>
        </w:r>
        <w:r w:rsidR="00B51130">
          <w:rPr>
            <w:noProof/>
            <w:webHidden/>
          </w:rPr>
          <w:fldChar w:fldCharType="end"/>
        </w:r>
      </w:hyperlink>
    </w:p>
    <w:p w14:paraId="460F84E6" w14:textId="77777777" w:rsidR="00B51130" w:rsidRDefault="00000000">
      <w:pPr>
        <w:pStyle w:val="TOC2"/>
        <w:rPr>
          <w:rFonts w:eastAsiaTheme="minorEastAsia" w:cstheme="minorBidi"/>
          <w:noProof/>
          <w:color w:val="auto"/>
          <w:szCs w:val="22"/>
          <w:lang w:eastAsia="en-GB"/>
        </w:rPr>
      </w:pPr>
      <w:hyperlink w:anchor="_Toc504484154" w:history="1">
        <w:r w:rsidR="00B51130" w:rsidRPr="00B2284F">
          <w:rPr>
            <w:rStyle w:val="Hyperlink"/>
            <w:noProof/>
          </w:rPr>
          <w:t>3.1</w:t>
        </w:r>
        <w:r w:rsidR="00B51130">
          <w:rPr>
            <w:rFonts w:eastAsiaTheme="minorEastAsia" w:cstheme="minorBidi"/>
            <w:noProof/>
            <w:color w:val="auto"/>
            <w:szCs w:val="22"/>
            <w:lang w:eastAsia="en-GB"/>
          </w:rPr>
          <w:tab/>
        </w:r>
        <w:r w:rsidR="00B51130" w:rsidRPr="00B2284F">
          <w:rPr>
            <w:rStyle w:val="Hyperlink"/>
            <w:noProof/>
          </w:rPr>
          <w:t>Country level overview</w:t>
        </w:r>
        <w:r w:rsidR="00B51130">
          <w:rPr>
            <w:noProof/>
            <w:webHidden/>
          </w:rPr>
          <w:tab/>
        </w:r>
        <w:r w:rsidR="00B51130">
          <w:rPr>
            <w:noProof/>
            <w:webHidden/>
          </w:rPr>
          <w:fldChar w:fldCharType="begin"/>
        </w:r>
        <w:r w:rsidR="00B51130">
          <w:rPr>
            <w:noProof/>
            <w:webHidden/>
          </w:rPr>
          <w:instrText xml:space="preserve"> PAGEREF _Toc504484154 \h </w:instrText>
        </w:r>
        <w:r w:rsidR="00B51130">
          <w:rPr>
            <w:noProof/>
            <w:webHidden/>
          </w:rPr>
        </w:r>
        <w:r w:rsidR="00B51130">
          <w:rPr>
            <w:noProof/>
            <w:webHidden/>
          </w:rPr>
          <w:fldChar w:fldCharType="separate"/>
        </w:r>
        <w:r w:rsidR="00B51130">
          <w:rPr>
            <w:noProof/>
            <w:webHidden/>
          </w:rPr>
          <w:t>79</w:t>
        </w:r>
        <w:r w:rsidR="00B51130">
          <w:rPr>
            <w:noProof/>
            <w:webHidden/>
          </w:rPr>
          <w:fldChar w:fldCharType="end"/>
        </w:r>
      </w:hyperlink>
    </w:p>
    <w:p w14:paraId="5C6A5547" w14:textId="77777777" w:rsidR="00B51130" w:rsidRDefault="00000000">
      <w:pPr>
        <w:pStyle w:val="TOC2"/>
        <w:rPr>
          <w:rFonts w:eastAsiaTheme="minorEastAsia" w:cstheme="minorBidi"/>
          <w:noProof/>
          <w:color w:val="auto"/>
          <w:szCs w:val="22"/>
          <w:lang w:eastAsia="en-GB"/>
        </w:rPr>
      </w:pPr>
      <w:hyperlink w:anchor="_Toc504484155" w:history="1">
        <w:r w:rsidR="00B51130" w:rsidRPr="00B2284F">
          <w:rPr>
            <w:rStyle w:val="Hyperlink"/>
            <w:noProof/>
          </w:rPr>
          <w:t>3.2</w:t>
        </w:r>
        <w:r w:rsidR="00B51130">
          <w:rPr>
            <w:rFonts w:eastAsiaTheme="minorEastAsia" w:cstheme="minorBidi"/>
            <w:noProof/>
            <w:color w:val="auto"/>
            <w:szCs w:val="22"/>
            <w:lang w:eastAsia="en-GB"/>
          </w:rPr>
          <w:tab/>
        </w:r>
        <w:r w:rsidR="00B51130" w:rsidRPr="00B2284F">
          <w:rPr>
            <w:rStyle w:val="Hyperlink"/>
            <w:noProof/>
          </w:rPr>
          <w:t>Danish Health Authority</w:t>
        </w:r>
        <w:r w:rsidR="00B51130">
          <w:rPr>
            <w:noProof/>
            <w:webHidden/>
          </w:rPr>
          <w:tab/>
        </w:r>
        <w:r w:rsidR="00B51130">
          <w:rPr>
            <w:noProof/>
            <w:webHidden/>
          </w:rPr>
          <w:fldChar w:fldCharType="begin"/>
        </w:r>
        <w:r w:rsidR="00B51130">
          <w:rPr>
            <w:noProof/>
            <w:webHidden/>
          </w:rPr>
          <w:instrText xml:space="preserve"> PAGEREF _Toc504484155 \h </w:instrText>
        </w:r>
        <w:r w:rsidR="00B51130">
          <w:rPr>
            <w:noProof/>
            <w:webHidden/>
          </w:rPr>
        </w:r>
        <w:r w:rsidR="00B51130">
          <w:rPr>
            <w:noProof/>
            <w:webHidden/>
          </w:rPr>
          <w:fldChar w:fldCharType="separate"/>
        </w:r>
        <w:r w:rsidR="00B51130">
          <w:rPr>
            <w:noProof/>
            <w:webHidden/>
          </w:rPr>
          <w:t>80</w:t>
        </w:r>
        <w:r w:rsidR="00B51130">
          <w:rPr>
            <w:noProof/>
            <w:webHidden/>
          </w:rPr>
          <w:fldChar w:fldCharType="end"/>
        </w:r>
      </w:hyperlink>
    </w:p>
    <w:p w14:paraId="765669F1" w14:textId="77777777" w:rsidR="00B51130" w:rsidRDefault="00000000">
      <w:pPr>
        <w:pStyle w:val="TOC2"/>
        <w:rPr>
          <w:rFonts w:eastAsiaTheme="minorEastAsia" w:cstheme="minorBidi"/>
          <w:noProof/>
          <w:color w:val="auto"/>
          <w:szCs w:val="22"/>
          <w:lang w:eastAsia="en-GB"/>
        </w:rPr>
      </w:pPr>
      <w:hyperlink w:anchor="_Toc504484156" w:history="1">
        <w:r w:rsidR="00B51130" w:rsidRPr="00B2284F">
          <w:rPr>
            <w:rStyle w:val="Hyperlink"/>
            <w:noProof/>
          </w:rPr>
          <w:t>3.3</w:t>
        </w:r>
        <w:r w:rsidR="00B51130">
          <w:rPr>
            <w:rFonts w:eastAsiaTheme="minorEastAsia" w:cstheme="minorBidi"/>
            <w:noProof/>
            <w:color w:val="auto"/>
            <w:szCs w:val="22"/>
            <w:lang w:eastAsia="en-GB"/>
          </w:rPr>
          <w:tab/>
        </w:r>
        <w:r w:rsidR="00B51130" w:rsidRPr="00B2284F">
          <w:rPr>
            <w:rStyle w:val="Hyperlink"/>
            <w:noProof/>
          </w:rPr>
          <w:t>National Board of eHealth</w:t>
        </w:r>
        <w:r w:rsidR="00B51130">
          <w:rPr>
            <w:noProof/>
            <w:webHidden/>
          </w:rPr>
          <w:tab/>
        </w:r>
        <w:r w:rsidR="00B51130">
          <w:rPr>
            <w:noProof/>
            <w:webHidden/>
          </w:rPr>
          <w:fldChar w:fldCharType="begin"/>
        </w:r>
        <w:r w:rsidR="00B51130">
          <w:rPr>
            <w:noProof/>
            <w:webHidden/>
          </w:rPr>
          <w:instrText xml:space="preserve"> PAGEREF _Toc504484156 \h </w:instrText>
        </w:r>
        <w:r w:rsidR="00B51130">
          <w:rPr>
            <w:noProof/>
            <w:webHidden/>
          </w:rPr>
        </w:r>
        <w:r w:rsidR="00B51130">
          <w:rPr>
            <w:noProof/>
            <w:webHidden/>
          </w:rPr>
          <w:fldChar w:fldCharType="separate"/>
        </w:r>
        <w:r w:rsidR="00B51130">
          <w:rPr>
            <w:noProof/>
            <w:webHidden/>
          </w:rPr>
          <w:t>82</w:t>
        </w:r>
        <w:r w:rsidR="00B51130">
          <w:rPr>
            <w:noProof/>
            <w:webHidden/>
          </w:rPr>
          <w:fldChar w:fldCharType="end"/>
        </w:r>
      </w:hyperlink>
    </w:p>
    <w:p w14:paraId="6C2B4AFE" w14:textId="77777777" w:rsidR="00B51130" w:rsidRDefault="00000000">
      <w:pPr>
        <w:pStyle w:val="TOC2"/>
        <w:rPr>
          <w:rFonts w:eastAsiaTheme="minorEastAsia" w:cstheme="minorBidi"/>
          <w:noProof/>
          <w:color w:val="auto"/>
          <w:szCs w:val="22"/>
          <w:lang w:eastAsia="en-GB"/>
        </w:rPr>
      </w:pPr>
      <w:hyperlink w:anchor="_Toc504484157" w:history="1">
        <w:r w:rsidR="00B51130" w:rsidRPr="00B2284F">
          <w:rPr>
            <w:rStyle w:val="Hyperlink"/>
            <w:noProof/>
          </w:rPr>
          <w:t>3.4</w:t>
        </w:r>
        <w:r w:rsidR="00B51130">
          <w:rPr>
            <w:rFonts w:eastAsiaTheme="minorEastAsia" w:cstheme="minorBidi"/>
            <w:noProof/>
            <w:color w:val="auto"/>
            <w:szCs w:val="22"/>
            <w:lang w:eastAsia="en-GB"/>
          </w:rPr>
          <w:tab/>
        </w:r>
        <w:r w:rsidR="00B51130" w:rsidRPr="00B2284F">
          <w:rPr>
            <w:rStyle w:val="Hyperlink"/>
            <w:noProof/>
          </w:rPr>
          <w:t>Danish Patient Safety Authority</w:t>
        </w:r>
        <w:r w:rsidR="00B51130">
          <w:rPr>
            <w:noProof/>
            <w:webHidden/>
          </w:rPr>
          <w:tab/>
        </w:r>
        <w:r w:rsidR="00B51130">
          <w:rPr>
            <w:noProof/>
            <w:webHidden/>
          </w:rPr>
          <w:fldChar w:fldCharType="begin"/>
        </w:r>
        <w:r w:rsidR="00B51130">
          <w:rPr>
            <w:noProof/>
            <w:webHidden/>
          </w:rPr>
          <w:instrText xml:space="preserve"> PAGEREF _Toc504484157 \h </w:instrText>
        </w:r>
        <w:r w:rsidR="00B51130">
          <w:rPr>
            <w:noProof/>
            <w:webHidden/>
          </w:rPr>
        </w:r>
        <w:r w:rsidR="00B51130">
          <w:rPr>
            <w:noProof/>
            <w:webHidden/>
          </w:rPr>
          <w:fldChar w:fldCharType="separate"/>
        </w:r>
        <w:r w:rsidR="00B51130">
          <w:rPr>
            <w:noProof/>
            <w:webHidden/>
          </w:rPr>
          <w:t>82</w:t>
        </w:r>
        <w:r w:rsidR="00B51130">
          <w:rPr>
            <w:noProof/>
            <w:webHidden/>
          </w:rPr>
          <w:fldChar w:fldCharType="end"/>
        </w:r>
      </w:hyperlink>
    </w:p>
    <w:p w14:paraId="53E8E9A2" w14:textId="77777777" w:rsidR="00B51130" w:rsidRDefault="00000000">
      <w:pPr>
        <w:pStyle w:val="TOC1"/>
        <w:tabs>
          <w:tab w:val="left" w:pos="480"/>
          <w:tab w:val="right" w:leader="dot" w:pos="9628"/>
        </w:tabs>
        <w:rPr>
          <w:rFonts w:eastAsiaTheme="minorEastAsia" w:cstheme="minorBidi"/>
          <w:noProof/>
          <w:color w:val="auto"/>
          <w:szCs w:val="22"/>
          <w:lang w:eastAsia="en-GB"/>
        </w:rPr>
      </w:pPr>
      <w:hyperlink w:anchor="_Toc504484158" w:history="1">
        <w:r w:rsidR="00B51130" w:rsidRPr="00B2284F">
          <w:rPr>
            <w:rStyle w:val="Hyperlink"/>
            <w:noProof/>
          </w:rPr>
          <w:t>4</w:t>
        </w:r>
        <w:r w:rsidR="00B51130">
          <w:rPr>
            <w:rFonts w:eastAsiaTheme="minorEastAsia" w:cstheme="minorBidi"/>
            <w:noProof/>
            <w:color w:val="auto"/>
            <w:szCs w:val="22"/>
            <w:lang w:eastAsia="en-GB"/>
          </w:rPr>
          <w:tab/>
        </w:r>
        <w:r w:rsidR="00B51130" w:rsidRPr="00B2284F">
          <w:rPr>
            <w:rStyle w:val="Hyperlink"/>
            <w:noProof/>
          </w:rPr>
          <w:t>France</w:t>
        </w:r>
        <w:r w:rsidR="00B51130">
          <w:rPr>
            <w:noProof/>
            <w:webHidden/>
          </w:rPr>
          <w:tab/>
        </w:r>
        <w:r w:rsidR="00B51130">
          <w:rPr>
            <w:noProof/>
            <w:webHidden/>
          </w:rPr>
          <w:fldChar w:fldCharType="begin"/>
        </w:r>
        <w:r w:rsidR="00B51130">
          <w:rPr>
            <w:noProof/>
            <w:webHidden/>
          </w:rPr>
          <w:instrText xml:space="preserve"> PAGEREF _Toc504484158 \h </w:instrText>
        </w:r>
        <w:r w:rsidR="00B51130">
          <w:rPr>
            <w:noProof/>
            <w:webHidden/>
          </w:rPr>
        </w:r>
        <w:r w:rsidR="00B51130">
          <w:rPr>
            <w:noProof/>
            <w:webHidden/>
          </w:rPr>
          <w:fldChar w:fldCharType="separate"/>
        </w:r>
        <w:r w:rsidR="00B51130">
          <w:rPr>
            <w:noProof/>
            <w:webHidden/>
          </w:rPr>
          <w:t>83</w:t>
        </w:r>
        <w:r w:rsidR="00B51130">
          <w:rPr>
            <w:noProof/>
            <w:webHidden/>
          </w:rPr>
          <w:fldChar w:fldCharType="end"/>
        </w:r>
      </w:hyperlink>
    </w:p>
    <w:p w14:paraId="2957D354" w14:textId="77777777" w:rsidR="00B51130" w:rsidRDefault="00000000">
      <w:pPr>
        <w:pStyle w:val="TOC2"/>
        <w:rPr>
          <w:rFonts w:eastAsiaTheme="minorEastAsia" w:cstheme="minorBidi"/>
          <w:noProof/>
          <w:color w:val="auto"/>
          <w:szCs w:val="22"/>
          <w:lang w:eastAsia="en-GB"/>
        </w:rPr>
      </w:pPr>
      <w:hyperlink w:anchor="_Toc504484159" w:history="1">
        <w:r w:rsidR="00B51130" w:rsidRPr="00B2284F">
          <w:rPr>
            <w:rStyle w:val="Hyperlink"/>
            <w:noProof/>
          </w:rPr>
          <w:t>4.1</w:t>
        </w:r>
        <w:r w:rsidR="00B51130">
          <w:rPr>
            <w:rFonts w:eastAsiaTheme="minorEastAsia" w:cstheme="minorBidi"/>
            <w:noProof/>
            <w:color w:val="auto"/>
            <w:szCs w:val="22"/>
            <w:lang w:eastAsia="en-GB"/>
          </w:rPr>
          <w:tab/>
        </w:r>
        <w:r w:rsidR="00B51130" w:rsidRPr="00B2284F">
          <w:rPr>
            <w:rStyle w:val="Hyperlink"/>
            <w:noProof/>
          </w:rPr>
          <w:t>Country level overview</w:t>
        </w:r>
        <w:r w:rsidR="00B51130">
          <w:rPr>
            <w:noProof/>
            <w:webHidden/>
          </w:rPr>
          <w:tab/>
        </w:r>
        <w:r w:rsidR="00B51130">
          <w:rPr>
            <w:noProof/>
            <w:webHidden/>
          </w:rPr>
          <w:fldChar w:fldCharType="begin"/>
        </w:r>
        <w:r w:rsidR="00B51130">
          <w:rPr>
            <w:noProof/>
            <w:webHidden/>
          </w:rPr>
          <w:instrText xml:space="preserve"> PAGEREF _Toc504484159 \h </w:instrText>
        </w:r>
        <w:r w:rsidR="00B51130">
          <w:rPr>
            <w:noProof/>
            <w:webHidden/>
          </w:rPr>
        </w:r>
        <w:r w:rsidR="00B51130">
          <w:rPr>
            <w:noProof/>
            <w:webHidden/>
          </w:rPr>
          <w:fldChar w:fldCharType="separate"/>
        </w:r>
        <w:r w:rsidR="00B51130">
          <w:rPr>
            <w:noProof/>
            <w:webHidden/>
          </w:rPr>
          <w:t>83</w:t>
        </w:r>
        <w:r w:rsidR="00B51130">
          <w:rPr>
            <w:noProof/>
            <w:webHidden/>
          </w:rPr>
          <w:fldChar w:fldCharType="end"/>
        </w:r>
      </w:hyperlink>
    </w:p>
    <w:p w14:paraId="29531170" w14:textId="77777777" w:rsidR="00B51130" w:rsidRDefault="00000000">
      <w:pPr>
        <w:pStyle w:val="TOC2"/>
        <w:rPr>
          <w:rFonts w:eastAsiaTheme="minorEastAsia" w:cstheme="minorBidi"/>
          <w:noProof/>
          <w:color w:val="auto"/>
          <w:szCs w:val="22"/>
          <w:lang w:eastAsia="en-GB"/>
        </w:rPr>
      </w:pPr>
      <w:hyperlink w:anchor="_Toc504484160" w:history="1">
        <w:r w:rsidR="00B51130" w:rsidRPr="00B2284F">
          <w:rPr>
            <w:rStyle w:val="Hyperlink"/>
            <w:noProof/>
          </w:rPr>
          <w:t>4.2</w:t>
        </w:r>
        <w:r w:rsidR="00B51130">
          <w:rPr>
            <w:rFonts w:eastAsiaTheme="minorEastAsia" w:cstheme="minorBidi"/>
            <w:noProof/>
            <w:color w:val="auto"/>
            <w:szCs w:val="22"/>
            <w:lang w:eastAsia="en-GB"/>
          </w:rPr>
          <w:tab/>
        </w:r>
        <w:r w:rsidR="00B51130" w:rsidRPr="00B2284F">
          <w:rPr>
            <w:rStyle w:val="Hyperlink"/>
            <w:noProof/>
          </w:rPr>
          <w:t>National legal system</w:t>
        </w:r>
        <w:r w:rsidR="00B51130">
          <w:rPr>
            <w:noProof/>
            <w:webHidden/>
          </w:rPr>
          <w:tab/>
        </w:r>
        <w:r w:rsidR="00B51130">
          <w:rPr>
            <w:noProof/>
            <w:webHidden/>
          </w:rPr>
          <w:fldChar w:fldCharType="begin"/>
        </w:r>
        <w:r w:rsidR="00B51130">
          <w:rPr>
            <w:noProof/>
            <w:webHidden/>
          </w:rPr>
          <w:instrText xml:space="preserve"> PAGEREF _Toc504484160 \h </w:instrText>
        </w:r>
        <w:r w:rsidR="00B51130">
          <w:rPr>
            <w:noProof/>
            <w:webHidden/>
          </w:rPr>
        </w:r>
        <w:r w:rsidR="00B51130">
          <w:rPr>
            <w:noProof/>
            <w:webHidden/>
          </w:rPr>
          <w:fldChar w:fldCharType="separate"/>
        </w:r>
        <w:r w:rsidR="00B51130">
          <w:rPr>
            <w:noProof/>
            <w:webHidden/>
          </w:rPr>
          <w:t>84</w:t>
        </w:r>
        <w:r w:rsidR="00B51130">
          <w:rPr>
            <w:noProof/>
            <w:webHidden/>
          </w:rPr>
          <w:fldChar w:fldCharType="end"/>
        </w:r>
      </w:hyperlink>
    </w:p>
    <w:p w14:paraId="72D0B9F2" w14:textId="77777777" w:rsidR="00B51130" w:rsidRDefault="00000000">
      <w:pPr>
        <w:pStyle w:val="TOC2"/>
        <w:rPr>
          <w:rFonts w:eastAsiaTheme="minorEastAsia" w:cstheme="minorBidi"/>
          <w:noProof/>
          <w:color w:val="auto"/>
          <w:szCs w:val="22"/>
          <w:lang w:eastAsia="en-GB"/>
        </w:rPr>
      </w:pPr>
      <w:hyperlink w:anchor="_Toc504484161" w:history="1">
        <w:r w:rsidR="00B51130" w:rsidRPr="00B2284F">
          <w:rPr>
            <w:rStyle w:val="Hyperlink"/>
            <w:noProof/>
          </w:rPr>
          <w:t>4.3</w:t>
        </w:r>
        <w:r w:rsidR="00B51130">
          <w:rPr>
            <w:rFonts w:eastAsiaTheme="minorEastAsia" w:cstheme="minorBidi"/>
            <w:noProof/>
            <w:color w:val="auto"/>
            <w:szCs w:val="22"/>
            <w:lang w:eastAsia="en-GB"/>
          </w:rPr>
          <w:tab/>
        </w:r>
        <w:r w:rsidR="00B51130" w:rsidRPr="00B2284F">
          <w:rPr>
            <w:rStyle w:val="Hyperlink"/>
            <w:noProof/>
          </w:rPr>
          <w:t>L’Ordre National des Médecins</w:t>
        </w:r>
        <w:r w:rsidR="00B51130">
          <w:rPr>
            <w:noProof/>
            <w:webHidden/>
          </w:rPr>
          <w:tab/>
        </w:r>
        <w:r w:rsidR="00B51130">
          <w:rPr>
            <w:noProof/>
            <w:webHidden/>
          </w:rPr>
          <w:fldChar w:fldCharType="begin"/>
        </w:r>
        <w:r w:rsidR="00B51130">
          <w:rPr>
            <w:noProof/>
            <w:webHidden/>
          </w:rPr>
          <w:instrText xml:space="preserve"> PAGEREF _Toc504484161 \h </w:instrText>
        </w:r>
        <w:r w:rsidR="00B51130">
          <w:rPr>
            <w:noProof/>
            <w:webHidden/>
          </w:rPr>
        </w:r>
        <w:r w:rsidR="00B51130">
          <w:rPr>
            <w:noProof/>
            <w:webHidden/>
          </w:rPr>
          <w:fldChar w:fldCharType="separate"/>
        </w:r>
        <w:r w:rsidR="00B51130">
          <w:rPr>
            <w:noProof/>
            <w:webHidden/>
          </w:rPr>
          <w:t>85</w:t>
        </w:r>
        <w:r w:rsidR="00B51130">
          <w:rPr>
            <w:noProof/>
            <w:webHidden/>
          </w:rPr>
          <w:fldChar w:fldCharType="end"/>
        </w:r>
      </w:hyperlink>
    </w:p>
    <w:p w14:paraId="4C7A64F6" w14:textId="77777777" w:rsidR="00B51130" w:rsidRDefault="00000000">
      <w:pPr>
        <w:pStyle w:val="TOC1"/>
        <w:tabs>
          <w:tab w:val="left" w:pos="480"/>
          <w:tab w:val="right" w:leader="dot" w:pos="9628"/>
        </w:tabs>
        <w:rPr>
          <w:rFonts w:eastAsiaTheme="minorEastAsia" w:cstheme="minorBidi"/>
          <w:noProof/>
          <w:color w:val="auto"/>
          <w:szCs w:val="22"/>
          <w:lang w:eastAsia="en-GB"/>
        </w:rPr>
      </w:pPr>
      <w:hyperlink w:anchor="_Toc504484162" w:history="1">
        <w:r w:rsidR="00B51130" w:rsidRPr="00B2284F">
          <w:rPr>
            <w:rStyle w:val="Hyperlink"/>
            <w:noProof/>
          </w:rPr>
          <w:t>5</w:t>
        </w:r>
        <w:r w:rsidR="00B51130">
          <w:rPr>
            <w:rFonts w:eastAsiaTheme="minorEastAsia" w:cstheme="minorBidi"/>
            <w:noProof/>
            <w:color w:val="auto"/>
            <w:szCs w:val="22"/>
            <w:lang w:eastAsia="en-GB"/>
          </w:rPr>
          <w:tab/>
        </w:r>
        <w:r w:rsidR="00B51130" w:rsidRPr="00B2284F">
          <w:rPr>
            <w:rStyle w:val="Hyperlink"/>
            <w:noProof/>
          </w:rPr>
          <w:t>New Zealand</w:t>
        </w:r>
        <w:r w:rsidR="00B51130">
          <w:rPr>
            <w:noProof/>
            <w:webHidden/>
          </w:rPr>
          <w:tab/>
        </w:r>
        <w:r w:rsidR="00B51130">
          <w:rPr>
            <w:noProof/>
            <w:webHidden/>
          </w:rPr>
          <w:fldChar w:fldCharType="begin"/>
        </w:r>
        <w:r w:rsidR="00B51130">
          <w:rPr>
            <w:noProof/>
            <w:webHidden/>
          </w:rPr>
          <w:instrText xml:space="preserve"> PAGEREF _Toc504484162 \h </w:instrText>
        </w:r>
        <w:r w:rsidR="00B51130">
          <w:rPr>
            <w:noProof/>
            <w:webHidden/>
          </w:rPr>
        </w:r>
        <w:r w:rsidR="00B51130">
          <w:rPr>
            <w:noProof/>
            <w:webHidden/>
          </w:rPr>
          <w:fldChar w:fldCharType="separate"/>
        </w:r>
        <w:r w:rsidR="00B51130">
          <w:rPr>
            <w:noProof/>
            <w:webHidden/>
          </w:rPr>
          <w:t>88</w:t>
        </w:r>
        <w:r w:rsidR="00B51130">
          <w:rPr>
            <w:noProof/>
            <w:webHidden/>
          </w:rPr>
          <w:fldChar w:fldCharType="end"/>
        </w:r>
      </w:hyperlink>
    </w:p>
    <w:p w14:paraId="0E800883" w14:textId="77777777" w:rsidR="00B51130" w:rsidRDefault="00000000">
      <w:pPr>
        <w:pStyle w:val="TOC2"/>
        <w:rPr>
          <w:rFonts w:eastAsiaTheme="minorEastAsia" w:cstheme="minorBidi"/>
          <w:noProof/>
          <w:color w:val="auto"/>
          <w:szCs w:val="22"/>
          <w:lang w:eastAsia="en-GB"/>
        </w:rPr>
      </w:pPr>
      <w:hyperlink w:anchor="_Toc504484163" w:history="1">
        <w:r w:rsidR="00B51130" w:rsidRPr="00B2284F">
          <w:rPr>
            <w:rStyle w:val="Hyperlink"/>
            <w:noProof/>
          </w:rPr>
          <w:t>5.1</w:t>
        </w:r>
        <w:r w:rsidR="00B51130">
          <w:rPr>
            <w:rFonts w:eastAsiaTheme="minorEastAsia" w:cstheme="minorBidi"/>
            <w:noProof/>
            <w:color w:val="auto"/>
            <w:szCs w:val="22"/>
            <w:lang w:eastAsia="en-GB"/>
          </w:rPr>
          <w:tab/>
        </w:r>
        <w:r w:rsidR="00B51130" w:rsidRPr="00B2284F">
          <w:rPr>
            <w:rStyle w:val="Hyperlink"/>
            <w:noProof/>
          </w:rPr>
          <w:t>Medical Council of New Zealand</w:t>
        </w:r>
        <w:r w:rsidR="00B51130">
          <w:rPr>
            <w:noProof/>
            <w:webHidden/>
          </w:rPr>
          <w:tab/>
        </w:r>
        <w:r w:rsidR="00B51130">
          <w:rPr>
            <w:noProof/>
            <w:webHidden/>
          </w:rPr>
          <w:fldChar w:fldCharType="begin"/>
        </w:r>
        <w:r w:rsidR="00B51130">
          <w:rPr>
            <w:noProof/>
            <w:webHidden/>
          </w:rPr>
          <w:instrText xml:space="preserve"> PAGEREF _Toc504484163 \h </w:instrText>
        </w:r>
        <w:r w:rsidR="00B51130">
          <w:rPr>
            <w:noProof/>
            <w:webHidden/>
          </w:rPr>
        </w:r>
        <w:r w:rsidR="00B51130">
          <w:rPr>
            <w:noProof/>
            <w:webHidden/>
          </w:rPr>
          <w:fldChar w:fldCharType="separate"/>
        </w:r>
        <w:r w:rsidR="00B51130">
          <w:rPr>
            <w:noProof/>
            <w:webHidden/>
          </w:rPr>
          <w:t>88</w:t>
        </w:r>
        <w:r w:rsidR="00B51130">
          <w:rPr>
            <w:noProof/>
            <w:webHidden/>
          </w:rPr>
          <w:fldChar w:fldCharType="end"/>
        </w:r>
      </w:hyperlink>
    </w:p>
    <w:p w14:paraId="60D34694" w14:textId="77777777" w:rsidR="00B51130" w:rsidRDefault="00000000">
      <w:pPr>
        <w:pStyle w:val="TOC1"/>
        <w:tabs>
          <w:tab w:val="left" w:pos="480"/>
          <w:tab w:val="right" w:leader="dot" w:pos="9628"/>
        </w:tabs>
        <w:rPr>
          <w:rFonts w:eastAsiaTheme="minorEastAsia" w:cstheme="minorBidi"/>
          <w:noProof/>
          <w:color w:val="auto"/>
          <w:szCs w:val="22"/>
          <w:lang w:eastAsia="en-GB"/>
        </w:rPr>
      </w:pPr>
      <w:hyperlink w:anchor="_Toc504484164" w:history="1">
        <w:r w:rsidR="00B51130" w:rsidRPr="00B2284F">
          <w:rPr>
            <w:rStyle w:val="Hyperlink"/>
            <w:noProof/>
          </w:rPr>
          <w:t>6</w:t>
        </w:r>
        <w:r w:rsidR="00B51130">
          <w:rPr>
            <w:rFonts w:eastAsiaTheme="minorEastAsia" w:cstheme="minorBidi"/>
            <w:noProof/>
            <w:color w:val="auto"/>
            <w:szCs w:val="22"/>
            <w:lang w:eastAsia="en-GB"/>
          </w:rPr>
          <w:tab/>
        </w:r>
        <w:r w:rsidR="00B51130" w:rsidRPr="00B2284F">
          <w:rPr>
            <w:rStyle w:val="Hyperlink"/>
            <w:noProof/>
          </w:rPr>
          <w:t>Portugal</w:t>
        </w:r>
        <w:r w:rsidR="00B51130">
          <w:rPr>
            <w:noProof/>
            <w:webHidden/>
          </w:rPr>
          <w:tab/>
        </w:r>
        <w:r w:rsidR="00B51130">
          <w:rPr>
            <w:noProof/>
            <w:webHidden/>
          </w:rPr>
          <w:fldChar w:fldCharType="begin"/>
        </w:r>
        <w:r w:rsidR="00B51130">
          <w:rPr>
            <w:noProof/>
            <w:webHidden/>
          </w:rPr>
          <w:instrText xml:space="preserve"> PAGEREF _Toc504484164 \h </w:instrText>
        </w:r>
        <w:r w:rsidR="00B51130">
          <w:rPr>
            <w:noProof/>
            <w:webHidden/>
          </w:rPr>
        </w:r>
        <w:r w:rsidR="00B51130">
          <w:rPr>
            <w:noProof/>
            <w:webHidden/>
          </w:rPr>
          <w:fldChar w:fldCharType="separate"/>
        </w:r>
        <w:r w:rsidR="00B51130">
          <w:rPr>
            <w:noProof/>
            <w:webHidden/>
          </w:rPr>
          <w:t>90</w:t>
        </w:r>
        <w:r w:rsidR="00B51130">
          <w:rPr>
            <w:noProof/>
            <w:webHidden/>
          </w:rPr>
          <w:fldChar w:fldCharType="end"/>
        </w:r>
      </w:hyperlink>
    </w:p>
    <w:p w14:paraId="2447966D" w14:textId="77777777" w:rsidR="00B51130" w:rsidRDefault="00000000">
      <w:pPr>
        <w:pStyle w:val="TOC2"/>
        <w:rPr>
          <w:rFonts w:eastAsiaTheme="minorEastAsia" w:cstheme="minorBidi"/>
          <w:noProof/>
          <w:color w:val="auto"/>
          <w:szCs w:val="22"/>
          <w:lang w:eastAsia="en-GB"/>
        </w:rPr>
      </w:pPr>
      <w:hyperlink w:anchor="_Toc504484165" w:history="1">
        <w:r w:rsidR="00B51130" w:rsidRPr="00B2284F">
          <w:rPr>
            <w:rStyle w:val="Hyperlink"/>
            <w:noProof/>
          </w:rPr>
          <w:t>6.1</w:t>
        </w:r>
        <w:r w:rsidR="00B51130">
          <w:rPr>
            <w:rFonts w:eastAsiaTheme="minorEastAsia" w:cstheme="minorBidi"/>
            <w:noProof/>
            <w:color w:val="auto"/>
            <w:szCs w:val="22"/>
            <w:lang w:eastAsia="en-GB"/>
          </w:rPr>
          <w:tab/>
        </w:r>
        <w:r w:rsidR="00B51130" w:rsidRPr="00B2284F">
          <w:rPr>
            <w:rStyle w:val="Hyperlink"/>
            <w:noProof/>
          </w:rPr>
          <w:t>Country level overview</w:t>
        </w:r>
        <w:r w:rsidR="00B51130">
          <w:rPr>
            <w:noProof/>
            <w:webHidden/>
          </w:rPr>
          <w:tab/>
        </w:r>
        <w:r w:rsidR="00B51130">
          <w:rPr>
            <w:noProof/>
            <w:webHidden/>
          </w:rPr>
          <w:fldChar w:fldCharType="begin"/>
        </w:r>
        <w:r w:rsidR="00B51130">
          <w:rPr>
            <w:noProof/>
            <w:webHidden/>
          </w:rPr>
          <w:instrText xml:space="preserve"> PAGEREF _Toc504484165 \h </w:instrText>
        </w:r>
        <w:r w:rsidR="00B51130">
          <w:rPr>
            <w:noProof/>
            <w:webHidden/>
          </w:rPr>
        </w:r>
        <w:r w:rsidR="00B51130">
          <w:rPr>
            <w:noProof/>
            <w:webHidden/>
          </w:rPr>
          <w:fldChar w:fldCharType="separate"/>
        </w:r>
        <w:r w:rsidR="00B51130">
          <w:rPr>
            <w:noProof/>
            <w:webHidden/>
          </w:rPr>
          <w:t>90</w:t>
        </w:r>
        <w:r w:rsidR="00B51130">
          <w:rPr>
            <w:noProof/>
            <w:webHidden/>
          </w:rPr>
          <w:fldChar w:fldCharType="end"/>
        </w:r>
      </w:hyperlink>
    </w:p>
    <w:p w14:paraId="69629455" w14:textId="77777777" w:rsidR="00B51130" w:rsidRDefault="00000000">
      <w:pPr>
        <w:pStyle w:val="TOC2"/>
        <w:rPr>
          <w:rFonts w:eastAsiaTheme="minorEastAsia" w:cstheme="minorBidi"/>
          <w:noProof/>
          <w:color w:val="auto"/>
          <w:szCs w:val="22"/>
          <w:lang w:eastAsia="en-GB"/>
        </w:rPr>
      </w:pPr>
      <w:hyperlink w:anchor="_Toc504484166" w:history="1">
        <w:r w:rsidR="00B51130" w:rsidRPr="00B2284F">
          <w:rPr>
            <w:rStyle w:val="Hyperlink"/>
            <w:noProof/>
          </w:rPr>
          <w:t>6.2</w:t>
        </w:r>
        <w:r w:rsidR="00B51130">
          <w:rPr>
            <w:rFonts w:eastAsiaTheme="minorEastAsia" w:cstheme="minorBidi"/>
            <w:noProof/>
            <w:color w:val="auto"/>
            <w:szCs w:val="22"/>
            <w:lang w:eastAsia="en-GB"/>
          </w:rPr>
          <w:tab/>
        </w:r>
        <w:r w:rsidR="00B51130" w:rsidRPr="00B2284F">
          <w:rPr>
            <w:rStyle w:val="Hyperlink"/>
            <w:noProof/>
          </w:rPr>
          <w:t>Order 3571/2013 of 6th March 2013</w:t>
        </w:r>
        <w:r w:rsidR="00B51130">
          <w:rPr>
            <w:noProof/>
            <w:webHidden/>
          </w:rPr>
          <w:tab/>
        </w:r>
        <w:r w:rsidR="00B51130">
          <w:rPr>
            <w:noProof/>
            <w:webHidden/>
          </w:rPr>
          <w:fldChar w:fldCharType="begin"/>
        </w:r>
        <w:r w:rsidR="00B51130">
          <w:rPr>
            <w:noProof/>
            <w:webHidden/>
          </w:rPr>
          <w:instrText xml:space="preserve"> PAGEREF _Toc504484166 \h </w:instrText>
        </w:r>
        <w:r w:rsidR="00B51130">
          <w:rPr>
            <w:noProof/>
            <w:webHidden/>
          </w:rPr>
        </w:r>
        <w:r w:rsidR="00B51130">
          <w:rPr>
            <w:noProof/>
            <w:webHidden/>
          </w:rPr>
          <w:fldChar w:fldCharType="separate"/>
        </w:r>
        <w:r w:rsidR="00B51130">
          <w:rPr>
            <w:noProof/>
            <w:webHidden/>
          </w:rPr>
          <w:t>91</w:t>
        </w:r>
        <w:r w:rsidR="00B51130">
          <w:rPr>
            <w:noProof/>
            <w:webHidden/>
          </w:rPr>
          <w:fldChar w:fldCharType="end"/>
        </w:r>
      </w:hyperlink>
    </w:p>
    <w:p w14:paraId="05E17EB0" w14:textId="77777777" w:rsidR="00B51130" w:rsidRDefault="00000000">
      <w:pPr>
        <w:pStyle w:val="TOC2"/>
        <w:rPr>
          <w:rFonts w:eastAsiaTheme="minorEastAsia" w:cstheme="minorBidi"/>
          <w:noProof/>
          <w:color w:val="auto"/>
          <w:szCs w:val="22"/>
          <w:lang w:eastAsia="en-GB"/>
        </w:rPr>
      </w:pPr>
      <w:hyperlink w:anchor="_Toc504484167" w:history="1">
        <w:r w:rsidR="00B51130" w:rsidRPr="00B2284F">
          <w:rPr>
            <w:rStyle w:val="Hyperlink"/>
            <w:noProof/>
          </w:rPr>
          <w:t>6.3</w:t>
        </w:r>
        <w:r w:rsidR="00B51130">
          <w:rPr>
            <w:rFonts w:eastAsiaTheme="minorEastAsia" w:cstheme="minorBidi"/>
            <w:noProof/>
            <w:color w:val="auto"/>
            <w:szCs w:val="22"/>
            <w:lang w:eastAsia="en-GB"/>
          </w:rPr>
          <w:tab/>
        </w:r>
        <w:r w:rsidR="00B51130" w:rsidRPr="00B2284F">
          <w:rPr>
            <w:rStyle w:val="Hyperlink"/>
            <w:noProof/>
          </w:rPr>
          <w:t>Ordem dos Médicos (Order of Physicians)</w:t>
        </w:r>
        <w:r w:rsidR="00B51130">
          <w:rPr>
            <w:noProof/>
            <w:webHidden/>
          </w:rPr>
          <w:tab/>
        </w:r>
        <w:r w:rsidR="00B51130">
          <w:rPr>
            <w:noProof/>
            <w:webHidden/>
          </w:rPr>
          <w:fldChar w:fldCharType="begin"/>
        </w:r>
        <w:r w:rsidR="00B51130">
          <w:rPr>
            <w:noProof/>
            <w:webHidden/>
          </w:rPr>
          <w:instrText xml:space="preserve"> PAGEREF _Toc504484167 \h </w:instrText>
        </w:r>
        <w:r w:rsidR="00B51130">
          <w:rPr>
            <w:noProof/>
            <w:webHidden/>
          </w:rPr>
        </w:r>
        <w:r w:rsidR="00B51130">
          <w:rPr>
            <w:noProof/>
            <w:webHidden/>
          </w:rPr>
          <w:fldChar w:fldCharType="separate"/>
        </w:r>
        <w:r w:rsidR="00B51130">
          <w:rPr>
            <w:noProof/>
            <w:webHidden/>
          </w:rPr>
          <w:t>91</w:t>
        </w:r>
        <w:r w:rsidR="00B51130">
          <w:rPr>
            <w:noProof/>
            <w:webHidden/>
          </w:rPr>
          <w:fldChar w:fldCharType="end"/>
        </w:r>
      </w:hyperlink>
    </w:p>
    <w:p w14:paraId="36C5D871" w14:textId="77777777" w:rsidR="00B51130" w:rsidRDefault="00000000">
      <w:pPr>
        <w:pStyle w:val="TOC1"/>
        <w:tabs>
          <w:tab w:val="left" w:pos="480"/>
          <w:tab w:val="right" w:leader="dot" w:pos="9628"/>
        </w:tabs>
        <w:rPr>
          <w:rFonts w:eastAsiaTheme="minorEastAsia" w:cstheme="minorBidi"/>
          <w:noProof/>
          <w:color w:val="auto"/>
          <w:szCs w:val="22"/>
          <w:lang w:eastAsia="en-GB"/>
        </w:rPr>
      </w:pPr>
      <w:hyperlink w:anchor="_Toc504484168" w:history="1">
        <w:r w:rsidR="00B51130" w:rsidRPr="00B2284F">
          <w:rPr>
            <w:rStyle w:val="Hyperlink"/>
            <w:noProof/>
          </w:rPr>
          <w:t>7</w:t>
        </w:r>
        <w:r w:rsidR="00B51130">
          <w:rPr>
            <w:rFonts w:eastAsiaTheme="minorEastAsia" w:cstheme="minorBidi"/>
            <w:noProof/>
            <w:color w:val="auto"/>
            <w:szCs w:val="22"/>
            <w:lang w:eastAsia="en-GB"/>
          </w:rPr>
          <w:tab/>
        </w:r>
        <w:r w:rsidR="00B51130" w:rsidRPr="00B2284F">
          <w:rPr>
            <w:rStyle w:val="Hyperlink"/>
            <w:noProof/>
          </w:rPr>
          <w:t>Singapore</w:t>
        </w:r>
        <w:r w:rsidR="00B51130">
          <w:rPr>
            <w:noProof/>
            <w:webHidden/>
          </w:rPr>
          <w:tab/>
        </w:r>
        <w:r w:rsidR="00B51130">
          <w:rPr>
            <w:noProof/>
            <w:webHidden/>
          </w:rPr>
          <w:fldChar w:fldCharType="begin"/>
        </w:r>
        <w:r w:rsidR="00B51130">
          <w:rPr>
            <w:noProof/>
            <w:webHidden/>
          </w:rPr>
          <w:instrText xml:space="preserve"> PAGEREF _Toc504484168 \h </w:instrText>
        </w:r>
        <w:r w:rsidR="00B51130">
          <w:rPr>
            <w:noProof/>
            <w:webHidden/>
          </w:rPr>
        </w:r>
        <w:r w:rsidR="00B51130">
          <w:rPr>
            <w:noProof/>
            <w:webHidden/>
          </w:rPr>
          <w:fldChar w:fldCharType="separate"/>
        </w:r>
        <w:r w:rsidR="00B51130">
          <w:rPr>
            <w:noProof/>
            <w:webHidden/>
          </w:rPr>
          <w:t>93</w:t>
        </w:r>
        <w:r w:rsidR="00B51130">
          <w:rPr>
            <w:noProof/>
            <w:webHidden/>
          </w:rPr>
          <w:fldChar w:fldCharType="end"/>
        </w:r>
      </w:hyperlink>
    </w:p>
    <w:p w14:paraId="5F0D2ADC" w14:textId="77777777" w:rsidR="00B51130" w:rsidRDefault="00000000">
      <w:pPr>
        <w:pStyle w:val="TOC2"/>
        <w:rPr>
          <w:rFonts w:eastAsiaTheme="minorEastAsia" w:cstheme="minorBidi"/>
          <w:noProof/>
          <w:color w:val="auto"/>
          <w:szCs w:val="22"/>
          <w:lang w:eastAsia="en-GB"/>
        </w:rPr>
      </w:pPr>
      <w:hyperlink w:anchor="_Toc504484169" w:history="1">
        <w:r w:rsidR="00B51130" w:rsidRPr="00B2284F">
          <w:rPr>
            <w:rStyle w:val="Hyperlink"/>
            <w:noProof/>
          </w:rPr>
          <w:t>7.1</w:t>
        </w:r>
        <w:r w:rsidR="00B51130">
          <w:rPr>
            <w:rFonts w:eastAsiaTheme="minorEastAsia" w:cstheme="minorBidi"/>
            <w:noProof/>
            <w:color w:val="auto"/>
            <w:szCs w:val="22"/>
            <w:lang w:eastAsia="en-GB"/>
          </w:rPr>
          <w:tab/>
        </w:r>
        <w:r w:rsidR="00B51130" w:rsidRPr="00B2284F">
          <w:rPr>
            <w:rStyle w:val="Hyperlink"/>
            <w:noProof/>
          </w:rPr>
          <w:t>Country level overview</w:t>
        </w:r>
        <w:r w:rsidR="00B51130">
          <w:rPr>
            <w:noProof/>
            <w:webHidden/>
          </w:rPr>
          <w:tab/>
        </w:r>
        <w:r w:rsidR="00B51130">
          <w:rPr>
            <w:noProof/>
            <w:webHidden/>
          </w:rPr>
          <w:fldChar w:fldCharType="begin"/>
        </w:r>
        <w:r w:rsidR="00B51130">
          <w:rPr>
            <w:noProof/>
            <w:webHidden/>
          </w:rPr>
          <w:instrText xml:space="preserve"> PAGEREF _Toc504484169 \h </w:instrText>
        </w:r>
        <w:r w:rsidR="00B51130">
          <w:rPr>
            <w:noProof/>
            <w:webHidden/>
          </w:rPr>
        </w:r>
        <w:r w:rsidR="00B51130">
          <w:rPr>
            <w:noProof/>
            <w:webHidden/>
          </w:rPr>
          <w:fldChar w:fldCharType="separate"/>
        </w:r>
        <w:r w:rsidR="00B51130">
          <w:rPr>
            <w:noProof/>
            <w:webHidden/>
          </w:rPr>
          <w:t>93</w:t>
        </w:r>
        <w:r w:rsidR="00B51130">
          <w:rPr>
            <w:noProof/>
            <w:webHidden/>
          </w:rPr>
          <w:fldChar w:fldCharType="end"/>
        </w:r>
      </w:hyperlink>
    </w:p>
    <w:p w14:paraId="17322286" w14:textId="77777777" w:rsidR="00B51130" w:rsidRDefault="00000000">
      <w:pPr>
        <w:pStyle w:val="TOC2"/>
        <w:rPr>
          <w:rFonts w:eastAsiaTheme="minorEastAsia" w:cstheme="minorBidi"/>
          <w:noProof/>
          <w:color w:val="auto"/>
          <w:szCs w:val="22"/>
          <w:lang w:eastAsia="en-GB"/>
        </w:rPr>
      </w:pPr>
      <w:hyperlink w:anchor="_Toc504484170" w:history="1">
        <w:r w:rsidR="00B51130" w:rsidRPr="00B2284F">
          <w:rPr>
            <w:rStyle w:val="Hyperlink"/>
            <w:noProof/>
            <w:lang w:eastAsia="en-GB"/>
          </w:rPr>
          <w:t>7.2</w:t>
        </w:r>
        <w:r w:rsidR="00B51130">
          <w:rPr>
            <w:rFonts w:eastAsiaTheme="minorEastAsia" w:cstheme="minorBidi"/>
            <w:noProof/>
            <w:color w:val="auto"/>
            <w:szCs w:val="22"/>
            <w:lang w:eastAsia="en-GB"/>
          </w:rPr>
          <w:tab/>
        </w:r>
        <w:r w:rsidR="00B51130" w:rsidRPr="00B2284F">
          <w:rPr>
            <w:rStyle w:val="Hyperlink"/>
            <w:noProof/>
          </w:rPr>
          <w:t>Singapore Medical Council</w:t>
        </w:r>
        <w:r w:rsidR="00B51130">
          <w:rPr>
            <w:noProof/>
            <w:webHidden/>
          </w:rPr>
          <w:tab/>
        </w:r>
        <w:r w:rsidR="00B51130">
          <w:rPr>
            <w:noProof/>
            <w:webHidden/>
          </w:rPr>
          <w:fldChar w:fldCharType="begin"/>
        </w:r>
        <w:r w:rsidR="00B51130">
          <w:rPr>
            <w:noProof/>
            <w:webHidden/>
          </w:rPr>
          <w:instrText xml:space="preserve"> PAGEREF _Toc504484170 \h </w:instrText>
        </w:r>
        <w:r w:rsidR="00B51130">
          <w:rPr>
            <w:noProof/>
            <w:webHidden/>
          </w:rPr>
        </w:r>
        <w:r w:rsidR="00B51130">
          <w:rPr>
            <w:noProof/>
            <w:webHidden/>
          </w:rPr>
          <w:fldChar w:fldCharType="separate"/>
        </w:r>
        <w:r w:rsidR="00B51130">
          <w:rPr>
            <w:noProof/>
            <w:webHidden/>
          </w:rPr>
          <w:t>94</w:t>
        </w:r>
        <w:r w:rsidR="00B51130">
          <w:rPr>
            <w:noProof/>
            <w:webHidden/>
          </w:rPr>
          <w:fldChar w:fldCharType="end"/>
        </w:r>
      </w:hyperlink>
    </w:p>
    <w:p w14:paraId="79633808" w14:textId="77777777" w:rsidR="00B51130" w:rsidRDefault="00000000">
      <w:pPr>
        <w:pStyle w:val="TOC1"/>
        <w:tabs>
          <w:tab w:val="left" w:pos="480"/>
          <w:tab w:val="right" w:leader="dot" w:pos="9628"/>
        </w:tabs>
        <w:rPr>
          <w:rFonts w:eastAsiaTheme="minorEastAsia" w:cstheme="minorBidi"/>
          <w:noProof/>
          <w:color w:val="auto"/>
          <w:szCs w:val="22"/>
          <w:lang w:eastAsia="en-GB"/>
        </w:rPr>
      </w:pPr>
      <w:hyperlink w:anchor="_Toc504484171" w:history="1">
        <w:r w:rsidR="00B51130" w:rsidRPr="00B2284F">
          <w:rPr>
            <w:rStyle w:val="Hyperlink"/>
            <w:noProof/>
          </w:rPr>
          <w:t>8</w:t>
        </w:r>
        <w:r w:rsidR="00B51130">
          <w:rPr>
            <w:rFonts w:eastAsiaTheme="minorEastAsia" w:cstheme="minorBidi"/>
            <w:noProof/>
            <w:color w:val="auto"/>
            <w:szCs w:val="22"/>
            <w:lang w:eastAsia="en-GB"/>
          </w:rPr>
          <w:tab/>
        </w:r>
        <w:r w:rsidR="00B51130" w:rsidRPr="00B2284F">
          <w:rPr>
            <w:rStyle w:val="Hyperlink"/>
            <w:noProof/>
          </w:rPr>
          <w:t>United Kingdom</w:t>
        </w:r>
        <w:r w:rsidR="00B51130">
          <w:rPr>
            <w:noProof/>
            <w:webHidden/>
          </w:rPr>
          <w:tab/>
        </w:r>
        <w:r w:rsidR="00B51130">
          <w:rPr>
            <w:noProof/>
            <w:webHidden/>
          </w:rPr>
          <w:fldChar w:fldCharType="begin"/>
        </w:r>
        <w:r w:rsidR="00B51130">
          <w:rPr>
            <w:noProof/>
            <w:webHidden/>
          </w:rPr>
          <w:instrText xml:space="preserve"> PAGEREF _Toc504484171 \h </w:instrText>
        </w:r>
        <w:r w:rsidR="00B51130">
          <w:rPr>
            <w:noProof/>
            <w:webHidden/>
          </w:rPr>
        </w:r>
        <w:r w:rsidR="00B51130">
          <w:rPr>
            <w:noProof/>
            <w:webHidden/>
          </w:rPr>
          <w:fldChar w:fldCharType="separate"/>
        </w:r>
        <w:r w:rsidR="00B51130">
          <w:rPr>
            <w:noProof/>
            <w:webHidden/>
          </w:rPr>
          <w:t>96</w:t>
        </w:r>
        <w:r w:rsidR="00B51130">
          <w:rPr>
            <w:noProof/>
            <w:webHidden/>
          </w:rPr>
          <w:fldChar w:fldCharType="end"/>
        </w:r>
      </w:hyperlink>
    </w:p>
    <w:p w14:paraId="6E698470" w14:textId="77777777" w:rsidR="00B51130" w:rsidRDefault="00000000">
      <w:pPr>
        <w:pStyle w:val="TOC2"/>
        <w:rPr>
          <w:rFonts w:eastAsiaTheme="minorEastAsia" w:cstheme="minorBidi"/>
          <w:noProof/>
          <w:color w:val="auto"/>
          <w:szCs w:val="22"/>
          <w:lang w:eastAsia="en-GB"/>
        </w:rPr>
      </w:pPr>
      <w:hyperlink w:anchor="_Toc504484172" w:history="1">
        <w:r w:rsidR="00B51130" w:rsidRPr="00B2284F">
          <w:rPr>
            <w:rStyle w:val="Hyperlink"/>
            <w:noProof/>
          </w:rPr>
          <w:t>8.1</w:t>
        </w:r>
        <w:r w:rsidR="00B51130">
          <w:rPr>
            <w:rFonts w:eastAsiaTheme="minorEastAsia" w:cstheme="minorBidi"/>
            <w:noProof/>
            <w:color w:val="auto"/>
            <w:szCs w:val="22"/>
            <w:lang w:eastAsia="en-GB"/>
          </w:rPr>
          <w:tab/>
        </w:r>
        <w:r w:rsidR="00B51130" w:rsidRPr="00B2284F">
          <w:rPr>
            <w:rStyle w:val="Hyperlink"/>
            <w:noProof/>
          </w:rPr>
          <w:t>Country level overview</w:t>
        </w:r>
        <w:r w:rsidR="00B51130">
          <w:rPr>
            <w:noProof/>
            <w:webHidden/>
          </w:rPr>
          <w:tab/>
        </w:r>
        <w:r w:rsidR="00B51130">
          <w:rPr>
            <w:noProof/>
            <w:webHidden/>
          </w:rPr>
          <w:fldChar w:fldCharType="begin"/>
        </w:r>
        <w:r w:rsidR="00B51130">
          <w:rPr>
            <w:noProof/>
            <w:webHidden/>
          </w:rPr>
          <w:instrText xml:space="preserve"> PAGEREF _Toc504484172 \h </w:instrText>
        </w:r>
        <w:r w:rsidR="00B51130">
          <w:rPr>
            <w:noProof/>
            <w:webHidden/>
          </w:rPr>
        </w:r>
        <w:r w:rsidR="00B51130">
          <w:rPr>
            <w:noProof/>
            <w:webHidden/>
          </w:rPr>
          <w:fldChar w:fldCharType="separate"/>
        </w:r>
        <w:r w:rsidR="00B51130">
          <w:rPr>
            <w:noProof/>
            <w:webHidden/>
          </w:rPr>
          <w:t>96</w:t>
        </w:r>
        <w:r w:rsidR="00B51130">
          <w:rPr>
            <w:noProof/>
            <w:webHidden/>
          </w:rPr>
          <w:fldChar w:fldCharType="end"/>
        </w:r>
      </w:hyperlink>
    </w:p>
    <w:p w14:paraId="610AAE80" w14:textId="77777777" w:rsidR="00B51130" w:rsidRDefault="00000000">
      <w:pPr>
        <w:pStyle w:val="TOC2"/>
        <w:rPr>
          <w:rFonts w:eastAsiaTheme="minorEastAsia" w:cstheme="minorBidi"/>
          <w:noProof/>
          <w:color w:val="auto"/>
          <w:szCs w:val="22"/>
          <w:lang w:eastAsia="en-GB"/>
        </w:rPr>
      </w:pPr>
      <w:hyperlink w:anchor="_Toc504484173" w:history="1">
        <w:r w:rsidR="00B51130" w:rsidRPr="00B2284F">
          <w:rPr>
            <w:rStyle w:val="Hyperlink"/>
            <w:noProof/>
            <w:lang w:eastAsia="en-GB"/>
          </w:rPr>
          <w:t>8.2</w:t>
        </w:r>
        <w:r w:rsidR="00B51130">
          <w:rPr>
            <w:rFonts w:eastAsiaTheme="minorEastAsia" w:cstheme="minorBidi"/>
            <w:noProof/>
            <w:color w:val="auto"/>
            <w:szCs w:val="22"/>
            <w:lang w:eastAsia="en-GB"/>
          </w:rPr>
          <w:tab/>
        </w:r>
        <w:r w:rsidR="00B51130" w:rsidRPr="00B2284F">
          <w:rPr>
            <w:rStyle w:val="Hyperlink"/>
            <w:noProof/>
            <w:lang w:eastAsia="en-GB"/>
          </w:rPr>
          <w:t>Care Quality Commission</w:t>
        </w:r>
        <w:r w:rsidR="00B51130">
          <w:rPr>
            <w:noProof/>
            <w:webHidden/>
          </w:rPr>
          <w:tab/>
        </w:r>
        <w:r w:rsidR="00B51130">
          <w:rPr>
            <w:noProof/>
            <w:webHidden/>
          </w:rPr>
          <w:fldChar w:fldCharType="begin"/>
        </w:r>
        <w:r w:rsidR="00B51130">
          <w:rPr>
            <w:noProof/>
            <w:webHidden/>
          </w:rPr>
          <w:instrText xml:space="preserve"> PAGEREF _Toc504484173 \h </w:instrText>
        </w:r>
        <w:r w:rsidR="00B51130">
          <w:rPr>
            <w:noProof/>
            <w:webHidden/>
          </w:rPr>
        </w:r>
        <w:r w:rsidR="00B51130">
          <w:rPr>
            <w:noProof/>
            <w:webHidden/>
          </w:rPr>
          <w:fldChar w:fldCharType="separate"/>
        </w:r>
        <w:r w:rsidR="00B51130">
          <w:rPr>
            <w:noProof/>
            <w:webHidden/>
          </w:rPr>
          <w:t>98</w:t>
        </w:r>
        <w:r w:rsidR="00B51130">
          <w:rPr>
            <w:noProof/>
            <w:webHidden/>
          </w:rPr>
          <w:fldChar w:fldCharType="end"/>
        </w:r>
      </w:hyperlink>
    </w:p>
    <w:p w14:paraId="71D56167" w14:textId="77777777" w:rsidR="00B51130" w:rsidRDefault="00000000">
      <w:pPr>
        <w:pStyle w:val="TOC2"/>
        <w:rPr>
          <w:rFonts w:eastAsiaTheme="minorEastAsia" w:cstheme="minorBidi"/>
          <w:noProof/>
          <w:color w:val="auto"/>
          <w:szCs w:val="22"/>
          <w:lang w:eastAsia="en-GB"/>
        </w:rPr>
      </w:pPr>
      <w:hyperlink w:anchor="_Toc504484174" w:history="1">
        <w:r w:rsidR="00B51130" w:rsidRPr="00B2284F">
          <w:rPr>
            <w:rStyle w:val="Hyperlink"/>
            <w:noProof/>
            <w:lang w:eastAsia="en-GB"/>
          </w:rPr>
          <w:t>8.3</w:t>
        </w:r>
        <w:r w:rsidR="00B51130">
          <w:rPr>
            <w:rFonts w:eastAsiaTheme="minorEastAsia" w:cstheme="minorBidi"/>
            <w:noProof/>
            <w:color w:val="auto"/>
            <w:szCs w:val="22"/>
            <w:lang w:eastAsia="en-GB"/>
          </w:rPr>
          <w:tab/>
        </w:r>
        <w:r w:rsidR="00B51130" w:rsidRPr="00B2284F">
          <w:rPr>
            <w:rStyle w:val="Hyperlink"/>
            <w:noProof/>
            <w:lang w:eastAsia="en-GB"/>
          </w:rPr>
          <w:t>Medicines and Healthcare Products Regulatory Agency</w:t>
        </w:r>
        <w:r w:rsidR="00B51130">
          <w:rPr>
            <w:noProof/>
            <w:webHidden/>
          </w:rPr>
          <w:tab/>
        </w:r>
        <w:r w:rsidR="00B51130">
          <w:rPr>
            <w:noProof/>
            <w:webHidden/>
          </w:rPr>
          <w:fldChar w:fldCharType="begin"/>
        </w:r>
        <w:r w:rsidR="00B51130">
          <w:rPr>
            <w:noProof/>
            <w:webHidden/>
          </w:rPr>
          <w:instrText xml:space="preserve"> PAGEREF _Toc504484174 \h </w:instrText>
        </w:r>
        <w:r w:rsidR="00B51130">
          <w:rPr>
            <w:noProof/>
            <w:webHidden/>
          </w:rPr>
        </w:r>
        <w:r w:rsidR="00B51130">
          <w:rPr>
            <w:noProof/>
            <w:webHidden/>
          </w:rPr>
          <w:fldChar w:fldCharType="separate"/>
        </w:r>
        <w:r w:rsidR="00B51130">
          <w:rPr>
            <w:noProof/>
            <w:webHidden/>
          </w:rPr>
          <w:t>99</w:t>
        </w:r>
        <w:r w:rsidR="00B51130">
          <w:rPr>
            <w:noProof/>
            <w:webHidden/>
          </w:rPr>
          <w:fldChar w:fldCharType="end"/>
        </w:r>
      </w:hyperlink>
    </w:p>
    <w:p w14:paraId="2206A4C1" w14:textId="77777777" w:rsidR="00B51130" w:rsidRDefault="00000000">
      <w:pPr>
        <w:pStyle w:val="TOC2"/>
        <w:rPr>
          <w:rFonts w:eastAsiaTheme="minorEastAsia" w:cstheme="minorBidi"/>
          <w:noProof/>
          <w:color w:val="auto"/>
          <w:szCs w:val="22"/>
          <w:lang w:eastAsia="en-GB"/>
        </w:rPr>
      </w:pPr>
      <w:hyperlink w:anchor="_Toc504484175" w:history="1">
        <w:r w:rsidR="00B51130" w:rsidRPr="00B2284F">
          <w:rPr>
            <w:rStyle w:val="Hyperlink"/>
            <w:noProof/>
          </w:rPr>
          <w:t>8.4</w:t>
        </w:r>
        <w:r w:rsidR="00B51130">
          <w:rPr>
            <w:rFonts w:eastAsiaTheme="minorEastAsia" w:cstheme="minorBidi"/>
            <w:noProof/>
            <w:color w:val="auto"/>
            <w:szCs w:val="22"/>
            <w:lang w:eastAsia="en-GB"/>
          </w:rPr>
          <w:tab/>
        </w:r>
        <w:r w:rsidR="00B51130" w:rsidRPr="00B2284F">
          <w:rPr>
            <w:rStyle w:val="Hyperlink"/>
            <w:noProof/>
          </w:rPr>
          <w:t>British Medical Association</w:t>
        </w:r>
        <w:r w:rsidR="00B51130">
          <w:rPr>
            <w:noProof/>
            <w:webHidden/>
          </w:rPr>
          <w:tab/>
        </w:r>
        <w:r w:rsidR="00B51130">
          <w:rPr>
            <w:noProof/>
            <w:webHidden/>
          </w:rPr>
          <w:fldChar w:fldCharType="begin"/>
        </w:r>
        <w:r w:rsidR="00B51130">
          <w:rPr>
            <w:noProof/>
            <w:webHidden/>
          </w:rPr>
          <w:instrText xml:space="preserve"> PAGEREF _Toc504484175 \h </w:instrText>
        </w:r>
        <w:r w:rsidR="00B51130">
          <w:rPr>
            <w:noProof/>
            <w:webHidden/>
          </w:rPr>
        </w:r>
        <w:r w:rsidR="00B51130">
          <w:rPr>
            <w:noProof/>
            <w:webHidden/>
          </w:rPr>
          <w:fldChar w:fldCharType="separate"/>
        </w:r>
        <w:r w:rsidR="00B51130">
          <w:rPr>
            <w:noProof/>
            <w:webHidden/>
          </w:rPr>
          <w:t>100</w:t>
        </w:r>
        <w:r w:rsidR="00B51130">
          <w:rPr>
            <w:noProof/>
            <w:webHidden/>
          </w:rPr>
          <w:fldChar w:fldCharType="end"/>
        </w:r>
      </w:hyperlink>
    </w:p>
    <w:p w14:paraId="73EB4F29" w14:textId="77777777" w:rsidR="00B51130" w:rsidRDefault="00000000">
      <w:pPr>
        <w:pStyle w:val="TOC2"/>
        <w:rPr>
          <w:rFonts w:eastAsiaTheme="minorEastAsia" w:cstheme="minorBidi"/>
          <w:noProof/>
          <w:color w:val="auto"/>
          <w:szCs w:val="22"/>
          <w:lang w:eastAsia="en-GB"/>
        </w:rPr>
      </w:pPr>
      <w:hyperlink w:anchor="_Toc504484176" w:history="1">
        <w:r w:rsidR="00B51130" w:rsidRPr="00B2284F">
          <w:rPr>
            <w:rStyle w:val="Hyperlink"/>
            <w:noProof/>
          </w:rPr>
          <w:t>8.5</w:t>
        </w:r>
        <w:r w:rsidR="00B51130">
          <w:rPr>
            <w:rFonts w:eastAsiaTheme="minorEastAsia" w:cstheme="minorBidi"/>
            <w:noProof/>
            <w:color w:val="auto"/>
            <w:szCs w:val="22"/>
            <w:lang w:eastAsia="en-GB"/>
          </w:rPr>
          <w:tab/>
        </w:r>
        <w:r w:rsidR="00B51130" w:rsidRPr="00B2284F">
          <w:rPr>
            <w:rStyle w:val="Hyperlink"/>
            <w:noProof/>
          </w:rPr>
          <w:t>General Pharmaceutical Council (GPhC)</w:t>
        </w:r>
        <w:r w:rsidR="00B51130">
          <w:rPr>
            <w:noProof/>
            <w:webHidden/>
          </w:rPr>
          <w:tab/>
        </w:r>
        <w:r w:rsidR="00B51130">
          <w:rPr>
            <w:noProof/>
            <w:webHidden/>
          </w:rPr>
          <w:fldChar w:fldCharType="begin"/>
        </w:r>
        <w:r w:rsidR="00B51130">
          <w:rPr>
            <w:noProof/>
            <w:webHidden/>
          </w:rPr>
          <w:instrText xml:space="preserve"> PAGEREF _Toc504484176 \h </w:instrText>
        </w:r>
        <w:r w:rsidR="00B51130">
          <w:rPr>
            <w:noProof/>
            <w:webHidden/>
          </w:rPr>
        </w:r>
        <w:r w:rsidR="00B51130">
          <w:rPr>
            <w:noProof/>
            <w:webHidden/>
          </w:rPr>
          <w:fldChar w:fldCharType="separate"/>
        </w:r>
        <w:r w:rsidR="00B51130">
          <w:rPr>
            <w:noProof/>
            <w:webHidden/>
          </w:rPr>
          <w:t>100</w:t>
        </w:r>
        <w:r w:rsidR="00B51130">
          <w:rPr>
            <w:noProof/>
            <w:webHidden/>
          </w:rPr>
          <w:fldChar w:fldCharType="end"/>
        </w:r>
      </w:hyperlink>
    </w:p>
    <w:p w14:paraId="2548C9F0" w14:textId="77777777" w:rsidR="00B51130" w:rsidRDefault="00000000">
      <w:pPr>
        <w:pStyle w:val="TOC1"/>
        <w:tabs>
          <w:tab w:val="left" w:pos="480"/>
          <w:tab w:val="right" w:leader="dot" w:pos="9628"/>
        </w:tabs>
        <w:rPr>
          <w:rFonts w:eastAsiaTheme="minorEastAsia" w:cstheme="minorBidi"/>
          <w:noProof/>
          <w:color w:val="auto"/>
          <w:szCs w:val="22"/>
          <w:lang w:eastAsia="en-GB"/>
        </w:rPr>
      </w:pPr>
      <w:hyperlink w:anchor="_Toc504484177" w:history="1">
        <w:r w:rsidR="00B51130" w:rsidRPr="00B2284F">
          <w:rPr>
            <w:rStyle w:val="Hyperlink"/>
            <w:noProof/>
          </w:rPr>
          <w:t>9</w:t>
        </w:r>
        <w:r w:rsidR="00B51130">
          <w:rPr>
            <w:rFonts w:eastAsiaTheme="minorEastAsia" w:cstheme="minorBidi"/>
            <w:noProof/>
            <w:color w:val="auto"/>
            <w:szCs w:val="22"/>
            <w:lang w:eastAsia="en-GB"/>
          </w:rPr>
          <w:tab/>
        </w:r>
        <w:r w:rsidR="00B51130" w:rsidRPr="00B2284F">
          <w:rPr>
            <w:rStyle w:val="Hyperlink"/>
            <w:noProof/>
          </w:rPr>
          <w:t>United States</w:t>
        </w:r>
        <w:r w:rsidR="00B51130">
          <w:rPr>
            <w:noProof/>
            <w:webHidden/>
          </w:rPr>
          <w:tab/>
        </w:r>
        <w:r w:rsidR="00B51130">
          <w:rPr>
            <w:noProof/>
            <w:webHidden/>
          </w:rPr>
          <w:fldChar w:fldCharType="begin"/>
        </w:r>
        <w:r w:rsidR="00B51130">
          <w:rPr>
            <w:noProof/>
            <w:webHidden/>
          </w:rPr>
          <w:instrText xml:space="preserve"> PAGEREF _Toc504484177 \h </w:instrText>
        </w:r>
        <w:r w:rsidR="00B51130">
          <w:rPr>
            <w:noProof/>
            <w:webHidden/>
          </w:rPr>
        </w:r>
        <w:r w:rsidR="00B51130">
          <w:rPr>
            <w:noProof/>
            <w:webHidden/>
          </w:rPr>
          <w:fldChar w:fldCharType="separate"/>
        </w:r>
        <w:r w:rsidR="00B51130">
          <w:rPr>
            <w:noProof/>
            <w:webHidden/>
          </w:rPr>
          <w:t>101</w:t>
        </w:r>
        <w:r w:rsidR="00B51130">
          <w:rPr>
            <w:noProof/>
            <w:webHidden/>
          </w:rPr>
          <w:fldChar w:fldCharType="end"/>
        </w:r>
      </w:hyperlink>
    </w:p>
    <w:p w14:paraId="7477C158" w14:textId="77777777" w:rsidR="00B51130" w:rsidRDefault="00000000">
      <w:pPr>
        <w:pStyle w:val="TOC2"/>
        <w:rPr>
          <w:rFonts w:eastAsiaTheme="minorEastAsia" w:cstheme="minorBidi"/>
          <w:noProof/>
          <w:color w:val="auto"/>
          <w:szCs w:val="22"/>
          <w:lang w:eastAsia="en-GB"/>
        </w:rPr>
      </w:pPr>
      <w:hyperlink w:anchor="_Toc504484178" w:history="1">
        <w:r w:rsidR="00B51130" w:rsidRPr="00B2284F">
          <w:rPr>
            <w:rStyle w:val="Hyperlink"/>
            <w:noProof/>
          </w:rPr>
          <w:t>9.1</w:t>
        </w:r>
        <w:r w:rsidR="00B51130">
          <w:rPr>
            <w:rFonts w:eastAsiaTheme="minorEastAsia" w:cstheme="minorBidi"/>
            <w:noProof/>
            <w:color w:val="auto"/>
            <w:szCs w:val="22"/>
            <w:lang w:eastAsia="en-GB"/>
          </w:rPr>
          <w:tab/>
        </w:r>
        <w:r w:rsidR="00B51130" w:rsidRPr="00B2284F">
          <w:rPr>
            <w:rStyle w:val="Hyperlink"/>
            <w:noProof/>
          </w:rPr>
          <w:t>Country level overview</w:t>
        </w:r>
        <w:r w:rsidR="00B51130">
          <w:rPr>
            <w:noProof/>
            <w:webHidden/>
          </w:rPr>
          <w:tab/>
        </w:r>
        <w:r w:rsidR="00B51130">
          <w:rPr>
            <w:noProof/>
            <w:webHidden/>
          </w:rPr>
          <w:fldChar w:fldCharType="begin"/>
        </w:r>
        <w:r w:rsidR="00B51130">
          <w:rPr>
            <w:noProof/>
            <w:webHidden/>
          </w:rPr>
          <w:instrText xml:space="preserve"> PAGEREF _Toc504484178 \h </w:instrText>
        </w:r>
        <w:r w:rsidR="00B51130">
          <w:rPr>
            <w:noProof/>
            <w:webHidden/>
          </w:rPr>
        </w:r>
        <w:r w:rsidR="00B51130">
          <w:rPr>
            <w:noProof/>
            <w:webHidden/>
          </w:rPr>
          <w:fldChar w:fldCharType="separate"/>
        </w:r>
        <w:r w:rsidR="00B51130">
          <w:rPr>
            <w:noProof/>
            <w:webHidden/>
          </w:rPr>
          <w:t>101</w:t>
        </w:r>
        <w:r w:rsidR="00B51130">
          <w:rPr>
            <w:noProof/>
            <w:webHidden/>
          </w:rPr>
          <w:fldChar w:fldCharType="end"/>
        </w:r>
      </w:hyperlink>
    </w:p>
    <w:p w14:paraId="31413FE9" w14:textId="77777777" w:rsidR="00B51130" w:rsidRDefault="00000000">
      <w:pPr>
        <w:pStyle w:val="TOC2"/>
        <w:rPr>
          <w:rFonts w:eastAsiaTheme="minorEastAsia" w:cstheme="minorBidi"/>
          <w:noProof/>
          <w:color w:val="auto"/>
          <w:szCs w:val="22"/>
          <w:lang w:eastAsia="en-GB"/>
        </w:rPr>
      </w:pPr>
      <w:hyperlink w:anchor="_Toc504484179" w:history="1">
        <w:r w:rsidR="00B51130" w:rsidRPr="00B2284F">
          <w:rPr>
            <w:rStyle w:val="Hyperlink"/>
            <w:noProof/>
          </w:rPr>
          <w:t>9.2</w:t>
        </w:r>
        <w:r w:rsidR="00B51130">
          <w:rPr>
            <w:rFonts w:eastAsiaTheme="minorEastAsia" w:cstheme="minorBidi"/>
            <w:noProof/>
            <w:color w:val="auto"/>
            <w:szCs w:val="22"/>
            <w:lang w:eastAsia="en-GB"/>
          </w:rPr>
          <w:tab/>
        </w:r>
        <w:r w:rsidR="00B51130" w:rsidRPr="00B2284F">
          <w:rPr>
            <w:rStyle w:val="Hyperlink"/>
            <w:noProof/>
          </w:rPr>
          <w:t>Federation of State Medical Boards</w:t>
        </w:r>
        <w:r w:rsidR="00B51130">
          <w:rPr>
            <w:noProof/>
            <w:webHidden/>
          </w:rPr>
          <w:tab/>
        </w:r>
        <w:r w:rsidR="00B51130">
          <w:rPr>
            <w:noProof/>
            <w:webHidden/>
          </w:rPr>
          <w:fldChar w:fldCharType="begin"/>
        </w:r>
        <w:r w:rsidR="00B51130">
          <w:rPr>
            <w:noProof/>
            <w:webHidden/>
          </w:rPr>
          <w:instrText xml:space="preserve"> PAGEREF _Toc504484179 \h </w:instrText>
        </w:r>
        <w:r w:rsidR="00B51130">
          <w:rPr>
            <w:noProof/>
            <w:webHidden/>
          </w:rPr>
        </w:r>
        <w:r w:rsidR="00B51130">
          <w:rPr>
            <w:noProof/>
            <w:webHidden/>
          </w:rPr>
          <w:fldChar w:fldCharType="separate"/>
        </w:r>
        <w:r w:rsidR="00B51130">
          <w:rPr>
            <w:noProof/>
            <w:webHidden/>
          </w:rPr>
          <w:t>102</w:t>
        </w:r>
        <w:r w:rsidR="00B51130">
          <w:rPr>
            <w:noProof/>
            <w:webHidden/>
          </w:rPr>
          <w:fldChar w:fldCharType="end"/>
        </w:r>
      </w:hyperlink>
    </w:p>
    <w:p w14:paraId="2F3D99B3" w14:textId="77777777" w:rsidR="00B51130" w:rsidRDefault="00000000">
      <w:pPr>
        <w:pStyle w:val="TOC2"/>
        <w:rPr>
          <w:rFonts w:eastAsiaTheme="minorEastAsia" w:cstheme="minorBidi"/>
          <w:noProof/>
          <w:color w:val="auto"/>
          <w:szCs w:val="22"/>
          <w:lang w:eastAsia="en-GB"/>
        </w:rPr>
      </w:pPr>
      <w:hyperlink w:anchor="_Toc504484180" w:history="1">
        <w:r w:rsidR="00B51130" w:rsidRPr="00B2284F">
          <w:rPr>
            <w:rStyle w:val="Hyperlink"/>
            <w:noProof/>
          </w:rPr>
          <w:t>9.3</w:t>
        </w:r>
        <w:r w:rsidR="00B51130">
          <w:rPr>
            <w:rFonts w:eastAsiaTheme="minorEastAsia" w:cstheme="minorBidi"/>
            <w:noProof/>
            <w:color w:val="auto"/>
            <w:szCs w:val="22"/>
            <w:lang w:eastAsia="en-GB"/>
          </w:rPr>
          <w:tab/>
        </w:r>
        <w:r w:rsidR="00B51130" w:rsidRPr="00B2284F">
          <w:rPr>
            <w:rStyle w:val="Hyperlink"/>
            <w:noProof/>
          </w:rPr>
          <w:t>American Telemedicine Association</w:t>
        </w:r>
        <w:r w:rsidR="00B51130">
          <w:rPr>
            <w:noProof/>
            <w:webHidden/>
          </w:rPr>
          <w:tab/>
        </w:r>
        <w:r w:rsidR="00B51130">
          <w:rPr>
            <w:noProof/>
            <w:webHidden/>
          </w:rPr>
          <w:fldChar w:fldCharType="begin"/>
        </w:r>
        <w:r w:rsidR="00B51130">
          <w:rPr>
            <w:noProof/>
            <w:webHidden/>
          </w:rPr>
          <w:instrText xml:space="preserve"> PAGEREF _Toc504484180 \h </w:instrText>
        </w:r>
        <w:r w:rsidR="00B51130">
          <w:rPr>
            <w:noProof/>
            <w:webHidden/>
          </w:rPr>
        </w:r>
        <w:r w:rsidR="00B51130">
          <w:rPr>
            <w:noProof/>
            <w:webHidden/>
          </w:rPr>
          <w:fldChar w:fldCharType="separate"/>
        </w:r>
        <w:r w:rsidR="00B51130">
          <w:rPr>
            <w:noProof/>
            <w:webHidden/>
          </w:rPr>
          <w:t>107</w:t>
        </w:r>
        <w:r w:rsidR="00B51130">
          <w:rPr>
            <w:noProof/>
            <w:webHidden/>
          </w:rPr>
          <w:fldChar w:fldCharType="end"/>
        </w:r>
      </w:hyperlink>
    </w:p>
    <w:p w14:paraId="693E2983" w14:textId="77777777" w:rsidR="00B51130" w:rsidRDefault="00000000">
      <w:pPr>
        <w:pStyle w:val="TOC2"/>
        <w:rPr>
          <w:rFonts w:eastAsiaTheme="minorEastAsia" w:cstheme="minorBidi"/>
          <w:noProof/>
          <w:color w:val="auto"/>
          <w:szCs w:val="22"/>
          <w:lang w:eastAsia="en-GB"/>
        </w:rPr>
      </w:pPr>
      <w:hyperlink w:anchor="_Toc504484181" w:history="1">
        <w:r w:rsidR="00B51130" w:rsidRPr="00B2284F">
          <w:rPr>
            <w:rStyle w:val="Hyperlink"/>
            <w:noProof/>
          </w:rPr>
          <w:t>9.4</w:t>
        </w:r>
        <w:r w:rsidR="00B51130">
          <w:rPr>
            <w:rFonts w:eastAsiaTheme="minorEastAsia" w:cstheme="minorBidi"/>
            <w:noProof/>
            <w:color w:val="auto"/>
            <w:szCs w:val="22"/>
            <w:lang w:eastAsia="en-GB"/>
          </w:rPr>
          <w:tab/>
        </w:r>
        <w:r w:rsidR="00B51130" w:rsidRPr="00B2284F">
          <w:rPr>
            <w:rStyle w:val="Hyperlink"/>
            <w:noProof/>
          </w:rPr>
          <w:t>State of Maine Board of Licensure in Medicine</w:t>
        </w:r>
        <w:r w:rsidR="00B51130">
          <w:rPr>
            <w:noProof/>
            <w:webHidden/>
          </w:rPr>
          <w:tab/>
        </w:r>
        <w:r w:rsidR="00B51130">
          <w:rPr>
            <w:noProof/>
            <w:webHidden/>
          </w:rPr>
          <w:fldChar w:fldCharType="begin"/>
        </w:r>
        <w:r w:rsidR="00B51130">
          <w:rPr>
            <w:noProof/>
            <w:webHidden/>
          </w:rPr>
          <w:instrText xml:space="preserve"> PAGEREF _Toc504484181 \h </w:instrText>
        </w:r>
        <w:r w:rsidR="00B51130">
          <w:rPr>
            <w:noProof/>
            <w:webHidden/>
          </w:rPr>
        </w:r>
        <w:r w:rsidR="00B51130">
          <w:rPr>
            <w:noProof/>
            <w:webHidden/>
          </w:rPr>
          <w:fldChar w:fldCharType="separate"/>
        </w:r>
        <w:r w:rsidR="00B51130">
          <w:rPr>
            <w:noProof/>
            <w:webHidden/>
          </w:rPr>
          <w:t>107</w:t>
        </w:r>
        <w:r w:rsidR="00B51130">
          <w:rPr>
            <w:noProof/>
            <w:webHidden/>
          </w:rPr>
          <w:fldChar w:fldCharType="end"/>
        </w:r>
      </w:hyperlink>
    </w:p>
    <w:p w14:paraId="10CB7D5B" w14:textId="77777777" w:rsidR="00B51130" w:rsidRDefault="00000000">
      <w:pPr>
        <w:pStyle w:val="TOC2"/>
        <w:rPr>
          <w:rFonts w:eastAsiaTheme="minorEastAsia" w:cstheme="minorBidi"/>
          <w:noProof/>
          <w:color w:val="auto"/>
          <w:szCs w:val="22"/>
          <w:lang w:eastAsia="en-GB"/>
        </w:rPr>
      </w:pPr>
      <w:hyperlink w:anchor="_Toc504484182" w:history="1">
        <w:r w:rsidR="00B51130" w:rsidRPr="00B2284F">
          <w:rPr>
            <w:rStyle w:val="Hyperlink"/>
            <w:noProof/>
          </w:rPr>
          <w:t>9.5</w:t>
        </w:r>
        <w:r w:rsidR="00B51130">
          <w:rPr>
            <w:rFonts w:eastAsiaTheme="minorEastAsia" w:cstheme="minorBidi"/>
            <w:noProof/>
            <w:color w:val="auto"/>
            <w:szCs w:val="22"/>
            <w:lang w:eastAsia="en-GB"/>
          </w:rPr>
          <w:tab/>
        </w:r>
        <w:r w:rsidR="00B51130" w:rsidRPr="00B2284F">
          <w:rPr>
            <w:rStyle w:val="Hyperlink"/>
            <w:noProof/>
          </w:rPr>
          <w:t>North Carolina Medical Board</w:t>
        </w:r>
        <w:r w:rsidR="00B51130">
          <w:rPr>
            <w:noProof/>
            <w:webHidden/>
          </w:rPr>
          <w:tab/>
        </w:r>
        <w:r w:rsidR="00B51130">
          <w:rPr>
            <w:noProof/>
            <w:webHidden/>
          </w:rPr>
          <w:fldChar w:fldCharType="begin"/>
        </w:r>
        <w:r w:rsidR="00B51130">
          <w:rPr>
            <w:noProof/>
            <w:webHidden/>
          </w:rPr>
          <w:instrText xml:space="preserve"> PAGEREF _Toc504484182 \h </w:instrText>
        </w:r>
        <w:r w:rsidR="00B51130">
          <w:rPr>
            <w:noProof/>
            <w:webHidden/>
          </w:rPr>
        </w:r>
        <w:r w:rsidR="00B51130">
          <w:rPr>
            <w:noProof/>
            <w:webHidden/>
          </w:rPr>
          <w:fldChar w:fldCharType="separate"/>
        </w:r>
        <w:r w:rsidR="00B51130">
          <w:rPr>
            <w:noProof/>
            <w:webHidden/>
          </w:rPr>
          <w:t>108</w:t>
        </w:r>
        <w:r w:rsidR="00B51130">
          <w:rPr>
            <w:noProof/>
            <w:webHidden/>
          </w:rPr>
          <w:fldChar w:fldCharType="end"/>
        </w:r>
      </w:hyperlink>
    </w:p>
    <w:p w14:paraId="6994BBB6" w14:textId="77777777" w:rsidR="00B51130" w:rsidRDefault="00000000">
      <w:pPr>
        <w:pStyle w:val="TOC2"/>
        <w:rPr>
          <w:rFonts w:eastAsiaTheme="minorEastAsia" w:cstheme="minorBidi"/>
          <w:noProof/>
          <w:color w:val="auto"/>
          <w:szCs w:val="22"/>
          <w:lang w:eastAsia="en-GB"/>
        </w:rPr>
      </w:pPr>
      <w:hyperlink w:anchor="_Toc504484183" w:history="1">
        <w:r w:rsidR="00B51130" w:rsidRPr="00B2284F">
          <w:rPr>
            <w:rStyle w:val="Hyperlink"/>
            <w:noProof/>
          </w:rPr>
          <w:t>9.6</w:t>
        </w:r>
        <w:r w:rsidR="00B51130">
          <w:rPr>
            <w:rFonts w:eastAsiaTheme="minorEastAsia" w:cstheme="minorBidi"/>
            <w:noProof/>
            <w:color w:val="auto"/>
            <w:szCs w:val="22"/>
            <w:lang w:eastAsia="en-GB"/>
          </w:rPr>
          <w:tab/>
        </w:r>
        <w:r w:rsidR="00B51130" w:rsidRPr="00B2284F">
          <w:rPr>
            <w:rStyle w:val="Hyperlink"/>
            <w:noProof/>
          </w:rPr>
          <w:t>Oregon Medical Board</w:t>
        </w:r>
        <w:r w:rsidR="00B51130">
          <w:rPr>
            <w:noProof/>
            <w:webHidden/>
          </w:rPr>
          <w:tab/>
        </w:r>
        <w:r w:rsidR="00B51130">
          <w:rPr>
            <w:noProof/>
            <w:webHidden/>
          </w:rPr>
          <w:fldChar w:fldCharType="begin"/>
        </w:r>
        <w:r w:rsidR="00B51130">
          <w:rPr>
            <w:noProof/>
            <w:webHidden/>
          </w:rPr>
          <w:instrText xml:space="preserve"> PAGEREF _Toc504484183 \h </w:instrText>
        </w:r>
        <w:r w:rsidR="00B51130">
          <w:rPr>
            <w:noProof/>
            <w:webHidden/>
          </w:rPr>
        </w:r>
        <w:r w:rsidR="00B51130">
          <w:rPr>
            <w:noProof/>
            <w:webHidden/>
          </w:rPr>
          <w:fldChar w:fldCharType="separate"/>
        </w:r>
        <w:r w:rsidR="00B51130">
          <w:rPr>
            <w:noProof/>
            <w:webHidden/>
          </w:rPr>
          <w:t>109</w:t>
        </w:r>
        <w:r w:rsidR="00B51130">
          <w:rPr>
            <w:noProof/>
            <w:webHidden/>
          </w:rPr>
          <w:fldChar w:fldCharType="end"/>
        </w:r>
      </w:hyperlink>
    </w:p>
    <w:p w14:paraId="09F2230A" w14:textId="77777777" w:rsidR="00B51130" w:rsidRDefault="00000000">
      <w:pPr>
        <w:pStyle w:val="TOC2"/>
        <w:rPr>
          <w:rFonts w:eastAsiaTheme="minorEastAsia" w:cstheme="minorBidi"/>
          <w:noProof/>
          <w:color w:val="auto"/>
          <w:szCs w:val="22"/>
          <w:lang w:eastAsia="en-GB"/>
        </w:rPr>
      </w:pPr>
      <w:hyperlink w:anchor="_Toc504484184" w:history="1">
        <w:r w:rsidR="00B51130" w:rsidRPr="00B2284F">
          <w:rPr>
            <w:rStyle w:val="Hyperlink"/>
            <w:noProof/>
          </w:rPr>
          <w:t>9.7</w:t>
        </w:r>
        <w:r w:rsidR="00B51130">
          <w:rPr>
            <w:rFonts w:eastAsiaTheme="minorEastAsia" w:cstheme="minorBidi"/>
            <w:noProof/>
            <w:color w:val="auto"/>
            <w:szCs w:val="22"/>
            <w:lang w:eastAsia="en-GB"/>
          </w:rPr>
          <w:tab/>
        </w:r>
        <w:r w:rsidR="00B51130" w:rsidRPr="00B2284F">
          <w:rPr>
            <w:rStyle w:val="Hyperlink"/>
            <w:noProof/>
          </w:rPr>
          <w:t>Washington, DC Board of Medicine</w:t>
        </w:r>
        <w:r w:rsidR="00B51130">
          <w:rPr>
            <w:noProof/>
            <w:webHidden/>
          </w:rPr>
          <w:tab/>
        </w:r>
        <w:r w:rsidR="00B51130">
          <w:rPr>
            <w:noProof/>
            <w:webHidden/>
          </w:rPr>
          <w:fldChar w:fldCharType="begin"/>
        </w:r>
        <w:r w:rsidR="00B51130">
          <w:rPr>
            <w:noProof/>
            <w:webHidden/>
          </w:rPr>
          <w:instrText xml:space="preserve"> PAGEREF _Toc504484184 \h </w:instrText>
        </w:r>
        <w:r w:rsidR="00B51130">
          <w:rPr>
            <w:noProof/>
            <w:webHidden/>
          </w:rPr>
        </w:r>
        <w:r w:rsidR="00B51130">
          <w:rPr>
            <w:noProof/>
            <w:webHidden/>
          </w:rPr>
          <w:fldChar w:fldCharType="separate"/>
        </w:r>
        <w:r w:rsidR="00B51130">
          <w:rPr>
            <w:noProof/>
            <w:webHidden/>
          </w:rPr>
          <w:t>110</w:t>
        </w:r>
        <w:r w:rsidR="00B51130">
          <w:rPr>
            <w:noProof/>
            <w:webHidden/>
          </w:rPr>
          <w:fldChar w:fldCharType="end"/>
        </w:r>
      </w:hyperlink>
    </w:p>
    <w:p w14:paraId="2936FC05" w14:textId="77777777" w:rsidR="00B51130" w:rsidRDefault="00000000">
      <w:pPr>
        <w:pStyle w:val="TOC2"/>
        <w:rPr>
          <w:rFonts w:eastAsiaTheme="minorEastAsia" w:cstheme="minorBidi"/>
          <w:noProof/>
          <w:color w:val="auto"/>
          <w:szCs w:val="22"/>
          <w:lang w:eastAsia="en-GB"/>
        </w:rPr>
      </w:pPr>
      <w:hyperlink w:anchor="_Toc504484185" w:history="1">
        <w:r w:rsidR="00B51130" w:rsidRPr="00B2284F">
          <w:rPr>
            <w:rStyle w:val="Hyperlink"/>
            <w:noProof/>
          </w:rPr>
          <w:t>9.8</w:t>
        </w:r>
        <w:r w:rsidR="00B51130">
          <w:rPr>
            <w:rFonts w:eastAsiaTheme="minorEastAsia" w:cstheme="minorBidi"/>
            <w:noProof/>
            <w:color w:val="auto"/>
            <w:szCs w:val="22"/>
            <w:lang w:eastAsia="en-GB"/>
          </w:rPr>
          <w:tab/>
        </w:r>
        <w:r w:rsidR="00B51130" w:rsidRPr="00B2284F">
          <w:rPr>
            <w:rStyle w:val="Hyperlink"/>
            <w:noProof/>
          </w:rPr>
          <w:t>American Academy of Family Physicians</w:t>
        </w:r>
        <w:r w:rsidR="00B51130">
          <w:rPr>
            <w:noProof/>
            <w:webHidden/>
          </w:rPr>
          <w:tab/>
        </w:r>
        <w:r w:rsidR="00B51130">
          <w:rPr>
            <w:noProof/>
            <w:webHidden/>
          </w:rPr>
          <w:fldChar w:fldCharType="begin"/>
        </w:r>
        <w:r w:rsidR="00B51130">
          <w:rPr>
            <w:noProof/>
            <w:webHidden/>
          </w:rPr>
          <w:instrText xml:space="preserve"> PAGEREF _Toc504484185 \h </w:instrText>
        </w:r>
        <w:r w:rsidR="00B51130">
          <w:rPr>
            <w:noProof/>
            <w:webHidden/>
          </w:rPr>
        </w:r>
        <w:r w:rsidR="00B51130">
          <w:rPr>
            <w:noProof/>
            <w:webHidden/>
          </w:rPr>
          <w:fldChar w:fldCharType="separate"/>
        </w:r>
        <w:r w:rsidR="00B51130">
          <w:rPr>
            <w:noProof/>
            <w:webHidden/>
          </w:rPr>
          <w:t>111</w:t>
        </w:r>
        <w:r w:rsidR="00B51130">
          <w:rPr>
            <w:noProof/>
            <w:webHidden/>
          </w:rPr>
          <w:fldChar w:fldCharType="end"/>
        </w:r>
      </w:hyperlink>
    </w:p>
    <w:p w14:paraId="3D6F06EF" w14:textId="77777777" w:rsidR="00B51130" w:rsidRDefault="00000000">
      <w:pPr>
        <w:pStyle w:val="TOC2"/>
        <w:rPr>
          <w:rFonts w:eastAsiaTheme="minorEastAsia" w:cstheme="minorBidi"/>
          <w:noProof/>
          <w:color w:val="auto"/>
          <w:szCs w:val="22"/>
          <w:lang w:eastAsia="en-GB"/>
        </w:rPr>
      </w:pPr>
      <w:hyperlink w:anchor="_Toc504484186" w:history="1">
        <w:r w:rsidR="00B51130" w:rsidRPr="00B2284F">
          <w:rPr>
            <w:rStyle w:val="Hyperlink"/>
            <w:noProof/>
          </w:rPr>
          <w:t>9.9</w:t>
        </w:r>
        <w:r w:rsidR="00B51130">
          <w:rPr>
            <w:rFonts w:eastAsiaTheme="minorEastAsia" w:cstheme="minorBidi"/>
            <w:noProof/>
            <w:color w:val="auto"/>
            <w:szCs w:val="22"/>
            <w:lang w:eastAsia="en-GB"/>
          </w:rPr>
          <w:tab/>
        </w:r>
        <w:r w:rsidR="00B51130" w:rsidRPr="00B2284F">
          <w:rPr>
            <w:rStyle w:val="Hyperlink"/>
            <w:noProof/>
          </w:rPr>
          <w:t>National Board of Medical Examiners</w:t>
        </w:r>
        <w:r w:rsidR="00B51130">
          <w:rPr>
            <w:noProof/>
            <w:webHidden/>
          </w:rPr>
          <w:tab/>
        </w:r>
        <w:r w:rsidR="00B51130">
          <w:rPr>
            <w:noProof/>
            <w:webHidden/>
          </w:rPr>
          <w:fldChar w:fldCharType="begin"/>
        </w:r>
        <w:r w:rsidR="00B51130">
          <w:rPr>
            <w:noProof/>
            <w:webHidden/>
          </w:rPr>
          <w:instrText xml:space="preserve"> PAGEREF _Toc504484186 \h </w:instrText>
        </w:r>
        <w:r w:rsidR="00B51130">
          <w:rPr>
            <w:noProof/>
            <w:webHidden/>
          </w:rPr>
        </w:r>
        <w:r w:rsidR="00B51130">
          <w:rPr>
            <w:noProof/>
            <w:webHidden/>
          </w:rPr>
          <w:fldChar w:fldCharType="separate"/>
        </w:r>
        <w:r w:rsidR="00B51130">
          <w:rPr>
            <w:noProof/>
            <w:webHidden/>
          </w:rPr>
          <w:t>112</w:t>
        </w:r>
        <w:r w:rsidR="00B51130">
          <w:rPr>
            <w:noProof/>
            <w:webHidden/>
          </w:rPr>
          <w:fldChar w:fldCharType="end"/>
        </w:r>
      </w:hyperlink>
    </w:p>
    <w:p w14:paraId="6769E4BA" w14:textId="77777777" w:rsidR="00B51130" w:rsidRDefault="00000000">
      <w:pPr>
        <w:pStyle w:val="TOC2"/>
        <w:tabs>
          <w:tab w:val="left" w:pos="1320"/>
        </w:tabs>
        <w:rPr>
          <w:rFonts w:eastAsiaTheme="minorEastAsia" w:cstheme="minorBidi"/>
          <w:noProof/>
          <w:color w:val="auto"/>
          <w:szCs w:val="22"/>
          <w:lang w:eastAsia="en-GB"/>
        </w:rPr>
      </w:pPr>
      <w:hyperlink w:anchor="_Toc504484187" w:history="1">
        <w:r w:rsidR="00B51130" w:rsidRPr="00B2284F">
          <w:rPr>
            <w:rStyle w:val="Hyperlink"/>
            <w:noProof/>
          </w:rPr>
          <w:t>9.10</w:t>
        </w:r>
        <w:r w:rsidR="00B51130">
          <w:rPr>
            <w:rFonts w:eastAsiaTheme="minorEastAsia" w:cstheme="minorBidi"/>
            <w:noProof/>
            <w:color w:val="auto"/>
            <w:szCs w:val="22"/>
            <w:lang w:eastAsia="en-GB"/>
          </w:rPr>
          <w:tab/>
        </w:r>
        <w:r w:rsidR="00B51130" w:rsidRPr="00B2284F">
          <w:rPr>
            <w:rStyle w:val="Hyperlink"/>
            <w:noProof/>
          </w:rPr>
          <w:t>Medical Board of California</w:t>
        </w:r>
        <w:r w:rsidR="00B51130">
          <w:rPr>
            <w:noProof/>
            <w:webHidden/>
          </w:rPr>
          <w:tab/>
        </w:r>
        <w:r w:rsidR="00B51130">
          <w:rPr>
            <w:noProof/>
            <w:webHidden/>
          </w:rPr>
          <w:fldChar w:fldCharType="begin"/>
        </w:r>
        <w:r w:rsidR="00B51130">
          <w:rPr>
            <w:noProof/>
            <w:webHidden/>
          </w:rPr>
          <w:instrText xml:space="preserve"> PAGEREF _Toc504484187 \h </w:instrText>
        </w:r>
        <w:r w:rsidR="00B51130">
          <w:rPr>
            <w:noProof/>
            <w:webHidden/>
          </w:rPr>
        </w:r>
        <w:r w:rsidR="00B51130">
          <w:rPr>
            <w:noProof/>
            <w:webHidden/>
          </w:rPr>
          <w:fldChar w:fldCharType="separate"/>
        </w:r>
        <w:r w:rsidR="00B51130">
          <w:rPr>
            <w:noProof/>
            <w:webHidden/>
          </w:rPr>
          <w:t>113</w:t>
        </w:r>
        <w:r w:rsidR="00B51130">
          <w:rPr>
            <w:noProof/>
            <w:webHidden/>
          </w:rPr>
          <w:fldChar w:fldCharType="end"/>
        </w:r>
      </w:hyperlink>
    </w:p>
    <w:p w14:paraId="64788E9B" w14:textId="77777777" w:rsidR="00B51130" w:rsidRDefault="00000000">
      <w:pPr>
        <w:pStyle w:val="TOC2"/>
        <w:tabs>
          <w:tab w:val="left" w:pos="1320"/>
        </w:tabs>
        <w:rPr>
          <w:rFonts w:eastAsiaTheme="minorEastAsia" w:cstheme="minorBidi"/>
          <w:noProof/>
          <w:color w:val="auto"/>
          <w:szCs w:val="22"/>
          <w:lang w:eastAsia="en-GB"/>
        </w:rPr>
      </w:pPr>
      <w:hyperlink w:anchor="_Toc504484188" w:history="1">
        <w:r w:rsidR="00B51130" w:rsidRPr="00B2284F">
          <w:rPr>
            <w:rStyle w:val="Hyperlink"/>
            <w:noProof/>
          </w:rPr>
          <w:t>9.11</w:t>
        </w:r>
        <w:r w:rsidR="00B51130">
          <w:rPr>
            <w:rFonts w:eastAsiaTheme="minorEastAsia" w:cstheme="minorBidi"/>
            <w:noProof/>
            <w:color w:val="auto"/>
            <w:szCs w:val="22"/>
            <w:lang w:eastAsia="en-GB"/>
          </w:rPr>
          <w:tab/>
        </w:r>
        <w:r w:rsidR="00B51130" w:rsidRPr="00B2284F">
          <w:rPr>
            <w:rStyle w:val="Hyperlink"/>
            <w:noProof/>
          </w:rPr>
          <w:t>Oklahoma State Board of Medical Licensure and Supervision</w:t>
        </w:r>
        <w:r w:rsidR="00B51130">
          <w:rPr>
            <w:noProof/>
            <w:webHidden/>
          </w:rPr>
          <w:tab/>
        </w:r>
        <w:r w:rsidR="00B51130">
          <w:rPr>
            <w:noProof/>
            <w:webHidden/>
          </w:rPr>
          <w:fldChar w:fldCharType="begin"/>
        </w:r>
        <w:r w:rsidR="00B51130">
          <w:rPr>
            <w:noProof/>
            <w:webHidden/>
          </w:rPr>
          <w:instrText xml:space="preserve"> PAGEREF _Toc504484188 \h </w:instrText>
        </w:r>
        <w:r w:rsidR="00B51130">
          <w:rPr>
            <w:noProof/>
            <w:webHidden/>
          </w:rPr>
        </w:r>
        <w:r w:rsidR="00B51130">
          <w:rPr>
            <w:noProof/>
            <w:webHidden/>
          </w:rPr>
          <w:fldChar w:fldCharType="separate"/>
        </w:r>
        <w:r w:rsidR="00B51130">
          <w:rPr>
            <w:noProof/>
            <w:webHidden/>
          </w:rPr>
          <w:t>115</w:t>
        </w:r>
        <w:r w:rsidR="00B51130">
          <w:rPr>
            <w:noProof/>
            <w:webHidden/>
          </w:rPr>
          <w:fldChar w:fldCharType="end"/>
        </w:r>
      </w:hyperlink>
    </w:p>
    <w:p w14:paraId="0003C4C0" w14:textId="77777777" w:rsidR="00B51130" w:rsidRDefault="00000000">
      <w:pPr>
        <w:pStyle w:val="TOC1"/>
        <w:tabs>
          <w:tab w:val="right" w:leader="dot" w:pos="9628"/>
        </w:tabs>
        <w:rPr>
          <w:rFonts w:eastAsiaTheme="minorEastAsia" w:cstheme="minorBidi"/>
          <w:noProof/>
          <w:color w:val="auto"/>
          <w:szCs w:val="22"/>
          <w:lang w:eastAsia="en-GB"/>
        </w:rPr>
      </w:pPr>
      <w:hyperlink w:anchor="_Toc504484189" w:history="1">
        <w:r w:rsidR="00B51130" w:rsidRPr="00B2284F">
          <w:rPr>
            <w:rStyle w:val="Hyperlink"/>
            <w:b/>
            <w:noProof/>
          </w:rPr>
          <w:t>Appendix 3 — non-core countries</w:t>
        </w:r>
        <w:r w:rsidR="00B51130">
          <w:rPr>
            <w:noProof/>
            <w:webHidden/>
          </w:rPr>
          <w:tab/>
        </w:r>
        <w:r w:rsidR="00B51130">
          <w:rPr>
            <w:noProof/>
            <w:webHidden/>
          </w:rPr>
          <w:fldChar w:fldCharType="begin"/>
        </w:r>
        <w:r w:rsidR="00B51130">
          <w:rPr>
            <w:noProof/>
            <w:webHidden/>
          </w:rPr>
          <w:instrText xml:space="preserve"> PAGEREF _Toc504484189 \h </w:instrText>
        </w:r>
        <w:r w:rsidR="00B51130">
          <w:rPr>
            <w:noProof/>
            <w:webHidden/>
          </w:rPr>
        </w:r>
        <w:r w:rsidR="00B51130">
          <w:rPr>
            <w:noProof/>
            <w:webHidden/>
          </w:rPr>
          <w:fldChar w:fldCharType="separate"/>
        </w:r>
        <w:r w:rsidR="00B51130">
          <w:rPr>
            <w:noProof/>
            <w:webHidden/>
          </w:rPr>
          <w:t>117</w:t>
        </w:r>
        <w:r w:rsidR="00B51130">
          <w:rPr>
            <w:noProof/>
            <w:webHidden/>
          </w:rPr>
          <w:fldChar w:fldCharType="end"/>
        </w:r>
      </w:hyperlink>
    </w:p>
    <w:p w14:paraId="2B9FB791" w14:textId="77777777" w:rsidR="00B51130" w:rsidRDefault="00000000">
      <w:pPr>
        <w:pStyle w:val="TOC1"/>
        <w:tabs>
          <w:tab w:val="left" w:pos="480"/>
          <w:tab w:val="right" w:leader="dot" w:pos="9628"/>
        </w:tabs>
        <w:rPr>
          <w:rFonts w:eastAsiaTheme="minorEastAsia" w:cstheme="minorBidi"/>
          <w:noProof/>
          <w:color w:val="auto"/>
          <w:szCs w:val="22"/>
          <w:lang w:eastAsia="en-GB"/>
        </w:rPr>
      </w:pPr>
      <w:hyperlink w:anchor="_Toc504484190" w:history="1">
        <w:r w:rsidR="00B51130" w:rsidRPr="00B2284F">
          <w:rPr>
            <w:rStyle w:val="Hyperlink"/>
            <w:noProof/>
          </w:rPr>
          <w:t>10</w:t>
        </w:r>
        <w:r w:rsidR="00B51130">
          <w:rPr>
            <w:rFonts w:eastAsiaTheme="minorEastAsia" w:cstheme="minorBidi"/>
            <w:noProof/>
            <w:color w:val="auto"/>
            <w:szCs w:val="22"/>
            <w:lang w:eastAsia="en-GB"/>
          </w:rPr>
          <w:tab/>
        </w:r>
        <w:r w:rsidR="00B51130" w:rsidRPr="00B2284F">
          <w:rPr>
            <w:rStyle w:val="Hyperlink"/>
            <w:noProof/>
          </w:rPr>
          <w:t>Bhutan</w:t>
        </w:r>
        <w:r w:rsidR="00B51130">
          <w:rPr>
            <w:noProof/>
            <w:webHidden/>
          </w:rPr>
          <w:tab/>
        </w:r>
        <w:r w:rsidR="00B51130">
          <w:rPr>
            <w:noProof/>
            <w:webHidden/>
          </w:rPr>
          <w:fldChar w:fldCharType="begin"/>
        </w:r>
        <w:r w:rsidR="00B51130">
          <w:rPr>
            <w:noProof/>
            <w:webHidden/>
          </w:rPr>
          <w:instrText xml:space="preserve"> PAGEREF _Toc504484190 \h </w:instrText>
        </w:r>
        <w:r w:rsidR="00B51130">
          <w:rPr>
            <w:noProof/>
            <w:webHidden/>
          </w:rPr>
        </w:r>
        <w:r w:rsidR="00B51130">
          <w:rPr>
            <w:noProof/>
            <w:webHidden/>
          </w:rPr>
          <w:fldChar w:fldCharType="separate"/>
        </w:r>
        <w:r w:rsidR="00B51130">
          <w:rPr>
            <w:noProof/>
            <w:webHidden/>
          </w:rPr>
          <w:t>118</w:t>
        </w:r>
        <w:r w:rsidR="00B51130">
          <w:rPr>
            <w:noProof/>
            <w:webHidden/>
          </w:rPr>
          <w:fldChar w:fldCharType="end"/>
        </w:r>
      </w:hyperlink>
    </w:p>
    <w:p w14:paraId="295209E6" w14:textId="77777777" w:rsidR="00B51130" w:rsidRDefault="00000000">
      <w:pPr>
        <w:pStyle w:val="TOC2"/>
        <w:tabs>
          <w:tab w:val="left" w:pos="1320"/>
        </w:tabs>
        <w:rPr>
          <w:rFonts w:eastAsiaTheme="minorEastAsia" w:cstheme="minorBidi"/>
          <w:noProof/>
          <w:color w:val="auto"/>
          <w:szCs w:val="22"/>
          <w:lang w:eastAsia="en-GB"/>
        </w:rPr>
      </w:pPr>
      <w:hyperlink w:anchor="_Toc504484191" w:history="1">
        <w:r w:rsidR="00B51130" w:rsidRPr="00B2284F">
          <w:rPr>
            <w:rStyle w:val="Hyperlink"/>
            <w:noProof/>
          </w:rPr>
          <w:t>10.1</w:t>
        </w:r>
        <w:r w:rsidR="00B51130">
          <w:rPr>
            <w:rFonts w:eastAsiaTheme="minorEastAsia" w:cstheme="minorBidi"/>
            <w:noProof/>
            <w:color w:val="auto"/>
            <w:szCs w:val="22"/>
            <w:lang w:eastAsia="en-GB"/>
          </w:rPr>
          <w:tab/>
        </w:r>
        <w:r w:rsidR="00B51130" w:rsidRPr="00B2284F">
          <w:rPr>
            <w:rStyle w:val="Hyperlink"/>
            <w:noProof/>
          </w:rPr>
          <w:t>Bhutan Medical and Health Council</w:t>
        </w:r>
        <w:r w:rsidR="00B51130">
          <w:rPr>
            <w:noProof/>
            <w:webHidden/>
          </w:rPr>
          <w:tab/>
        </w:r>
        <w:r w:rsidR="00B51130">
          <w:rPr>
            <w:noProof/>
            <w:webHidden/>
          </w:rPr>
          <w:fldChar w:fldCharType="begin"/>
        </w:r>
        <w:r w:rsidR="00B51130">
          <w:rPr>
            <w:noProof/>
            <w:webHidden/>
          </w:rPr>
          <w:instrText xml:space="preserve"> PAGEREF _Toc504484191 \h </w:instrText>
        </w:r>
        <w:r w:rsidR="00B51130">
          <w:rPr>
            <w:noProof/>
            <w:webHidden/>
          </w:rPr>
        </w:r>
        <w:r w:rsidR="00B51130">
          <w:rPr>
            <w:noProof/>
            <w:webHidden/>
          </w:rPr>
          <w:fldChar w:fldCharType="separate"/>
        </w:r>
        <w:r w:rsidR="00B51130">
          <w:rPr>
            <w:noProof/>
            <w:webHidden/>
          </w:rPr>
          <w:t>118</w:t>
        </w:r>
        <w:r w:rsidR="00B51130">
          <w:rPr>
            <w:noProof/>
            <w:webHidden/>
          </w:rPr>
          <w:fldChar w:fldCharType="end"/>
        </w:r>
      </w:hyperlink>
    </w:p>
    <w:p w14:paraId="4B528426" w14:textId="77777777" w:rsidR="00B51130" w:rsidRDefault="00000000">
      <w:pPr>
        <w:pStyle w:val="TOC1"/>
        <w:tabs>
          <w:tab w:val="left" w:pos="480"/>
          <w:tab w:val="right" w:leader="dot" w:pos="9628"/>
        </w:tabs>
        <w:rPr>
          <w:rFonts w:eastAsiaTheme="minorEastAsia" w:cstheme="minorBidi"/>
          <w:noProof/>
          <w:color w:val="auto"/>
          <w:szCs w:val="22"/>
          <w:lang w:eastAsia="en-GB"/>
        </w:rPr>
      </w:pPr>
      <w:hyperlink w:anchor="_Toc504484192" w:history="1">
        <w:r w:rsidR="00B51130" w:rsidRPr="00B2284F">
          <w:rPr>
            <w:rStyle w:val="Hyperlink"/>
            <w:noProof/>
          </w:rPr>
          <w:t>11</w:t>
        </w:r>
        <w:r w:rsidR="00B51130">
          <w:rPr>
            <w:rFonts w:eastAsiaTheme="minorEastAsia" w:cstheme="minorBidi"/>
            <w:noProof/>
            <w:color w:val="auto"/>
            <w:szCs w:val="22"/>
            <w:lang w:eastAsia="en-GB"/>
          </w:rPr>
          <w:tab/>
        </w:r>
        <w:r w:rsidR="00B51130" w:rsidRPr="00B2284F">
          <w:rPr>
            <w:rStyle w:val="Hyperlink"/>
            <w:noProof/>
          </w:rPr>
          <w:t>Germany</w:t>
        </w:r>
        <w:r w:rsidR="00B51130">
          <w:rPr>
            <w:noProof/>
            <w:webHidden/>
          </w:rPr>
          <w:tab/>
        </w:r>
        <w:r w:rsidR="00B51130">
          <w:rPr>
            <w:noProof/>
            <w:webHidden/>
          </w:rPr>
          <w:fldChar w:fldCharType="begin"/>
        </w:r>
        <w:r w:rsidR="00B51130">
          <w:rPr>
            <w:noProof/>
            <w:webHidden/>
          </w:rPr>
          <w:instrText xml:space="preserve"> PAGEREF _Toc504484192 \h </w:instrText>
        </w:r>
        <w:r w:rsidR="00B51130">
          <w:rPr>
            <w:noProof/>
            <w:webHidden/>
          </w:rPr>
        </w:r>
        <w:r w:rsidR="00B51130">
          <w:rPr>
            <w:noProof/>
            <w:webHidden/>
          </w:rPr>
          <w:fldChar w:fldCharType="separate"/>
        </w:r>
        <w:r w:rsidR="00B51130">
          <w:rPr>
            <w:noProof/>
            <w:webHidden/>
          </w:rPr>
          <w:t>119</w:t>
        </w:r>
        <w:r w:rsidR="00B51130">
          <w:rPr>
            <w:noProof/>
            <w:webHidden/>
          </w:rPr>
          <w:fldChar w:fldCharType="end"/>
        </w:r>
      </w:hyperlink>
    </w:p>
    <w:p w14:paraId="37A481DB" w14:textId="77777777" w:rsidR="00B51130" w:rsidRDefault="00000000">
      <w:pPr>
        <w:pStyle w:val="TOC2"/>
        <w:tabs>
          <w:tab w:val="left" w:pos="1320"/>
        </w:tabs>
        <w:rPr>
          <w:rFonts w:eastAsiaTheme="minorEastAsia" w:cstheme="minorBidi"/>
          <w:noProof/>
          <w:color w:val="auto"/>
          <w:szCs w:val="22"/>
          <w:lang w:eastAsia="en-GB"/>
        </w:rPr>
      </w:pPr>
      <w:hyperlink w:anchor="_Toc504484193" w:history="1">
        <w:r w:rsidR="00B51130" w:rsidRPr="00B2284F">
          <w:rPr>
            <w:rStyle w:val="Hyperlink"/>
            <w:noProof/>
          </w:rPr>
          <w:t>11.1</w:t>
        </w:r>
        <w:r w:rsidR="00B51130">
          <w:rPr>
            <w:rFonts w:eastAsiaTheme="minorEastAsia" w:cstheme="minorBidi"/>
            <w:noProof/>
            <w:color w:val="auto"/>
            <w:szCs w:val="22"/>
            <w:lang w:eastAsia="en-GB"/>
          </w:rPr>
          <w:tab/>
        </w:r>
        <w:r w:rsidR="00B51130" w:rsidRPr="00B2284F">
          <w:rPr>
            <w:rStyle w:val="Hyperlink"/>
            <w:noProof/>
          </w:rPr>
          <w:t>German Medical Association</w:t>
        </w:r>
        <w:r w:rsidR="00B51130">
          <w:rPr>
            <w:noProof/>
            <w:webHidden/>
          </w:rPr>
          <w:tab/>
        </w:r>
        <w:r w:rsidR="00B51130">
          <w:rPr>
            <w:noProof/>
            <w:webHidden/>
          </w:rPr>
          <w:fldChar w:fldCharType="begin"/>
        </w:r>
        <w:r w:rsidR="00B51130">
          <w:rPr>
            <w:noProof/>
            <w:webHidden/>
          </w:rPr>
          <w:instrText xml:space="preserve"> PAGEREF _Toc504484193 \h </w:instrText>
        </w:r>
        <w:r w:rsidR="00B51130">
          <w:rPr>
            <w:noProof/>
            <w:webHidden/>
          </w:rPr>
        </w:r>
        <w:r w:rsidR="00B51130">
          <w:rPr>
            <w:noProof/>
            <w:webHidden/>
          </w:rPr>
          <w:fldChar w:fldCharType="separate"/>
        </w:r>
        <w:r w:rsidR="00B51130">
          <w:rPr>
            <w:noProof/>
            <w:webHidden/>
          </w:rPr>
          <w:t>119</w:t>
        </w:r>
        <w:r w:rsidR="00B51130">
          <w:rPr>
            <w:noProof/>
            <w:webHidden/>
          </w:rPr>
          <w:fldChar w:fldCharType="end"/>
        </w:r>
      </w:hyperlink>
    </w:p>
    <w:p w14:paraId="3D167AD6" w14:textId="77777777" w:rsidR="00B51130" w:rsidRDefault="00000000">
      <w:pPr>
        <w:pStyle w:val="TOC1"/>
        <w:tabs>
          <w:tab w:val="left" w:pos="480"/>
          <w:tab w:val="right" w:leader="dot" w:pos="9628"/>
        </w:tabs>
        <w:rPr>
          <w:rFonts w:eastAsiaTheme="minorEastAsia" w:cstheme="minorBidi"/>
          <w:noProof/>
          <w:color w:val="auto"/>
          <w:szCs w:val="22"/>
          <w:lang w:eastAsia="en-GB"/>
        </w:rPr>
      </w:pPr>
      <w:hyperlink w:anchor="_Toc504484194" w:history="1">
        <w:r w:rsidR="00B51130" w:rsidRPr="00B2284F">
          <w:rPr>
            <w:rStyle w:val="Hyperlink"/>
            <w:noProof/>
          </w:rPr>
          <w:t>12</w:t>
        </w:r>
        <w:r w:rsidR="00B51130">
          <w:rPr>
            <w:rFonts w:eastAsiaTheme="minorEastAsia" w:cstheme="minorBidi"/>
            <w:noProof/>
            <w:color w:val="auto"/>
            <w:szCs w:val="22"/>
            <w:lang w:eastAsia="en-GB"/>
          </w:rPr>
          <w:tab/>
        </w:r>
        <w:r w:rsidR="00B51130" w:rsidRPr="00B2284F">
          <w:rPr>
            <w:rStyle w:val="Hyperlink"/>
            <w:noProof/>
          </w:rPr>
          <w:t>Indonesia</w:t>
        </w:r>
        <w:r w:rsidR="00B51130">
          <w:rPr>
            <w:noProof/>
            <w:webHidden/>
          </w:rPr>
          <w:tab/>
        </w:r>
        <w:r w:rsidR="00B51130">
          <w:rPr>
            <w:noProof/>
            <w:webHidden/>
          </w:rPr>
          <w:fldChar w:fldCharType="begin"/>
        </w:r>
        <w:r w:rsidR="00B51130">
          <w:rPr>
            <w:noProof/>
            <w:webHidden/>
          </w:rPr>
          <w:instrText xml:space="preserve"> PAGEREF _Toc504484194 \h </w:instrText>
        </w:r>
        <w:r w:rsidR="00B51130">
          <w:rPr>
            <w:noProof/>
            <w:webHidden/>
          </w:rPr>
        </w:r>
        <w:r w:rsidR="00B51130">
          <w:rPr>
            <w:noProof/>
            <w:webHidden/>
          </w:rPr>
          <w:fldChar w:fldCharType="separate"/>
        </w:r>
        <w:r w:rsidR="00B51130">
          <w:rPr>
            <w:noProof/>
            <w:webHidden/>
          </w:rPr>
          <w:t>120</w:t>
        </w:r>
        <w:r w:rsidR="00B51130">
          <w:rPr>
            <w:noProof/>
            <w:webHidden/>
          </w:rPr>
          <w:fldChar w:fldCharType="end"/>
        </w:r>
      </w:hyperlink>
    </w:p>
    <w:p w14:paraId="22733A23" w14:textId="77777777" w:rsidR="00B51130" w:rsidRDefault="00000000">
      <w:pPr>
        <w:pStyle w:val="TOC2"/>
        <w:tabs>
          <w:tab w:val="left" w:pos="1320"/>
        </w:tabs>
        <w:rPr>
          <w:rFonts w:eastAsiaTheme="minorEastAsia" w:cstheme="minorBidi"/>
          <w:noProof/>
          <w:color w:val="auto"/>
          <w:szCs w:val="22"/>
          <w:lang w:eastAsia="en-GB"/>
        </w:rPr>
      </w:pPr>
      <w:hyperlink w:anchor="_Toc504484195" w:history="1">
        <w:r w:rsidR="00B51130" w:rsidRPr="00B2284F">
          <w:rPr>
            <w:rStyle w:val="Hyperlink"/>
            <w:noProof/>
          </w:rPr>
          <w:t>12.1</w:t>
        </w:r>
        <w:r w:rsidR="00B51130">
          <w:rPr>
            <w:rFonts w:eastAsiaTheme="minorEastAsia" w:cstheme="minorBidi"/>
            <w:noProof/>
            <w:color w:val="auto"/>
            <w:szCs w:val="22"/>
            <w:lang w:eastAsia="en-GB"/>
          </w:rPr>
          <w:tab/>
        </w:r>
        <w:r w:rsidR="00B51130" w:rsidRPr="00B2284F">
          <w:rPr>
            <w:rStyle w:val="Hyperlink"/>
            <w:noProof/>
          </w:rPr>
          <w:t>Indonesia Medical Council</w:t>
        </w:r>
        <w:r w:rsidR="00B51130">
          <w:rPr>
            <w:noProof/>
            <w:webHidden/>
          </w:rPr>
          <w:tab/>
        </w:r>
        <w:r w:rsidR="00B51130">
          <w:rPr>
            <w:noProof/>
            <w:webHidden/>
          </w:rPr>
          <w:fldChar w:fldCharType="begin"/>
        </w:r>
        <w:r w:rsidR="00B51130">
          <w:rPr>
            <w:noProof/>
            <w:webHidden/>
          </w:rPr>
          <w:instrText xml:space="preserve"> PAGEREF _Toc504484195 \h </w:instrText>
        </w:r>
        <w:r w:rsidR="00B51130">
          <w:rPr>
            <w:noProof/>
            <w:webHidden/>
          </w:rPr>
        </w:r>
        <w:r w:rsidR="00B51130">
          <w:rPr>
            <w:noProof/>
            <w:webHidden/>
          </w:rPr>
          <w:fldChar w:fldCharType="separate"/>
        </w:r>
        <w:r w:rsidR="00B51130">
          <w:rPr>
            <w:noProof/>
            <w:webHidden/>
          </w:rPr>
          <w:t>120</w:t>
        </w:r>
        <w:r w:rsidR="00B51130">
          <w:rPr>
            <w:noProof/>
            <w:webHidden/>
          </w:rPr>
          <w:fldChar w:fldCharType="end"/>
        </w:r>
      </w:hyperlink>
    </w:p>
    <w:p w14:paraId="398A14C0" w14:textId="77777777" w:rsidR="00B51130" w:rsidRDefault="00000000">
      <w:pPr>
        <w:pStyle w:val="TOC1"/>
        <w:tabs>
          <w:tab w:val="left" w:pos="480"/>
          <w:tab w:val="right" w:leader="dot" w:pos="9628"/>
        </w:tabs>
        <w:rPr>
          <w:rFonts w:eastAsiaTheme="minorEastAsia" w:cstheme="minorBidi"/>
          <w:noProof/>
          <w:color w:val="auto"/>
          <w:szCs w:val="22"/>
          <w:lang w:eastAsia="en-GB"/>
        </w:rPr>
      </w:pPr>
      <w:hyperlink w:anchor="_Toc504484196" w:history="1">
        <w:r w:rsidR="00B51130" w:rsidRPr="00B2284F">
          <w:rPr>
            <w:rStyle w:val="Hyperlink"/>
            <w:noProof/>
          </w:rPr>
          <w:t>13</w:t>
        </w:r>
        <w:r w:rsidR="00B51130">
          <w:rPr>
            <w:rFonts w:eastAsiaTheme="minorEastAsia" w:cstheme="minorBidi"/>
            <w:noProof/>
            <w:color w:val="auto"/>
            <w:szCs w:val="22"/>
            <w:lang w:eastAsia="en-GB"/>
          </w:rPr>
          <w:tab/>
        </w:r>
        <w:r w:rsidR="00B51130" w:rsidRPr="00B2284F">
          <w:rPr>
            <w:rStyle w:val="Hyperlink"/>
            <w:noProof/>
          </w:rPr>
          <w:t>Ireland</w:t>
        </w:r>
        <w:r w:rsidR="00B51130">
          <w:rPr>
            <w:noProof/>
            <w:webHidden/>
          </w:rPr>
          <w:tab/>
        </w:r>
        <w:r w:rsidR="00B51130">
          <w:rPr>
            <w:noProof/>
            <w:webHidden/>
          </w:rPr>
          <w:fldChar w:fldCharType="begin"/>
        </w:r>
        <w:r w:rsidR="00B51130">
          <w:rPr>
            <w:noProof/>
            <w:webHidden/>
          </w:rPr>
          <w:instrText xml:space="preserve"> PAGEREF _Toc504484196 \h </w:instrText>
        </w:r>
        <w:r w:rsidR="00B51130">
          <w:rPr>
            <w:noProof/>
            <w:webHidden/>
          </w:rPr>
        </w:r>
        <w:r w:rsidR="00B51130">
          <w:rPr>
            <w:noProof/>
            <w:webHidden/>
          </w:rPr>
          <w:fldChar w:fldCharType="separate"/>
        </w:r>
        <w:r w:rsidR="00B51130">
          <w:rPr>
            <w:noProof/>
            <w:webHidden/>
          </w:rPr>
          <w:t>121</w:t>
        </w:r>
        <w:r w:rsidR="00B51130">
          <w:rPr>
            <w:noProof/>
            <w:webHidden/>
          </w:rPr>
          <w:fldChar w:fldCharType="end"/>
        </w:r>
      </w:hyperlink>
    </w:p>
    <w:p w14:paraId="014AE0E5" w14:textId="77777777" w:rsidR="00B51130" w:rsidRDefault="00000000">
      <w:pPr>
        <w:pStyle w:val="TOC2"/>
        <w:tabs>
          <w:tab w:val="left" w:pos="1320"/>
        </w:tabs>
        <w:rPr>
          <w:rFonts w:eastAsiaTheme="minorEastAsia" w:cstheme="minorBidi"/>
          <w:noProof/>
          <w:color w:val="auto"/>
          <w:szCs w:val="22"/>
          <w:lang w:eastAsia="en-GB"/>
        </w:rPr>
      </w:pPr>
      <w:hyperlink w:anchor="_Toc504484197" w:history="1">
        <w:r w:rsidR="00B51130" w:rsidRPr="00B2284F">
          <w:rPr>
            <w:rStyle w:val="Hyperlink"/>
            <w:noProof/>
          </w:rPr>
          <w:t>13.1</w:t>
        </w:r>
        <w:r w:rsidR="00B51130">
          <w:rPr>
            <w:rFonts w:eastAsiaTheme="minorEastAsia" w:cstheme="minorBidi"/>
            <w:noProof/>
            <w:color w:val="auto"/>
            <w:szCs w:val="22"/>
            <w:lang w:eastAsia="en-GB"/>
          </w:rPr>
          <w:tab/>
        </w:r>
        <w:r w:rsidR="00B51130" w:rsidRPr="00B2284F">
          <w:rPr>
            <w:rStyle w:val="Hyperlink"/>
            <w:noProof/>
          </w:rPr>
          <w:t>Medical Council of Ireland</w:t>
        </w:r>
        <w:r w:rsidR="00B51130">
          <w:rPr>
            <w:noProof/>
            <w:webHidden/>
          </w:rPr>
          <w:tab/>
        </w:r>
        <w:r w:rsidR="00B51130">
          <w:rPr>
            <w:noProof/>
            <w:webHidden/>
          </w:rPr>
          <w:fldChar w:fldCharType="begin"/>
        </w:r>
        <w:r w:rsidR="00B51130">
          <w:rPr>
            <w:noProof/>
            <w:webHidden/>
          </w:rPr>
          <w:instrText xml:space="preserve"> PAGEREF _Toc504484197 \h </w:instrText>
        </w:r>
        <w:r w:rsidR="00B51130">
          <w:rPr>
            <w:noProof/>
            <w:webHidden/>
          </w:rPr>
        </w:r>
        <w:r w:rsidR="00B51130">
          <w:rPr>
            <w:noProof/>
            <w:webHidden/>
          </w:rPr>
          <w:fldChar w:fldCharType="separate"/>
        </w:r>
        <w:r w:rsidR="00B51130">
          <w:rPr>
            <w:noProof/>
            <w:webHidden/>
          </w:rPr>
          <w:t>121</w:t>
        </w:r>
        <w:r w:rsidR="00B51130">
          <w:rPr>
            <w:noProof/>
            <w:webHidden/>
          </w:rPr>
          <w:fldChar w:fldCharType="end"/>
        </w:r>
      </w:hyperlink>
    </w:p>
    <w:p w14:paraId="30A26E2F" w14:textId="77777777" w:rsidR="00B51130" w:rsidRDefault="00000000">
      <w:pPr>
        <w:pStyle w:val="TOC1"/>
        <w:tabs>
          <w:tab w:val="left" w:pos="480"/>
          <w:tab w:val="right" w:leader="dot" w:pos="9628"/>
        </w:tabs>
        <w:rPr>
          <w:rFonts w:eastAsiaTheme="minorEastAsia" w:cstheme="minorBidi"/>
          <w:noProof/>
          <w:color w:val="auto"/>
          <w:szCs w:val="22"/>
          <w:lang w:eastAsia="en-GB"/>
        </w:rPr>
      </w:pPr>
      <w:hyperlink w:anchor="_Toc504484198" w:history="1">
        <w:r w:rsidR="00B51130" w:rsidRPr="00B2284F">
          <w:rPr>
            <w:rStyle w:val="Hyperlink"/>
            <w:noProof/>
          </w:rPr>
          <w:t>14</w:t>
        </w:r>
        <w:r w:rsidR="00B51130">
          <w:rPr>
            <w:rFonts w:eastAsiaTheme="minorEastAsia" w:cstheme="minorBidi"/>
            <w:noProof/>
            <w:color w:val="auto"/>
            <w:szCs w:val="22"/>
            <w:lang w:eastAsia="en-GB"/>
          </w:rPr>
          <w:tab/>
        </w:r>
        <w:r w:rsidR="00B51130" w:rsidRPr="00B2284F">
          <w:rPr>
            <w:rStyle w:val="Hyperlink"/>
            <w:noProof/>
          </w:rPr>
          <w:t>Kenya</w:t>
        </w:r>
        <w:r w:rsidR="00B51130">
          <w:rPr>
            <w:noProof/>
            <w:webHidden/>
          </w:rPr>
          <w:tab/>
        </w:r>
        <w:r w:rsidR="00B51130">
          <w:rPr>
            <w:noProof/>
            <w:webHidden/>
          </w:rPr>
          <w:fldChar w:fldCharType="begin"/>
        </w:r>
        <w:r w:rsidR="00B51130">
          <w:rPr>
            <w:noProof/>
            <w:webHidden/>
          </w:rPr>
          <w:instrText xml:space="preserve"> PAGEREF _Toc504484198 \h </w:instrText>
        </w:r>
        <w:r w:rsidR="00B51130">
          <w:rPr>
            <w:noProof/>
            <w:webHidden/>
          </w:rPr>
        </w:r>
        <w:r w:rsidR="00B51130">
          <w:rPr>
            <w:noProof/>
            <w:webHidden/>
          </w:rPr>
          <w:fldChar w:fldCharType="separate"/>
        </w:r>
        <w:r w:rsidR="00B51130">
          <w:rPr>
            <w:noProof/>
            <w:webHidden/>
          </w:rPr>
          <w:t>123</w:t>
        </w:r>
        <w:r w:rsidR="00B51130">
          <w:rPr>
            <w:noProof/>
            <w:webHidden/>
          </w:rPr>
          <w:fldChar w:fldCharType="end"/>
        </w:r>
      </w:hyperlink>
    </w:p>
    <w:p w14:paraId="6269D55E" w14:textId="77777777" w:rsidR="00B51130" w:rsidRDefault="00000000">
      <w:pPr>
        <w:pStyle w:val="TOC2"/>
        <w:tabs>
          <w:tab w:val="left" w:pos="1320"/>
        </w:tabs>
        <w:rPr>
          <w:rFonts w:eastAsiaTheme="minorEastAsia" w:cstheme="minorBidi"/>
          <w:noProof/>
          <w:color w:val="auto"/>
          <w:szCs w:val="22"/>
          <w:lang w:eastAsia="en-GB"/>
        </w:rPr>
      </w:pPr>
      <w:hyperlink w:anchor="_Toc504484199" w:history="1">
        <w:r w:rsidR="00B51130" w:rsidRPr="00B2284F">
          <w:rPr>
            <w:rStyle w:val="Hyperlink"/>
            <w:noProof/>
          </w:rPr>
          <w:t>14.1</w:t>
        </w:r>
        <w:r w:rsidR="00B51130">
          <w:rPr>
            <w:rFonts w:eastAsiaTheme="minorEastAsia" w:cstheme="minorBidi"/>
            <w:noProof/>
            <w:color w:val="auto"/>
            <w:szCs w:val="22"/>
            <w:lang w:eastAsia="en-GB"/>
          </w:rPr>
          <w:tab/>
        </w:r>
        <w:r w:rsidR="00B51130" w:rsidRPr="00B2284F">
          <w:rPr>
            <w:rStyle w:val="Hyperlink"/>
            <w:noProof/>
          </w:rPr>
          <w:t>Kenya Medical Practitioners and Dentists' Board</w:t>
        </w:r>
        <w:r w:rsidR="00B51130">
          <w:rPr>
            <w:noProof/>
            <w:webHidden/>
          </w:rPr>
          <w:tab/>
        </w:r>
        <w:r w:rsidR="00B51130">
          <w:rPr>
            <w:noProof/>
            <w:webHidden/>
          </w:rPr>
          <w:fldChar w:fldCharType="begin"/>
        </w:r>
        <w:r w:rsidR="00B51130">
          <w:rPr>
            <w:noProof/>
            <w:webHidden/>
          </w:rPr>
          <w:instrText xml:space="preserve"> PAGEREF _Toc504484199 \h </w:instrText>
        </w:r>
        <w:r w:rsidR="00B51130">
          <w:rPr>
            <w:noProof/>
            <w:webHidden/>
          </w:rPr>
        </w:r>
        <w:r w:rsidR="00B51130">
          <w:rPr>
            <w:noProof/>
            <w:webHidden/>
          </w:rPr>
          <w:fldChar w:fldCharType="separate"/>
        </w:r>
        <w:r w:rsidR="00B51130">
          <w:rPr>
            <w:noProof/>
            <w:webHidden/>
          </w:rPr>
          <w:t>123</w:t>
        </w:r>
        <w:r w:rsidR="00B51130">
          <w:rPr>
            <w:noProof/>
            <w:webHidden/>
          </w:rPr>
          <w:fldChar w:fldCharType="end"/>
        </w:r>
      </w:hyperlink>
    </w:p>
    <w:p w14:paraId="112B69C1" w14:textId="77777777" w:rsidR="00B51130" w:rsidRDefault="00000000">
      <w:pPr>
        <w:pStyle w:val="TOC1"/>
        <w:tabs>
          <w:tab w:val="left" w:pos="480"/>
          <w:tab w:val="right" w:leader="dot" w:pos="9628"/>
        </w:tabs>
        <w:rPr>
          <w:rFonts w:eastAsiaTheme="minorEastAsia" w:cstheme="minorBidi"/>
          <w:noProof/>
          <w:color w:val="auto"/>
          <w:szCs w:val="22"/>
          <w:lang w:eastAsia="en-GB"/>
        </w:rPr>
      </w:pPr>
      <w:hyperlink w:anchor="_Toc504484200" w:history="1">
        <w:r w:rsidR="00B51130" w:rsidRPr="00B2284F">
          <w:rPr>
            <w:rStyle w:val="Hyperlink"/>
            <w:noProof/>
          </w:rPr>
          <w:t>15</w:t>
        </w:r>
        <w:r w:rsidR="00B51130">
          <w:rPr>
            <w:rFonts w:eastAsiaTheme="minorEastAsia" w:cstheme="minorBidi"/>
            <w:noProof/>
            <w:color w:val="auto"/>
            <w:szCs w:val="22"/>
            <w:lang w:eastAsia="en-GB"/>
          </w:rPr>
          <w:tab/>
        </w:r>
        <w:r w:rsidR="00B51130" w:rsidRPr="00B2284F">
          <w:rPr>
            <w:rStyle w:val="Hyperlink"/>
            <w:noProof/>
          </w:rPr>
          <w:t>Poland</w:t>
        </w:r>
        <w:r w:rsidR="00B51130">
          <w:rPr>
            <w:noProof/>
            <w:webHidden/>
          </w:rPr>
          <w:tab/>
        </w:r>
        <w:r w:rsidR="00B51130">
          <w:rPr>
            <w:noProof/>
            <w:webHidden/>
          </w:rPr>
          <w:fldChar w:fldCharType="begin"/>
        </w:r>
        <w:r w:rsidR="00B51130">
          <w:rPr>
            <w:noProof/>
            <w:webHidden/>
          </w:rPr>
          <w:instrText xml:space="preserve"> PAGEREF _Toc504484200 \h </w:instrText>
        </w:r>
        <w:r w:rsidR="00B51130">
          <w:rPr>
            <w:noProof/>
            <w:webHidden/>
          </w:rPr>
        </w:r>
        <w:r w:rsidR="00B51130">
          <w:rPr>
            <w:noProof/>
            <w:webHidden/>
          </w:rPr>
          <w:fldChar w:fldCharType="separate"/>
        </w:r>
        <w:r w:rsidR="00B51130">
          <w:rPr>
            <w:noProof/>
            <w:webHidden/>
          </w:rPr>
          <w:t>124</w:t>
        </w:r>
        <w:r w:rsidR="00B51130">
          <w:rPr>
            <w:noProof/>
            <w:webHidden/>
          </w:rPr>
          <w:fldChar w:fldCharType="end"/>
        </w:r>
      </w:hyperlink>
    </w:p>
    <w:p w14:paraId="4984D0CD" w14:textId="77777777" w:rsidR="00B51130" w:rsidRDefault="00000000">
      <w:pPr>
        <w:pStyle w:val="TOC2"/>
        <w:tabs>
          <w:tab w:val="left" w:pos="1320"/>
        </w:tabs>
        <w:rPr>
          <w:rFonts w:eastAsiaTheme="minorEastAsia" w:cstheme="minorBidi"/>
          <w:noProof/>
          <w:color w:val="auto"/>
          <w:szCs w:val="22"/>
          <w:lang w:eastAsia="en-GB"/>
        </w:rPr>
      </w:pPr>
      <w:hyperlink w:anchor="_Toc504484201" w:history="1">
        <w:r w:rsidR="00B51130" w:rsidRPr="00B2284F">
          <w:rPr>
            <w:rStyle w:val="Hyperlink"/>
            <w:noProof/>
          </w:rPr>
          <w:t>15.1</w:t>
        </w:r>
        <w:r w:rsidR="00B51130">
          <w:rPr>
            <w:rFonts w:eastAsiaTheme="minorEastAsia" w:cstheme="minorBidi"/>
            <w:noProof/>
            <w:color w:val="auto"/>
            <w:szCs w:val="22"/>
            <w:lang w:eastAsia="en-GB"/>
          </w:rPr>
          <w:tab/>
        </w:r>
        <w:r w:rsidR="00B51130" w:rsidRPr="00B2284F">
          <w:rPr>
            <w:rStyle w:val="Hyperlink"/>
            <w:noProof/>
          </w:rPr>
          <w:t>Polish Supreme Chamber of Physicians and Dentists (Naczelna Izba Lekarska)</w:t>
        </w:r>
        <w:r w:rsidR="00B51130" w:rsidRPr="00B2284F">
          <w:rPr>
            <w:rStyle w:val="Hyperlink"/>
            <w:noProof/>
            <w:vertAlign w:val="superscript"/>
          </w:rPr>
          <w:t xml:space="preserve"> </w:t>
        </w:r>
        <w:r w:rsidR="00B51130">
          <w:rPr>
            <w:noProof/>
            <w:webHidden/>
          </w:rPr>
          <w:tab/>
        </w:r>
        <w:r w:rsidR="00B51130">
          <w:rPr>
            <w:noProof/>
            <w:webHidden/>
          </w:rPr>
          <w:fldChar w:fldCharType="begin"/>
        </w:r>
        <w:r w:rsidR="00B51130">
          <w:rPr>
            <w:noProof/>
            <w:webHidden/>
          </w:rPr>
          <w:instrText xml:space="preserve"> PAGEREF _Toc504484201 \h </w:instrText>
        </w:r>
        <w:r w:rsidR="00B51130">
          <w:rPr>
            <w:noProof/>
            <w:webHidden/>
          </w:rPr>
        </w:r>
        <w:r w:rsidR="00B51130">
          <w:rPr>
            <w:noProof/>
            <w:webHidden/>
          </w:rPr>
          <w:fldChar w:fldCharType="separate"/>
        </w:r>
        <w:r w:rsidR="00B51130">
          <w:rPr>
            <w:noProof/>
            <w:webHidden/>
          </w:rPr>
          <w:t>124</w:t>
        </w:r>
        <w:r w:rsidR="00B51130">
          <w:rPr>
            <w:noProof/>
            <w:webHidden/>
          </w:rPr>
          <w:fldChar w:fldCharType="end"/>
        </w:r>
      </w:hyperlink>
    </w:p>
    <w:p w14:paraId="074B3173" w14:textId="77777777" w:rsidR="00B51130" w:rsidRDefault="00000000">
      <w:pPr>
        <w:pStyle w:val="TOC1"/>
        <w:tabs>
          <w:tab w:val="left" w:pos="480"/>
          <w:tab w:val="right" w:leader="dot" w:pos="9628"/>
        </w:tabs>
        <w:rPr>
          <w:rFonts w:eastAsiaTheme="minorEastAsia" w:cstheme="minorBidi"/>
          <w:noProof/>
          <w:color w:val="auto"/>
          <w:szCs w:val="22"/>
          <w:lang w:eastAsia="en-GB"/>
        </w:rPr>
      </w:pPr>
      <w:hyperlink w:anchor="_Toc504484202" w:history="1">
        <w:r w:rsidR="00B51130" w:rsidRPr="00B2284F">
          <w:rPr>
            <w:rStyle w:val="Hyperlink"/>
            <w:noProof/>
          </w:rPr>
          <w:t>16</w:t>
        </w:r>
        <w:r w:rsidR="00B51130">
          <w:rPr>
            <w:rFonts w:eastAsiaTheme="minorEastAsia" w:cstheme="minorBidi"/>
            <w:noProof/>
            <w:color w:val="auto"/>
            <w:szCs w:val="22"/>
            <w:lang w:eastAsia="en-GB"/>
          </w:rPr>
          <w:tab/>
        </w:r>
        <w:r w:rsidR="00B51130" w:rsidRPr="00B2284F">
          <w:rPr>
            <w:rStyle w:val="Hyperlink"/>
            <w:noProof/>
          </w:rPr>
          <w:t>South Africa</w:t>
        </w:r>
        <w:r w:rsidR="00B51130">
          <w:rPr>
            <w:noProof/>
            <w:webHidden/>
          </w:rPr>
          <w:tab/>
        </w:r>
        <w:r w:rsidR="00B51130">
          <w:rPr>
            <w:noProof/>
            <w:webHidden/>
          </w:rPr>
          <w:fldChar w:fldCharType="begin"/>
        </w:r>
        <w:r w:rsidR="00B51130">
          <w:rPr>
            <w:noProof/>
            <w:webHidden/>
          </w:rPr>
          <w:instrText xml:space="preserve"> PAGEREF _Toc504484202 \h </w:instrText>
        </w:r>
        <w:r w:rsidR="00B51130">
          <w:rPr>
            <w:noProof/>
            <w:webHidden/>
          </w:rPr>
        </w:r>
        <w:r w:rsidR="00B51130">
          <w:rPr>
            <w:noProof/>
            <w:webHidden/>
          </w:rPr>
          <w:fldChar w:fldCharType="separate"/>
        </w:r>
        <w:r w:rsidR="00B51130">
          <w:rPr>
            <w:noProof/>
            <w:webHidden/>
          </w:rPr>
          <w:t>125</w:t>
        </w:r>
        <w:r w:rsidR="00B51130">
          <w:rPr>
            <w:noProof/>
            <w:webHidden/>
          </w:rPr>
          <w:fldChar w:fldCharType="end"/>
        </w:r>
      </w:hyperlink>
    </w:p>
    <w:p w14:paraId="6AB4CE9C" w14:textId="77777777" w:rsidR="00B51130" w:rsidRDefault="00000000">
      <w:pPr>
        <w:pStyle w:val="TOC2"/>
        <w:tabs>
          <w:tab w:val="left" w:pos="1320"/>
        </w:tabs>
        <w:rPr>
          <w:rFonts w:eastAsiaTheme="minorEastAsia" w:cstheme="minorBidi"/>
          <w:noProof/>
          <w:color w:val="auto"/>
          <w:szCs w:val="22"/>
          <w:lang w:eastAsia="en-GB"/>
        </w:rPr>
      </w:pPr>
      <w:hyperlink w:anchor="_Toc504484203" w:history="1">
        <w:r w:rsidR="00B51130" w:rsidRPr="00B2284F">
          <w:rPr>
            <w:rStyle w:val="Hyperlink"/>
            <w:noProof/>
          </w:rPr>
          <w:t>16.1</w:t>
        </w:r>
        <w:r w:rsidR="00B51130">
          <w:rPr>
            <w:rFonts w:eastAsiaTheme="minorEastAsia" w:cstheme="minorBidi"/>
            <w:noProof/>
            <w:color w:val="auto"/>
            <w:szCs w:val="22"/>
            <w:lang w:eastAsia="en-GB"/>
          </w:rPr>
          <w:tab/>
        </w:r>
        <w:r w:rsidR="00B51130" w:rsidRPr="00B2284F">
          <w:rPr>
            <w:rStyle w:val="Hyperlink"/>
            <w:noProof/>
          </w:rPr>
          <w:t>Health Professions Council of South Africa</w:t>
        </w:r>
        <w:r w:rsidR="00B51130">
          <w:rPr>
            <w:noProof/>
            <w:webHidden/>
          </w:rPr>
          <w:tab/>
        </w:r>
        <w:r w:rsidR="00B51130">
          <w:rPr>
            <w:noProof/>
            <w:webHidden/>
          </w:rPr>
          <w:fldChar w:fldCharType="begin"/>
        </w:r>
        <w:r w:rsidR="00B51130">
          <w:rPr>
            <w:noProof/>
            <w:webHidden/>
          </w:rPr>
          <w:instrText xml:space="preserve"> PAGEREF _Toc504484203 \h </w:instrText>
        </w:r>
        <w:r w:rsidR="00B51130">
          <w:rPr>
            <w:noProof/>
            <w:webHidden/>
          </w:rPr>
        </w:r>
        <w:r w:rsidR="00B51130">
          <w:rPr>
            <w:noProof/>
            <w:webHidden/>
          </w:rPr>
          <w:fldChar w:fldCharType="separate"/>
        </w:r>
        <w:r w:rsidR="00B51130">
          <w:rPr>
            <w:noProof/>
            <w:webHidden/>
          </w:rPr>
          <w:t>125</w:t>
        </w:r>
        <w:r w:rsidR="00B51130">
          <w:rPr>
            <w:noProof/>
            <w:webHidden/>
          </w:rPr>
          <w:fldChar w:fldCharType="end"/>
        </w:r>
      </w:hyperlink>
    </w:p>
    <w:p w14:paraId="35671B9A" w14:textId="77777777" w:rsidR="00B51130" w:rsidRDefault="00000000">
      <w:pPr>
        <w:pStyle w:val="TOC1"/>
        <w:tabs>
          <w:tab w:val="left" w:pos="480"/>
          <w:tab w:val="right" w:leader="dot" w:pos="9628"/>
        </w:tabs>
        <w:rPr>
          <w:rFonts w:eastAsiaTheme="minorEastAsia" w:cstheme="minorBidi"/>
          <w:noProof/>
          <w:color w:val="auto"/>
          <w:szCs w:val="22"/>
          <w:lang w:eastAsia="en-GB"/>
        </w:rPr>
      </w:pPr>
      <w:hyperlink w:anchor="_Toc504484204" w:history="1">
        <w:r w:rsidR="00B51130" w:rsidRPr="00B2284F">
          <w:rPr>
            <w:rStyle w:val="Hyperlink"/>
            <w:noProof/>
          </w:rPr>
          <w:t>17</w:t>
        </w:r>
        <w:r w:rsidR="00B51130">
          <w:rPr>
            <w:rFonts w:eastAsiaTheme="minorEastAsia" w:cstheme="minorBidi"/>
            <w:noProof/>
            <w:color w:val="auto"/>
            <w:szCs w:val="22"/>
            <w:lang w:eastAsia="en-GB"/>
          </w:rPr>
          <w:tab/>
        </w:r>
        <w:r w:rsidR="00B51130" w:rsidRPr="00B2284F">
          <w:rPr>
            <w:rStyle w:val="Hyperlink"/>
            <w:noProof/>
          </w:rPr>
          <w:t>South Sudan</w:t>
        </w:r>
        <w:r w:rsidR="00B51130">
          <w:rPr>
            <w:noProof/>
            <w:webHidden/>
          </w:rPr>
          <w:tab/>
        </w:r>
        <w:r w:rsidR="00B51130">
          <w:rPr>
            <w:noProof/>
            <w:webHidden/>
          </w:rPr>
          <w:fldChar w:fldCharType="begin"/>
        </w:r>
        <w:r w:rsidR="00B51130">
          <w:rPr>
            <w:noProof/>
            <w:webHidden/>
          </w:rPr>
          <w:instrText xml:space="preserve"> PAGEREF _Toc504484204 \h </w:instrText>
        </w:r>
        <w:r w:rsidR="00B51130">
          <w:rPr>
            <w:noProof/>
            <w:webHidden/>
          </w:rPr>
        </w:r>
        <w:r w:rsidR="00B51130">
          <w:rPr>
            <w:noProof/>
            <w:webHidden/>
          </w:rPr>
          <w:fldChar w:fldCharType="separate"/>
        </w:r>
        <w:r w:rsidR="00B51130">
          <w:rPr>
            <w:noProof/>
            <w:webHidden/>
          </w:rPr>
          <w:t>127</w:t>
        </w:r>
        <w:r w:rsidR="00B51130">
          <w:rPr>
            <w:noProof/>
            <w:webHidden/>
          </w:rPr>
          <w:fldChar w:fldCharType="end"/>
        </w:r>
      </w:hyperlink>
    </w:p>
    <w:p w14:paraId="4F9AB01F" w14:textId="77777777" w:rsidR="00B51130" w:rsidRDefault="00000000">
      <w:pPr>
        <w:pStyle w:val="TOC2"/>
        <w:tabs>
          <w:tab w:val="left" w:pos="1320"/>
        </w:tabs>
        <w:rPr>
          <w:rFonts w:eastAsiaTheme="minorEastAsia" w:cstheme="minorBidi"/>
          <w:noProof/>
          <w:color w:val="auto"/>
          <w:szCs w:val="22"/>
          <w:lang w:eastAsia="en-GB"/>
        </w:rPr>
      </w:pPr>
      <w:hyperlink w:anchor="_Toc504484205" w:history="1">
        <w:r w:rsidR="00B51130" w:rsidRPr="00B2284F">
          <w:rPr>
            <w:rStyle w:val="Hyperlink"/>
            <w:noProof/>
          </w:rPr>
          <w:t>17.1</w:t>
        </w:r>
        <w:r w:rsidR="00B51130">
          <w:rPr>
            <w:rFonts w:eastAsiaTheme="minorEastAsia" w:cstheme="minorBidi"/>
            <w:noProof/>
            <w:color w:val="auto"/>
            <w:szCs w:val="22"/>
            <w:lang w:eastAsia="en-GB"/>
          </w:rPr>
          <w:tab/>
        </w:r>
        <w:r w:rsidR="00B51130" w:rsidRPr="00B2284F">
          <w:rPr>
            <w:rStyle w:val="Hyperlink"/>
            <w:noProof/>
          </w:rPr>
          <w:t>South Sudan General Medical Council</w:t>
        </w:r>
        <w:r w:rsidR="00B51130">
          <w:rPr>
            <w:noProof/>
            <w:webHidden/>
          </w:rPr>
          <w:tab/>
        </w:r>
        <w:r w:rsidR="00B51130">
          <w:rPr>
            <w:noProof/>
            <w:webHidden/>
          </w:rPr>
          <w:fldChar w:fldCharType="begin"/>
        </w:r>
        <w:r w:rsidR="00B51130">
          <w:rPr>
            <w:noProof/>
            <w:webHidden/>
          </w:rPr>
          <w:instrText xml:space="preserve"> PAGEREF _Toc504484205 \h </w:instrText>
        </w:r>
        <w:r w:rsidR="00B51130">
          <w:rPr>
            <w:noProof/>
            <w:webHidden/>
          </w:rPr>
        </w:r>
        <w:r w:rsidR="00B51130">
          <w:rPr>
            <w:noProof/>
            <w:webHidden/>
          </w:rPr>
          <w:fldChar w:fldCharType="separate"/>
        </w:r>
        <w:r w:rsidR="00B51130">
          <w:rPr>
            <w:noProof/>
            <w:webHidden/>
          </w:rPr>
          <w:t>127</w:t>
        </w:r>
        <w:r w:rsidR="00B51130">
          <w:rPr>
            <w:noProof/>
            <w:webHidden/>
          </w:rPr>
          <w:fldChar w:fldCharType="end"/>
        </w:r>
      </w:hyperlink>
    </w:p>
    <w:p w14:paraId="7C63728B" w14:textId="77777777" w:rsidR="00B51130" w:rsidRDefault="00000000">
      <w:pPr>
        <w:pStyle w:val="TOC1"/>
        <w:tabs>
          <w:tab w:val="left" w:pos="480"/>
          <w:tab w:val="right" w:leader="dot" w:pos="9628"/>
        </w:tabs>
        <w:rPr>
          <w:rFonts w:eastAsiaTheme="minorEastAsia" w:cstheme="minorBidi"/>
          <w:noProof/>
          <w:color w:val="auto"/>
          <w:szCs w:val="22"/>
          <w:lang w:eastAsia="en-GB"/>
        </w:rPr>
      </w:pPr>
      <w:hyperlink w:anchor="_Toc504484206" w:history="1">
        <w:r w:rsidR="00B51130" w:rsidRPr="00B2284F">
          <w:rPr>
            <w:rStyle w:val="Hyperlink"/>
            <w:noProof/>
          </w:rPr>
          <w:t>18</w:t>
        </w:r>
        <w:r w:rsidR="00B51130">
          <w:rPr>
            <w:rFonts w:eastAsiaTheme="minorEastAsia" w:cstheme="minorBidi"/>
            <w:noProof/>
            <w:color w:val="auto"/>
            <w:szCs w:val="22"/>
            <w:lang w:eastAsia="en-GB"/>
          </w:rPr>
          <w:tab/>
        </w:r>
        <w:r w:rsidR="00B51130" w:rsidRPr="00B2284F">
          <w:rPr>
            <w:rStyle w:val="Hyperlink"/>
            <w:noProof/>
          </w:rPr>
          <w:t>Sweden</w:t>
        </w:r>
        <w:r w:rsidR="00B51130">
          <w:rPr>
            <w:noProof/>
            <w:webHidden/>
          </w:rPr>
          <w:tab/>
        </w:r>
        <w:r w:rsidR="00B51130">
          <w:rPr>
            <w:noProof/>
            <w:webHidden/>
          </w:rPr>
          <w:fldChar w:fldCharType="begin"/>
        </w:r>
        <w:r w:rsidR="00B51130">
          <w:rPr>
            <w:noProof/>
            <w:webHidden/>
          </w:rPr>
          <w:instrText xml:space="preserve"> PAGEREF _Toc504484206 \h </w:instrText>
        </w:r>
        <w:r w:rsidR="00B51130">
          <w:rPr>
            <w:noProof/>
            <w:webHidden/>
          </w:rPr>
        </w:r>
        <w:r w:rsidR="00B51130">
          <w:rPr>
            <w:noProof/>
            <w:webHidden/>
          </w:rPr>
          <w:fldChar w:fldCharType="separate"/>
        </w:r>
        <w:r w:rsidR="00B51130">
          <w:rPr>
            <w:noProof/>
            <w:webHidden/>
          </w:rPr>
          <w:t>128</w:t>
        </w:r>
        <w:r w:rsidR="00B51130">
          <w:rPr>
            <w:noProof/>
            <w:webHidden/>
          </w:rPr>
          <w:fldChar w:fldCharType="end"/>
        </w:r>
      </w:hyperlink>
    </w:p>
    <w:p w14:paraId="0E2E442C" w14:textId="77777777" w:rsidR="00B51130" w:rsidRDefault="00000000">
      <w:pPr>
        <w:pStyle w:val="TOC2"/>
        <w:tabs>
          <w:tab w:val="left" w:pos="1320"/>
        </w:tabs>
        <w:rPr>
          <w:rFonts w:eastAsiaTheme="minorEastAsia" w:cstheme="minorBidi"/>
          <w:noProof/>
          <w:color w:val="auto"/>
          <w:szCs w:val="22"/>
          <w:lang w:eastAsia="en-GB"/>
        </w:rPr>
      </w:pPr>
      <w:hyperlink w:anchor="_Toc504484207" w:history="1">
        <w:r w:rsidR="00B51130" w:rsidRPr="00B2284F">
          <w:rPr>
            <w:rStyle w:val="Hyperlink"/>
            <w:noProof/>
          </w:rPr>
          <w:t>18.1</w:t>
        </w:r>
        <w:r w:rsidR="00B51130">
          <w:rPr>
            <w:rFonts w:eastAsiaTheme="minorEastAsia" w:cstheme="minorBidi"/>
            <w:noProof/>
            <w:color w:val="auto"/>
            <w:szCs w:val="22"/>
            <w:lang w:eastAsia="en-GB"/>
          </w:rPr>
          <w:tab/>
        </w:r>
        <w:r w:rsidR="00B51130" w:rsidRPr="00B2284F">
          <w:rPr>
            <w:rStyle w:val="Hyperlink"/>
            <w:noProof/>
          </w:rPr>
          <w:t>The National Board of Health and Welfare</w:t>
        </w:r>
        <w:r w:rsidR="00B51130">
          <w:rPr>
            <w:noProof/>
            <w:webHidden/>
          </w:rPr>
          <w:tab/>
        </w:r>
        <w:r w:rsidR="00B51130">
          <w:rPr>
            <w:noProof/>
            <w:webHidden/>
          </w:rPr>
          <w:fldChar w:fldCharType="begin"/>
        </w:r>
        <w:r w:rsidR="00B51130">
          <w:rPr>
            <w:noProof/>
            <w:webHidden/>
          </w:rPr>
          <w:instrText xml:space="preserve"> PAGEREF _Toc504484207 \h </w:instrText>
        </w:r>
        <w:r w:rsidR="00B51130">
          <w:rPr>
            <w:noProof/>
            <w:webHidden/>
          </w:rPr>
        </w:r>
        <w:r w:rsidR="00B51130">
          <w:rPr>
            <w:noProof/>
            <w:webHidden/>
          </w:rPr>
          <w:fldChar w:fldCharType="separate"/>
        </w:r>
        <w:r w:rsidR="00B51130">
          <w:rPr>
            <w:noProof/>
            <w:webHidden/>
          </w:rPr>
          <w:t>128</w:t>
        </w:r>
        <w:r w:rsidR="00B51130">
          <w:rPr>
            <w:noProof/>
            <w:webHidden/>
          </w:rPr>
          <w:fldChar w:fldCharType="end"/>
        </w:r>
      </w:hyperlink>
    </w:p>
    <w:p w14:paraId="1FFA0143" w14:textId="77777777" w:rsidR="00B51130" w:rsidRDefault="00000000">
      <w:pPr>
        <w:pStyle w:val="TOC1"/>
        <w:tabs>
          <w:tab w:val="left" w:pos="480"/>
          <w:tab w:val="right" w:leader="dot" w:pos="9628"/>
        </w:tabs>
        <w:rPr>
          <w:rFonts w:eastAsiaTheme="minorEastAsia" w:cstheme="minorBidi"/>
          <w:noProof/>
          <w:color w:val="auto"/>
          <w:szCs w:val="22"/>
          <w:lang w:eastAsia="en-GB"/>
        </w:rPr>
      </w:pPr>
      <w:hyperlink w:anchor="_Toc504484208" w:history="1">
        <w:r w:rsidR="00B51130" w:rsidRPr="00B2284F">
          <w:rPr>
            <w:rStyle w:val="Hyperlink"/>
            <w:noProof/>
          </w:rPr>
          <w:t>19</w:t>
        </w:r>
        <w:r w:rsidR="00B51130">
          <w:rPr>
            <w:rFonts w:eastAsiaTheme="minorEastAsia" w:cstheme="minorBidi"/>
            <w:noProof/>
            <w:color w:val="auto"/>
            <w:szCs w:val="22"/>
            <w:lang w:eastAsia="en-GB"/>
          </w:rPr>
          <w:tab/>
        </w:r>
        <w:r w:rsidR="00B51130" w:rsidRPr="00B2284F">
          <w:rPr>
            <w:rStyle w:val="Hyperlink"/>
            <w:noProof/>
          </w:rPr>
          <w:t>United Arab Emirates</w:t>
        </w:r>
        <w:r w:rsidR="00B51130">
          <w:rPr>
            <w:noProof/>
            <w:webHidden/>
          </w:rPr>
          <w:tab/>
        </w:r>
        <w:r w:rsidR="00B51130">
          <w:rPr>
            <w:noProof/>
            <w:webHidden/>
          </w:rPr>
          <w:fldChar w:fldCharType="begin"/>
        </w:r>
        <w:r w:rsidR="00B51130">
          <w:rPr>
            <w:noProof/>
            <w:webHidden/>
          </w:rPr>
          <w:instrText xml:space="preserve"> PAGEREF _Toc504484208 \h </w:instrText>
        </w:r>
        <w:r w:rsidR="00B51130">
          <w:rPr>
            <w:noProof/>
            <w:webHidden/>
          </w:rPr>
        </w:r>
        <w:r w:rsidR="00B51130">
          <w:rPr>
            <w:noProof/>
            <w:webHidden/>
          </w:rPr>
          <w:fldChar w:fldCharType="separate"/>
        </w:r>
        <w:r w:rsidR="00B51130">
          <w:rPr>
            <w:noProof/>
            <w:webHidden/>
          </w:rPr>
          <w:t>130</w:t>
        </w:r>
        <w:r w:rsidR="00B51130">
          <w:rPr>
            <w:noProof/>
            <w:webHidden/>
          </w:rPr>
          <w:fldChar w:fldCharType="end"/>
        </w:r>
      </w:hyperlink>
    </w:p>
    <w:p w14:paraId="550F206F" w14:textId="77777777" w:rsidR="00B51130" w:rsidRDefault="00000000">
      <w:pPr>
        <w:pStyle w:val="TOC2"/>
        <w:tabs>
          <w:tab w:val="left" w:pos="1320"/>
        </w:tabs>
        <w:rPr>
          <w:rFonts w:eastAsiaTheme="minorEastAsia" w:cstheme="minorBidi"/>
          <w:noProof/>
          <w:color w:val="auto"/>
          <w:szCs w:val="22"/>
          <w:lang w:eastAsia="en-GB"/>
        </w:rPr>
      </w:pPr>
      <w:hyperlink w:anchor="_Toc504484209" w:history="1">
        <w:r w:rsidR="00B51130" w:rsidRPr="00B2284F">
          <w:rPr>
            <w:rStyle w:val="Hyperlink"/>
            <w:noProof/>
          </w:rPr>
          <w:t>19.1</w:t>
        </w:r>
        <w:r w:rsidR="00B51130">
          <w:rPr>
            <w:rFonts w:eastAsiaTheme="minorEastAsia" w:cstheme="minorBidi"/>
            <w:noProof/>
            <w:color w:val="auto"/>
            <w:szCs w:val="22"/>
            <w:lang w:eastAsia="en-GB"/>
          </w:rPr>
          <w:tab/>
        </w:r>
        <w:r w:rsidR="00B51130" w:rsidRPr="00B2284F">
          <w:rPr>
            <w:rStyle w:val="Hyperlink"/>
            <w:noProof/>
          </w:rPr>
          <w:t>Dubai Health Authority</w:t>
        </w:r>
        <w:r w:rsidR="00B51130">
          <w:rPr>
            <w:noProof/>
            <w:webHidden/>
          </w:rPr>
          <w:tab/>
        </w:r>
        <w:r w:rsidR="00B51130">
          <w:rPr>
            <w:noProof/>
            <w:webHidden/>
          </w:rPr>
          <w:fldChar w:fldCharType="begin"/>
        </w:r>
        <w:r w:rsidR="00B51130">
          <w:rPr>
            <w:noProof/>
            <w:webHidden/>
          </w:rPr>
          <w:instrText xml:space="preserve"> PAGEREF _Toc504484209 \h </w:instrText>
        </w:r>
        <w:r w:rsidR="00B51130">
          <w:rPr>
            <w:noProof/>
            <w:webHidden/>
          </w:rPr>
        </w:r>
        <w:r w:rsidR="00B51130">
          <w:rPr>
            <w:noProof/>
            <w:webHidden/>
          </w:rPr>
          <w:fldChar w:fldCharType="separate"/>
        </w:r>
        <w:r w:rsidR="00B51130">
          <w:rPr>
            <w:noProof/>
            <w:webHidden/>
          </w:rPr>
          <w:t>130</w:t>
        </w:r>
        <w:r w:rsidR="00B51130">
          <w:rPr>
            <w:noProof/>
            <w:webHidden/>
          </w:rPr>
          <w:fldChar w:fldCharType="end"/>
        </w:r>
      </w:hyperlink>
    </w:p>
    <w:p w14:paraId="76587B95" w14:textId="77777777" w:rsidR="006A0FDF" w:rsidRPr="00D13AF1" w:rsidRDefault="00490E1A">
      <w:pPr>
        <w:tabs>
          <w:tab w:val="clear" w:pos="280"/>
          <w:tab w:val="clear" w:pos="4800"/>
          <w:tab w:val="clear" w:pos="5780"/>
        </w:tabs>
        <w:suppressAutoHyphens w:val="0"/>
        <w:autoSpaceDE/>
        <w:autoSpaceDN/>
        <w:adjustRightInd/>
        <w:spacing w:after="200" w:line="276" w:lineRule="auto"/>
        <w:textAlignment w:val="auto"/>
      </w:pPr>
      <w:r w:rsidRPr="00D13AF1">
        <w:fldChar w:fldCharType="end"/>
      </w:r>
    </w:p>
    <w:p w14:paraId="3B89F64B" w14:textId="77777777" w:rsidR="006A0FDF" w:rsidRPr="00D13AF1" w:rsidRDefault="006A0FDF">
      <w:pPr>
        <w:tabs>
          <w:tab w:val="clear" w:pos="280"/>
          <w:tab w:val="clear" w:pos="4800"/>
          <w:tab w:val="clear" w:pos="5780"/>
        </w:tabs>
        <w:suppressAutoHyphens w:val="0"/>
        <w:autoSpaceDE/>
        <w:autoSpaceDN/>
        <w:adjustRightInd/>
        <w:spacing w:after="200" w:line="276" w:lineRule="auto"/>
        <w:jc w:val="left"/>
        <w:textAlignment w:val="auto"/>
      </w:pPr>
      <w:r w:rsidRPr="00D13AF1">
        <w:br w:type="page"/>
      </w:r>
    </w:p>
    <w:p w14:paraId="3667CB2F" w14:textId="77777777" w:rsidR="005C2B38" w:rsidRDefault="005C2B38" w:rsidP="005C2B38">
      <w:pPr>
        <w:pStyle w:val="Heading1"/>
        <w:numPr>
          <w:ilvl w:val="0"/>
          <w:numId w:val="0"/>
        </w:numPr>
        <w:ind w:left="709" w:hanging="709"/>
      </w:pPr>
      <w:bookmarkStart w:id="0" w:name="_Toc499211309"/>
      <w:bookmarkStart w:id="1" w:name="_Toc504484099"/>
      <w:r w:rsidRPr="00D13AF1">
        <w:lastRenderedPageBreak/>
        <w:t>Executive Summary</w:t>
      </w:r>
      <w:bookmarkEnd w:id="0"/>
      <w:bookmarkEnd w:id="1"/>
    </w:p>
    <w:p w14:paraId="582686CF" w14:textId="130EB100" w:rsidR="00FD6039" w:rsidRPr="00BB2F0B" w:rsidRDefault="00FD6039" w:rsidP="00FD6039">
      <w:pPr>
        <w:pStyle w:val="BodyEE"/>
      </w:pPr>
      <w:r w:rsidRPr="00BB2F0B">
        <w:t>Europe Economics has been commissioned by the General Medical Council to review regulatory approaches to telemedicine around the</w:t>
      </w:r>
      <w:r w:rsidR="0016370D">
        <w:t xml:space="preserve"> world. The aim of this work is</w:t>
      </w:r>
      <w:r w:rsidRPr="00BB2F0B">
        <w:t xml:space="preserve"> to understand how various regulators define telemedicine, what kind of requirements they impose on doctors, and how they deal with the possibility of doctors from another jurisdiction providing remote medical services to patients</w:t>
      </w:r>
      <w:r w:rsidR="0016370D">
        <w:t>.</w:t>
      </w:r>
    </w:p>
    <w:p w14:paraId="590EA7C9" w14:textId="39217261" w:rsidR="00FD6039" w:rsidRPr="00BB2F0B" w:rsidRDefault="00FD6039" w:rsidP="00FD6039">
      <w:pPr>
        <w:pStyle w:val="BodyEE"/>
      </w:pPr>
      <w:r w:rsidRPr="00BB2F0B">
        <w:t>We adopted a multi-</w:t>
      </w:r>
      <w:r w:rsidR="0016370D" w:rsidRPr="00BB2F0B">
        <w:t>s</w:t>
      </w:r>
      <w:r w:rsidR="0016370D">
        <w:t>t</w:t>
      </w:r>
      <w:r w:rsidR="0016370D" w:rsidRPr="00BB2F0B">
        <w:t>rand</w:t>
      </w:r>
      <w:r w:rsidRPr="00BB2F0B">
        <w:t xml:space="preserve"> approach to </w:t>
      </w:r>
      <w:r w:rsidR="0016370D">
        <w:t xml:space="preserve">the </w:t>
      </w:r>
      <w:r w:rsidRPr="00BB2F0B">
        <w:t xml:space="preserve">research including desk research, </w:t>
      </w:r>
      <w:r w:rsidR="0016370D">
        <w:t xml:space="preserve">an </w:t>
      </w:r>
      <w:r w:rsidRPr="00BB2F0B">
        <w:t xml:space="preserve">online survey, and telephone interviews. Our desk research and interviews focused on a selection of countries where telemedicine regulation </w:t>
      </w:r>
      <w:r w:rsidR="0016370D">
        <w:t>is</w:t>
      </w:r>
      <w:r>
        <w:t xml:space="preserve"> more developed, i.e.</w:t>
      </w:r>
      <w:r w:rsidRPr="00BB2F0B">
        <w:t xml:space="preserve"> the United States of America, Canada, France, Denmark, Portugal, Australia, New Zealand, and Singapore. The survey prompted responses from a wider set of regulators</w:t>
      </w:r>
      <w:r>
        <w:t xml:space="preserve"> and organisations</w:t>
      </w:r>
      <w:r w:rsidR="0016370D">
        <w:t xml:space="preserve">, however </w:t>
      </w:r>
      <w:r>
        <w:t xml:space="preserve">in our analysis we only </w:t>
      </w:r>
      <w:r w:rsidR="0016370D">
        <w:t>refer to</w:t>
      </w:r>
      <w:r w:rsidRPr="00BB2F0B">
        <w:t xml:space="preserve"> the</w:t>
      </w:r>
      <w:r w:rsidR="0016370D">
        <w:t xml:space="preserve"> survey</w:t>
      </w:r>
      <w:r w:rsidRPr="00BB2F0B">
        <w:t xml:space="preserve"> responses from the core</w:t>
      </w:r>
      <w:r w:rsidR="0016370D">
        <w:t xml:space="preserve"> countries (the remainder of the responses are </w:t>
      </w:r>
      <w:r w:rsidR="008D622A">
        <w:t>included</w:t>
      </w:r>
      <w:r w:rsidR="0016370D">
        <w:t xml:space="preserve"> in </w:t>
      </w:r>
      <w:r w:rsidR="00397FF0">
        <w:fldChar w:fldCharType="begin"/>
      </w:r>
      <w:r w:rsidR="00397FF0">
        <w:instrText xml:space="preserve"> REF _Ref499718764 \h </w:instrText>
      </w:r>
      <w:r w:rsidR="00397FF0">
        <w:fldChar w:fldCharType="separate"/>
      </w:r>
      <w:r w:rsidR="00B51130" w:rsidRPr="00D13AF1">
        <w:rPr>
          <w:b/>
          <w:color w:val="C64187" w:themeColor="accent2"/>
        </w:rPr>
        <w:t xml:space="preserve">Appendix 1 — online </w:t>
      </w:r>
      <w:r w:rsidR="00B51130">
        <w:rPr>
          <w:b/>
          <w:color w:val="C64187" w:themeColor="accent2"/>
        </w:rPr>
        <w:t>survey</w:t>
      </w:r>
      <w:r w:rsidR="00397FF0">
        <w:fldChar w:fldCharType="end"/>
      </w:r>
      <w:r w:rsidR="006C0151">
        <w:t xml:space="preserve"> and </w:t>
      </w:r>
      <w:r w:rsidR="00033DCC">
        <w:fldChar w:fldCharType="begin"/>
      </w:r>
      <w:r w:rsidR="00033DCC">
        <w:instrText xml:space="preserve"> REF _Ref499224601 \h </w:instrText>
      </w:r>
      <w:r w:rsidR="00033DCC">
        <w:fldChar w:fldCharType="separate"/>
      </w:r>
      <w:r w:rsidR="00B51130" w:rsidRPr="00D13AF1">
        <w:rPr>
          <w:b/>
          <w:color w:val="C64187" w:themeColor="accent2"/>
        </w:rPr>
        <w:t>Appendix 3 — non-core countries</w:t>
      </w:r>
      <w:r w:rsidR="00033DCC">
        <w:fldChar w:fldCharType="end"/>
      </w:r>
      <w:r w:rsidR="0016370D">
        <w:t>).</w:t>
      </w:r>
    </w:p>
    <w:p w14:paraId="3F91C788" w14:textId="56A0924F" w:rsidR="00761636" w:rsidRDefault="00761636" w:rsidP="00761636">
      <w:pPr>
        <w:pStyle w:val="Heading3"/>
        <w:numPr>
          <w:ilvl w:val="0"/>
          <w:numId w:val="0"/>
        </w:numPr>
        <w:ind w:left="720" w:hanging="720"/>
      </w:pPr>
      <w:r>
        <w:t xml:space="preserve">Definition of telemedicine </w:t>
      </w:r>
    </w:p>
    <w:p w14:paraId="2247BC23" w14:textId="1082FA33" w:rsidR="00FD6039" w:rsidRPr="00BB2F0B" w:rsidRDefault="00FD6039" w:rsidP="00FD6039">
      <w:pPr>
        <w:pStyle w:val="BodyEE"/>
      </w:pPr>
      <w:r w:rsidRPr="00BB2F0B">
        <w:t xml:space="preserve">In general terms, telemedicine is defined </w:t>
      </w:r>
      <w:r>
        <w:t>in a similar manner</w:t>
      </w:r>
      <w:r w:rsidRPr="00BB2F0B">
        <w:t xml:space="preserve"> across regulators</w:t>
      </w:r>
      <w:r w:rsidR="009A1B32">
        <w:t>,</w:t>
      </w:r>
      <w:r w:rsidRPr="00BB2F0B">
        <w:t xml:space="preserve"> </w:t>
      </w:r>
      <w:r>
        <w:t xml:space="preserve">i.e. </w:t>
      </w:r>
      <w:r w:rsidRPr="00BB2F0B">
        <w:t xml:space="preserve">as a medical service provided remotely via information and communication technology. </w:t>
      </w:r>
      <w:r>
        <w:t xml:space="preserve">In addition, some regulators require the communication to be multi-modal, i.e. not limited to </w:t>
      </w:r>
      <w:r w:rsidRPr="00B83381">
        <w:t xml:space="preserve">audio-only </w:t>
      </w:r>
      <w:r>
        <w:t xml:space="preserve">or text-only interactions. </w:t>
      </w:r>
      <w:r w:rsidRPr="00BB2F0B">
        <w:t xml:space="preserve">In most cases, it is understood to occur between a patient and a doctor, but many regulators </w:t>
      </w:r>
      <w:r w:rsidR="001C160E">
        <w:t xml:space="preserve">also </w:t>
      </w:r>
      <w:r w:rsidRPr="00BB2F0B">
        <w:t xml:space="preserve">acknowledge that it could take place between doctors (with one regulator limiting the scope of telemedicine to such cases). Moreover, </w:t>
      </w:r>
      <w:r>
        <w:t xml:space="preserve">many regulators recognise that telemedicine could be applied to consultations, diagnosis and treatment. Finally, </w:t>
      </w:r>
      <w:r w:rsidR="008D622A">
        <w:t xml:space="preserve">many regulators stress </w:t>
      </w:r>
      <w:r w:rsidRPr="00BB2F0B">
        <w:t xml:space="preserve">that telemedicine should be </w:t>
      </w:r>
      <w:r w:rsidR="008D622A">
        <w:t>understood as</w:t>
      </w:r>
      <w:r w:rsidRPr="00BB2F0B">
        <w:t xml:space="preserve"> another way of providing healthcare, rather than as a distinct medical service in its own right.</w:t>
      </w:r>
    </w:p>
    <w:p w14:paraId="69E46231" w14:textId="77777777" w:rsidR="00761636" w:rsidRDefault="00761636" w:rsidP="00761636">
      <w:pPr>
        <w:pStyle w:val="Heading3"/>
        <w:numPr>
          <w:ilvl w:val="0"/>
          <w:numId w:val="0"/>
        </w:numPr>
        <w:ind w:left="720" w:hanging="720"/>
      </w:pPr>
      <w:r>
        <w:t xml:space="preserve">Requirements placed on doctors </w:t>
      </w:r>
    </w:p>
    <w:p w14:paraId="350956B1" w14:textId="6564933D" w:rsidR="00FD6039" w:rsidRDefault="00FD6039" w:rsidP="00FD6039">
      <w:pPr>
        <w:pStyle w:val="BodyEE"/>
      </w:pPr>
      <w:r w:rsidRPr="00BB2F0B">
        <w:t xml:space="preserve">The requirements </w:t>
      </w:r>
      <w:r w:rsidR="00761636">
        <w:t>placed</w:t>
      </w:r>
      <w:r w:rsidRPr="00BB2F0B">
        <w:t xml:space="preserve"> on docto</w:t>
      </w:r>
      <w:r w:rsidR="003B46CB">
        <w:t>rs practi</w:t>
      </w:r>
      <w:r w:rsidR="00691385">
        <w:t>s</w:t>
      </w:r>
      <w:r w:rsidR="003B46CB">
        <w:t>ing telemedicine can</w:t>
      </w:r>
      <w:r w:rsidRPr="00BB2F0B">
        <w:t xml:space="preserve"> be categorised </w:t>
      </w:r>
      <w:r>
        <w:t xml:space="preserve">into: </w:t>
      </w:r>
      <w:r w:rsidRPr="00BB2F0B">
        <w:t>licensing requirements</w:t>
      </w:r>
      <w:r>
        <w:t xml:space="preserve">, requirements applicable to the provision of telemedicine, and requirements applicable to specific areas of healthcare. </w:t>
      </w:r>
    </w:p>
    <w:p w14:paraId="424FA52F" w14:textId="6B5F1C1E" w:rsidR="00FD6039" w:rsidRPr="00BB2F0B" w:rsidRDefault="00FD6039" w:rsidP="00FD6039">
      <w:pPr>
        <w:pStyle w:val="BodyEE"/>
      </w:pPr>
      <w:r>
        <w:t xml:space="preserve">Licensing requirements </w:t>
      </w:r>
      <w:r w:rsidR="00761636">
        <w:t xml:space="preserve">in relation to telemedicine </w:t>
      </w:r>
      <w:r>
        <w:t xml:space="preserve">are </w:t>
      </w:r>
      <w:r w:rsidR="003B46CB">
        <w:t xml:space="preserve">particularly </w:t>
      </w:r>
      <w:r>
        <w:t>relevant when telemedicine is practi</w:t>
      </w:r>
      <w:r w:rsidR="00691385">
        <w:t>s</w:t>
      </w:r>
      <w:r w:rsidR="00761636">
        <w:t>ed across jurisdictions. In the</w:t>
      </w:r>
      <w:r>
        <w:t xml:space="preserve">se cases, the regulators from the USA and many </w:t>
      </w:r>
      <w:r w:rsidR="003B46CB">
        <w:t>in</w:t>
      </w:r>
      <w:r>
        <w:t xml:space="preserve"> Canad</w:t>
      </w:r>
      <w:r w:rsidR="003B46CB">
        <w:t xml:space="preserve">a </w:t>
      </w:r>
      <w:r>
        <w:t xml:space="preserve">require a remote doctor to be licensed or registered with the regulator in the jurisdiction of the patient. While there are some </w:t>
      </w:r>
      <w:r w:rsidR="00996726">
        <w:t>USA</w:t>
      </w:r>
      <w:r>
        <w:t xml:space="preserve"> and Canadian jurisdictions where an ‘abbreviated’ licen</w:t>
      </w:r>
      <w:r w:rsidR="00691385">
        <w:t>c</w:t>
      </w:r>
      <w:r>
        <w:t>e for telemedicine purposes only can be obtained, this solution does not appear to be common or popular within those jurisdictions. In Europe, on the other hand, doctors are generally required to be license</w:t>
      </w:r>
      <w:r w:rsidR="003B46CB">
        <w:t>d</w:t>
      </w:r>
      <w:r>
        <w:t xml:space="preserve"> only with the regulator in their jurisdiction regardless of where the patient in located. This is perhaps to some extent driven by the EU Directive</w:t>
      </w:r>
      <w:r w:rsidR="003B46CB">
        <w:t xml:space="preserve"> on e</w:t>
      </w:r>
      <w:r w:rsidR="00033DCC">
        <w:t xml:space="preserve">lectronic </w:t>
      </w:r>
      <w:r w:rsidR="003B46CB">
        <w:t>commerce</w:t>
      </w:r>
      <w:r w:rsidR="007A67AB">
        <w:t xml:space="preserve"> </w:t>
      </w:r>
      <w:r w:rsidR="00397FF0">
        <w:t>(which is not specific to healthcare itself but mentions public health)</w:t>
      </w:r>
      <w:r>
        <w:t xml:space="preserve"> which determines the location of a remote service</w:t>
      </w:r>
      <w:r w:rsidR="00761636">
        <w:t xml:space="preserve"> for regulatory purposes</w:t>
      </w:r>
      <w:r>
        <w:t xml:space="preserve"> to be in the jurisdiction of the service provider (i.e. doctor) rather than the service recipient (i.e. patient). </w:t>
      </w:r>
    </w:p>
    <w:p w14:paraId="0480D099" w14:textId="53C91A8F" w:rsidR="00FD6039" w:rsidRDefault="00FD6039" w:rsidP="00FD6039">
      <w:pPr>
        <w:pStyle w:val="BodyEE"/>
      </w:pPr>
      <w:r>
        <w:t xml:space="preserve">Requirements applicable to the provision of telemedicine usually include: ensuring the same standard of care as that of face-to-face healthcare; ensuring that telemedicine is an appropriate method of delivering healthcare; ensuring that sufficient information regarding </w:t>
      </w:r>
      <w:r w:rsidR="003B46CB">
        <w:t xml:space="preserve">a </w:t>
      </w:r>
      <w:r>
        <w:t>patient’s medical history and current condition is available for diagnosing and/or treating patient</w:t>
      </w:r>
      <w:r w:rsidR="00691385">
        <w:t>s</w:t>
      </w:r>
      <w:r>
        <w:t xml:space="preserve">; ensuring confidentiality, safety and security of the exchanged information (sometimes including the technical aspects of it); obtaining </w:t>
      </w:r>
      <w:r w:rsidR="003B46CB">
        <w:t xml:space="preserve">a </w:t>
      </w:r>
      <w:r>
        <w:t xml:space="preserve">patient’s consent for this method of </w:t>
      </w:r>
      <w:r>
        <w:lastRenderedPageBreak/>
        <w:t xml:space="preserve">providing medical services </w:t>
      </w:r>
      <w:r w:rsidR="003B46CB">
        <w:t>(</w:t>
      </w:r>
      <w:r>
        <w:t>sometimes paired with a requirement to provide an overview of what the patient can expect from a tele-consultation or tele-treatment</w:t>
      </w:r>
      <w:r w:rsidR="003B46CB">
        <w:t>)</w:t>
      </w:r>
      <w:r>
        <w:t>; and confirming a patient’s identity and maintaining medical records.</w:t>
      </w:r>
    </w:p>
    <w:p w14:paraId="5CCF2CDC" w14:textId="3324CC48" w:rsidR="00FD6039" w:rsidRDefault="00FD6039" w:rsidP="00FD6039">
      <w:pPr>
        <w:pStyle w:val="BodyEE"/>
      </w:pPr>
      <w:r>
        <w:t xml:space="preserve">A few jurisdictions </w:t>
      </w:r>
      <w:r w:rsidR="00C50A96">
        <w:t xml:space="preserve">have </w:t>
      </w:r>
      <w:r>
        <w:t xml:space="preserve">also explicitly developed rules around some specific areas of healthcare — such as remote prescribing of </w:t>
      </w:r>
      <w:r w:rsidR="004D5388" w:rsidRPr="00D13AF1">
        <w:t>controlled or regulated medications</w:t>
      </w:r>
      <w:r>
        <w:t xml:space="preserve">, telepathology, teleradiology and </w:t>
      </w:r>
      <w:proofErr w:type="spellStart"/>
      <w:r>
        <w:t>teledermatology</w:t>
      </w:r>
      <w:proofErr w:type="spellEnd"/>
      <w:r>
        <w:t xml:space="preserve">. </w:t>
      </w:r>
    </w:p>
    <w:p w14:paraId="58B2C0B4" w14:textId="5C52A97D" w:rsidR="00761636" w:rsidRDefault="00761636" w:rsidP="00761636">
      <w:pPr>
        <w:pStyle w:val="Heading3"/>
        <w:numPr>
          <w:ilvl w:val="0"/>
          <w:numId w:val="0"/>
        </w:numPr>
        <w:ind w:left="720" w:hanging="720"/>
      </w:pPr>
      <w:r>
        <w:t xml:space="preserve">Regulatory frameworks for telemedicine </w:t>
      </w:r>
    </w:p>
    <w:p w14:paraId="12F8E55E" w14:textId="5335B885" w:rsidR="00FD6039" w:rsidRDefault="00FD6039" w:rsidP="00FD6039">
      <w:pPr>
        <w:pStyle w:val="BodyEE"/>
      </w:pPr>
      <w:r>
        <w:t xml:space="preserve">The telemedicine requirements applicable to doctors </w:t>
      </w:r>
      <w:r w:rsidRPr="009576E7">
        <w:t>vary in the degree to which they are binding and the potential repercussions doctors might face as a result of non-compliance</w:t>
      </w:r>
      <w:r>
        <w:t xml:space="preserve">. </w:t>
      </w:r>
      <w:r w:rsidRPr="009576E7">
        <w:t>In general, the most indisputable and binding requirement is to be licensed or registered with the relevant regulator to practi</w:t>
      </w:r>
      <w:r w:rsidR="00691385">
        <w:t>s</w:t>
      </w:r>
      <w:r w:rsidRPr="009576E7">
        <w:t xml:space="preserve">e </w:t>
      </w:r>
      <w:r>
        <w:t xml:space="preserve">telemedicine. In the </w:t>
      </w:r>
      <w:r w:rsidR="00996726">
        <w:t>USA</w:t>
      </w:r>
      <w:r w:rsidR="00C41F94">
        <w:t xml:space="preserve"> for example</w:t>
      </w:r>
      <w:r>
        <w:t>, it is a criminal offen</w:t>
      </w:r>
      <w:r w:rsidR="00C50A96">
        <w:t>c</w:t>
      </w:r>
      <w:r>
        <w:t>e to practi</w:t>
      </w:r>
      <w:r w:rsidR="00691385">
        <w:t>s</w:t>
      </w:r>
      <w:r>
        <w:t>e without such a licen</w:t>
      </w:r>
      <w:r w:rsidR="00691385">
        <w:t>c</w:t>
      </w:r>
      <w:r>
        <w:t xml:space="preserve">e, and thus the repercussions for non-compliance could — in theory — include legal prosecution (but, </w:t>
      </w:r>
      <w:r w:rsidR="00DD1202">
        <w:t>for practical reasons</w:t>
      </w:r>
      <w:r>
        <w:t xml:space="preserve">, rarely do). That said, </w:t>
      </w:r>
      <w:r w:rsidR="00397FF0">
        <w:t>regulators in other countries often d</w:t>
      </w:r>
      <w:r w:rsidR="00C41F94">
        <w:t>o</w:t>
      </w:r>
      <w:r w:rsidR="00397FF0">
        <w:t xml:space="preserve"> not </w:t>
      </w:r>
      <w:r>
        <w:t>have the remit to require remote doctors to be registered with the regulator in the jurisdiction of the patient.</w:t>
      </w:r>
    </w:p>
    <w:p w14:paraId="7183FAC5" w14:textId="13F1B3CC" w:rsidR="00FD6039" w:rsidRDefault="00FD6039" w:rsidP="00FD6039">
      <w:pPr>
        <w:pStyle w:val="BodyEE"/>
      </w:pPr>
      <w:r w:rsidRPr="002651BF">
        <w:t>Requirements other than licensing are often less binding and/or harder to enforce</w:t>
      </w:r>
      <w:r>
        <w:t>. A</w:t>
      </w:r>
      <w:r w:rsidRPr="002651BF">
        <w:t xml:space="preserve">dherence to those standards is </w:t>
      </w:r>
      <w:r>
        <w:t xml:space="preserve">usually </w:t>
      </w:r>
      <w:r w:rsidRPr="002651BF">
        <w:t>not proactively monitored but rather investigated on</w:t>
      </w:r>
      <w:r w:rsidR="00DD1202">
        <w:t xml:space="preserve"> a</w:t>
      </w:r>
      <w:r w:rsidRPr="002651BF">
        <w:t xml:space="preserve"> case-by-case basis in response to complaints. Since a majority (if not all) of the ‘telemedicine’ requirements are in fact consistent with the requirements applicable to standard healthcare services, the violation of those requirements could be generally considered not to be specific to telemedicine per se</w:t>
      </w:r>
      <w:r w:rsidR="00801995">
        <w:t xml:space="preserve"> (however, telemedicine might in some instances make th</w:t>
      </w:r>
      <w:r w:rsidR="00C41F94">
        <w:t>e</w:t>
      </w:r>
      <w:r w:rsidR="00801995">
        <w:t>se violations harder to detect)</w:t>
      </w:r>
      <w:r w:rsidRPr="002651BF">
        <w:t>.</w:t>
      </w:r>
    </w:p>
    <w:p w14:paraId="3A8B586D" w14:textId="0ECC13BC" w:rsidR="00C41F94" w:rsidRDefault="00C41F94" w:rsidP="00C41F94">
      <w:pPr>
        <w:pStyle w:val="Heading3"/>
        <w:numPr>
          <w:ilvl w:val="0"/>
          <w:numId w:val="0"/>
        </w:numPr>
        <w:ind w:left="720" w:hanging="720"/>
      </w:pPr>
      <w:r>
        <w:t xml:space="preserve">Specific challenges in the UK </w:t>
      </w:r>
    </w:p>
    <w:p w14:paraId="6F385D89" w14:textId="623FE18E" w:rsidR="00FD6039" w:rsidRDefault="00FD6039" w:rsidP="00FD6039">
      <w:pPr>
        <w:pStyle w:val="BodyEE"/>
      </w:pPr>
      <w:r>
        <w:t xml:space="preserve">The key types of telemedicine requirements adopted elsewhere in the world appear to </w:t>
      </w:r>
      <w:r w:rsidR="009A1B32">
        <w:t>mirror</w:t>
      </w:r>
      <w:r>
        <w:t xml:space="preserve"> the challenges some of the UK regulators </w:t>
      </w:r>
      <w:r w:rsidR="003066DE">
        <w:t xml:space="preserve">have </w:t>
      </w:r>
      <w:r>
        <w:t xml:space="preserve">already observed in the context of remote medical care. In particular, among the telemedicine-related concerns raised by the </w:t>
      </w:r>
      <w:r w:rsidRPr="00154AA7">
        <w:t>Care Quality Commission</w:t>
      </w:r>
      <w:r>
        <w:t xml:space="preserve"> (CQC) are:</w:t>
      </w:r>
    </w:p>
    <w:p w14:paraId="60694847" w14:textId="06C26B3F" w:rsidR="00FD6039" w:rsidRPr="00D13AF1" w:rsidRDefault="00FD6039" w:rsidP="00FD6039">
      <w:pPr>
        <w:pStyle w:val="Bulletlevel1"/>
      </w:pPr>
      <w:r w:rsidRPr="00D13AF1">
        <w:t xml:space="preserve">access to patients’ long-term medical records </w:t>
      </w:r>
      <w:r>
        <w:t>— which relates to the requirement to ensure that sufficient information regarding patient</w:t>
      </w:r>
      <w:r w:rsidR="003066DE">
        <w:t>’</w:t>
      </w:r>
      <w:r>
        <w:t xml:space="preserve">s medical history and current condition is available for diagnosing and/or treating </w:t>
      </w:r>
      <w:r w:rsidR="00DD1202">
        <w:t xml:space="preserve">the </w:t>
      </w:r>
      <w:r>
        <w:t>patient;</w:t>
      </w:r>
    </w:p>
    <w:p w14:paraId="4206C135" w14:textId="2D3274E1" w:rsidR="00FD6039" w:rsidRPr="00D13AF1" w:rsidRDefault="00FD6039" w:rsidP="00FD6039">
      <w:pPr>
        <w:pStyle w:val="Bulletlevel1"/>
      </w:pPr>
      <w:r w:rsidRPr="00D13AF1">
        <w:t xml:space="preserve">identification of the patient, including some key characteristics such as </w:t>
      </w:r>
      <w:r>
        <w:t xml:space="preserve">age, gender, body weight etc. — which relates to the requirement to confirm </w:t>
      </w:r>
      <w:r w:rsidR="003066DE">
        <w:t xml:space="preserve">a </w:t>
      </w:r>
      <w:r>
        <w:t>patient’s identity</w:t>
      </w:r>
      <w:r w:rsidR="00DD1202">
        <w:t xml:space="preserve"> as well as access to medical records</w:t>
      </w:r>
      <w:r>
        <w:t>;</w:t>
      </w:r>
    </w:p>
    <w:p w14:paraId="182ED9EF" w14:textId="4EF4B79B" w:rsidR="00FD6039" w:rsidRPr="00682E85" w:rsidRDefault="00FD6039" w:rsidP="00FD6039">
      <w:pPr>
        <w:pStyle w:val="Bulletlevel1"/>
      </w:pPr>
      <w:r w:rsidRPr="00D13AF1">
        <w:t>healthcare based on an asynchronous</w:t>
      </w:r>
      <w:r w:rsidR="00D24915">
        <w:t xml:space="preserve"> (i.e. not real-time)</w:t>
      </w:r>
      <w:r w:rsidRPr="00D13AF1">
        <w:t>, text-based relationship (e.g. questio</w:t>
      </w:r>
      <w:r>
        <w:t>nnaires or standardised emails</w:t>
      </w:r>
      <w:r w:rsidR="00DD1202">
        <w:t>)</w:t>
      </w:r>
      <w:r>
        <w:t xml:space="preserve"> — which relates, again, to the requirement that sufficient medical information is obtained before forming a diagnosis or starting treatment, but also to the fact that some regulators do not consider single-modality communication to fall within the scope of telemedicine;</w:t>
      </w:r>
    </w:p>
    <w:p w14:paraId="586B6AD5" w14:textId="713DC256" w:rsidR="00FD6039" w:rsidRDefault="00FD6039" w:rsidP="00FD6039">
      <w:pPr>
        <w:pStyle w:val="Bulletlevel1"/>
      </w:pPr>
      <w:r>
        <w:t>request</w:t>
      </w:r>
      <w:r w:rsidR="003066DE">
        <w:t>s for</w:t>
      </w:r>
      <w:r>
        <w:t xml:space="preserve"> confidentiality being potentially abused by patients to avoid sensitive </w:t>
      </w:r>
      <w:r w:rsidRPr="00D13AF1">
        <w:t xml:space="preserve">information </w:t>
      </w:r>
      <w:r>
        <w:t xml:space="preserve">being shared between the remote doctor and their primary </w:t>
      </w:r>
      <w:r w:rsidRPr="00D13AF1">
        <w:t xml:space="preserve">healthcare </w:t>
      </w:r>
      <w:r>
        <w:t xml:space="preserve">provider — which is closely matched by the concerns of the </w:t>
      </w:r>
      <w:r w:rsidR="00996726">
        <w:t>USA</w:t>
      </w:r>
      <w:r>
        <w:t xml:space="preserve"> and Canadian regulators that telemedicine increases the risk of patients being treated in isolation of other healthcare services they receive</w:t>
      </w:r>
      <w:r w:rsidR="00D24915">
        <w:t xml:space="preserve">. This </w:t>
      </w:r>
      <w:r>
        <w:t xml:space="preserve">could be mitigated (as some regulators and organisations from jurisdictions outside North America do) by a requirement to provide telemedicine only in cases of </w:t>
      </w:r>
      <w:r w:rsidR="003066DE">
        <w:t xml:space="preserve">a </w:t>
      </w:r>
      <w:r>
        <w:t>pre-established face-to-face relationship between the patient and the doctor, or at least a physical intermediation from another healthcare professional at the location of the patient.</w:t>
      </w:r>
    </w:p>
    <w:p w14:paraId="37AA5C97" w14:textId="695544DE" w:rsidR="00641C85" w:rsidRDefault="00FD6039" w:rsidP="0032234F">
      <w:pPr>
        <w:pStyle w:val="BodyEE"/>
      </w:pPr>
      <w:r>
        <w:t>It is finally worth noting that, e</w:t>
      </w:r>
      <w:r w:rsidRPr="00D13AF1">
        <w:t>ven though in some jurisdictions telemedicine has been practi</w:t>
      </w:r>
      <w:r w:rsidR="00691385">
        <w:t>s</w:t>
      </w:r>
      <w:r w:rsidRPr="00D13AF1">
        <w:t>ed for many years and appears to be relatively common, the relevant regulation is still evolving</w:t>
      </w:r>
      <w:r>
        <w:t xml:space="preserve"> as new applications of telemedicine bring new risks and challenges </w:t>
      </w:r>
      <w:r w:rsidR="003066DE">
        <w:t xml:space="preserve">which </w:t>
      </w:r>
      <w:r>
        <w:t>regulators aim to address.</w:t>
      </w:r>
    </w:p>
    <w:p w14:paraId="58CFAA38" w14:textId="77777777" w:rsidR="00641C85" w:rsidRDefault="00641C85" w:rsidP="0032234F">
      <w:pPr>
        <w:pStyle w:val="BodyEE"/>
        <w:sectPr w:rsidR="00641C85" w:rsidSect="001C22CA">
          <w:headerReference w:type="default" r:id="rId12"/>
          <w:headerReference w:type="first" r:id="rId13"/>
          <w:footerReference w:type="first" r:id="rId14"/>
          <w:pgSz w:w="11906" w:h="16838"/>
          <w:pgMar w:top="1701" w:right="1134" w:bottom="1134" w:left="1134" w:header="567" w:footer="397" w:gutter="0"/>
          <w:pgNumType w:start="1"/>
          <w:cols w:space="708"/>
          <w:titlePg/>
          <w:docGrid w:linePitch="360"/>
        </w:sectPr>
      </w:pPr>
    </w:p>
    <w:p w14:paraId="46EA9B26" w14:textId="77777777" w:rsidR="005C2B38" w:rsidRPr="00D13AF1" w:rsidRDefault="005C2B38" w:rsidP="005C2B38">
      <w:pPr>
        <w:pStyle w:val="Heading1"/>
        <w:ind w:left="709" w:hanging="714"/>
      </w:pPr>
      <w:bookmarkStart w:id="2" w:name="_Toc499211310"/>
      <w:bookmarkStart w:id="3" w:name="_Toc504484100"/>
      <w:r w:rsidRPr="00D13AF1">
        <w:lastRenderedPageBreak/>
        <w:t>Introduction</w:t>
      </w:r>
      <w:bookmarkEnd w:id="2"/>
      <w:bookmarkEnd w:id="3"/>
    </w:p>
    <w:p w14:paraId="314EC8D0" w14:textId="77777777" w:rsidR="005C2B38" w:rsidRPr="003F01D3" w:rsidRDefault="005C2B38" w:rsidP="003F01D3">
      <w:pPr>
        <w:pStyle w:val="Heading2Pink"/>
        <w:rPr>
          <w:color w:val="683493" w:themeColor="accent1"/>
        </w:rPr>
      </w:pPr>
      <w:bookmarkStart w:id="4" w:name="_Toc499025514"/>
      <w:bookmarkStart w:id="5" w:name="_Toc499211311"/>
      <w:bookmarkStart w:id="6" w:name="_Toc504484101"/>
      <w:r w:rsidRPr="003F01D3">
        <w:rPr>
          <w:color w:val="683493" w:themeColor="accent1"/>
        </w:rPr>
        <w:t>About this study</w:t>
      </w:r>
      <w:bookmarkEnd w:id="4"/>
      <w:bookmarkEnd w:id="5"/>
      <w:bookmarkEnd w:id="6"/>
    </w:p>
    <w:p w14:paraId="367A9C65" w14:textId="718F2997" w:rsidR="005C2B38" w:rsidRPr="00D13AF1" w:rsidRDefault="005C2B38" w:rsidP="005C2B38">
      <w:pPr>
        <w:pStyle w:val="BodyEE"/>
      </w:pPr>
      <w:r w:rsidRPr="00D13AF1">
        <w:t>Europe Economics has been commissioned by the General Medical Council (GMC) to conduct a review of approaches to regulating telemedicine around the world. The objective of this review is to contribute to the development of the GMC's policy in this area. Given the GMC’s role as a regulator of individual healthcare professionals (i.e. doctors) this study focuses on the types of requirements and standards applicable to or having implications for healthcare practitioners</w:t>
      </w:r>
      <w:r w:rsidR="00856DFA" w:rsidRPr="00D13AF1">
        <w:t>,</w:t>
      </w:r>
      <w:r w:rsidRPr="00D13AF1">
        <w:t xml:space="preserve"> rather than</w:t>
      </w:r>
      <w:r w:rsidR="00856DFA" w:rsidRPr="00D13AF1">
        <w:t xml:space="preserve"> </w:t>
      </w:r>
      <w:r w:rsidR="006F7453" w:rsidRPr="00D13AF1">
        <w:t xml:space="preserve">the </w:t>
      </w:r>
      <w:r w:rsidR="00856DFA" w:rsidRPr="00D13AF1">
        <w:t>regulation of</w:t>
      </w:r>
      <w:r w:rsidRPr="00D13AF1">
        <w:t xml:space="preserve"> healthcare providers (e.g. hospitals, surgeries etc.) or healthcare systems as a whole.</w:t>
      </w:r>
      <w:r w:rsidRPr="00D13AF1">
        <w:rPr>
          <w:rStyle w:val="FootnoteReference"/>
        </w:rPr>
        <w:footnoteReference w:id="1"/>
      </w:r>
      <w:r w:rsidRPr="00D13AF1">
        <w:t xml:space="preserve"> </w:t>
      </w:r>
    </w:p>
    <w:p w14:paraId="18CE9773" w14:textId="77777777" w:rsidR="005C2B38" w:rsidRPr="003F01D3" w:rsidRDefault="005C2B38" w:rsidP="003F01D3">
      <w:pPr>
        <w:pStyle w:val="Heading2Pink"/>
        <w:rPr>
          <w:color w:val="683493" w:themeColor="accent1"/>
        </w:rPr>
      </w:pPr>
      <w:bookmarkStart w:id="7" w:name="_Toc499211312"/>
      <w:bookmarkStart w:id="8" w:name="_Toc504484102"/>
      <w:bookmarkStart w:id="9" w:name="_Toc499025515"/>
      <w:r w:rsidRPr="003F01D3">
        <w:rPr>
          <w:color w:val="683493" w:themeColor="accent1"/>
        </w:rPr>
        <w:t>Background</w:t>
      </w:r>
      <w:bookmarkEnd w:id="7"/>
      <w:r w:rsidRPr="003F01D3">
        <w:rPr>
          <w:color w:val="683493" w:themeColor="accent1"/>
        </w:rPr>
        <w:t xml:space="preserve"> </w:t>
      </w:r>
      <w:bookmarkStart w:id="10" w:name="_Toc499211313"/>
      <w:r w:rsidRPr="003F01D3">
        <w:rPr>
          <w:color w:val="683493" w:themeColor="accent1"/>
        </w:rPr>
        <w:t>to telemedicine and this study</w:t>
      </w:r>
      <w:bookmarkEnd w:id="8"/>
      <w:bookmarkEnd w:id="10"/>
      <w:r w:rsidRPr="003F01D3">
        <w:rPr>
          <w:color w:val="683493" w:themeColor="accent1"/>
        </w:rPr>
        <w:t xml:space="preserve"> </w:t>
      </w:r>
    </w:p>
    <w:p w14:paraId="4894D890" w14:textId="676C5995" w:rsidR="005C2B38" w:rsidRPr="00D13AF1" w:rsidRDefault="005C2B38" w:rsidP="005C2B38">
      <w:pPr>
        <w:pStyle w:val="BodyEE"/>
      </w:pPr>
      <w:r w:rsidRPr="00D13AF1">
        <w:t xml:space="preserve">Treating a patient remotely has varying names such as telemedicine, telehealth, and e-health. The definition for this type of service varies around the world but most commonly it involves a medical service </w:t>
      </w:r>
      <w:r w:rsidR="00806A55">
        <w:t>provided remotely</w:t>
      </w:r>
      <w:r w:rsidRPr="00D13AF1">
        <w:t xml:space="preserve">. The use of telemedicine is made </w:t>
      </w:r>
      <w:r w:rsidR="006F7453" w:rsidRPr="00D13AF1">
        <w:t xml:space="preserve">increasingly </w:t>
      </w:r>
      <w:r w:rsidRPr="00D13AF1">
        <w:t xml:space="preserve">possible by modern information and communication technology (ICT), allowing healthcare professionals to communicate with patients and each other </w:t>
      </w:r>
      <w:r w:rsidR="006843AB">
        <w:t>at a</w:t>
      </w:r>
      <w:r w:rsidR="00806A55">
        <w:t xml:space="preserve"> distance</w:t>
      </w:r>
      <w:r w:rsidRPr="00D13AF1">
        <w:t>.</w:t>
      </w:r>
    </w:p>
    <w:p w14:paraId="1144F896" w14:textId="3EDF3694" w:rsidR="005C2B38" w:rsidRPr="00D13AF1" w:rsidRDefault="005C2B38" w:rsidP="005C2B38">
      <w:pPr>
        <w:pStyle w:val="BodyEE"/>
      </w:pPr>
      <w:r w:rsidRPr="00D13AF1">
        <w:t>Patients are already utilizing user</w:t>
      </w:r>
      <w:r w:rsidR="006F7453" w:rsidRPr="00D13AF1">
        <w:t>-</w:t>
      </w:r>
      <w:r w:rsidRPr="00D13AF1">
        <w:t xml:space="preserve">friendly medical devices themselves </w:t>
      </w:r>
      <w:r w:rsidR="006F7453" w:rsidRPr="00D13AF1">
        <w:t xml:space="preserve">to </w:t>
      </w:r>
      <w:r w:rsidRPr="00D13AF1">
        <w:t>measure their blood pressure and other vital signs which are then sent to their doctors.</w:t>
      </w:r>
      <w:r w:rsidRPr="00D13AF1">
        <w:rPr>
          <w:rStyle w:val="FootnoteReference"/>
        </w:rPr>
        <w:footnoteReference w:id="2"/>
      </w:r>
      <w:r w:rsidRPr="00D13AF1">
        <w:t xml:space="preserve"> Telemedicine could also utilize high definition video and sound recordings which allow doctors to zoom in and read the small print on IV bags or listen to a stethoscope being used by another doctor.</w:t>
      </w:r>
      <w:r w:rsidRPr="00D13AF1">
        <w:rPr>
          <w:rStyle w:val="FootnoteReference"/>
        </w:rPr>
        <w:footnoteReference w:id="3"/>
      </w:r>
      <w:r w:rsidRPr="00D13AF1">
        <w:t xml:space="preserve"> In the future, increased capabilities of internet speed, progress in the area of artificial intelligence and devices such as smartphones</w:t>
      </w:r>
      <w:r w:rsidR="008874A5">
        <w:t>,</w:t>
      </w:r>
      <w:r w:rsidRPr="00D13AF1">
        <w:t xml:space="preserve"> but also wearable technology</w:t>
      </w:r>
      <w:r w:rsidR="008874A5">
        <w:t>,</w:t>
      </w:r>
      <w:r w:rsidRPr="00D13AF1">
        <w:t xml:space="preserve"> are likely to promote the growth of telemedicine further.</w:t>
      </w:r>
      <w:r w:rsidRPr="00D13AF1">
        <w:rPr>
          <w:rStyle w:val="FootnoteReference"/>
        </w:rPr>
        <w:footnoteReference w:id="4"/>
      </w:r>
      <w:r w:rsidRPr="00D13AF1">
        <w:t xml:space="preserve"> </w:t>
      </w:r>
    </w:p>
    <w:p w14:paraId="1E015807" w14:textId="77777777" w:rsidR="005C2B38" w:rsidRPr="00D13AF1" w:rsidRDefault="005C2B38" w:rsidP="005C2B38">
      <w:pPr>
        <w:pStyle w:val="Heading3"/>
      </w:pPr>
      <w:r w:rsidRPr="00D13AF1">
        <w:t xml:space="preserve">The role of telemedicine </w:t>
      </w:r>
    </w:p>
    <w:p w14:paraId="349ACD99" w14:textId="574EDAE2" w:rsidR="005C2B38" w:rsidRPr="00D13AF1" w:rsidRDefault="005C2B38" w:rsidP="005C2B38">
      <w:pPr>
        <w:pStyle w:val="BodyEE"/>
      </w:pPr>
      <w:r w:rsidRPr="00D13AF1">
        <w:t>Telemedicine can offer a streamlined service for both healthcare providers and patients, reducing the time needed for a consultation. Telemedicine might play a particularly important role in cases where there is no need for the patient to physically see the doctor</w:t>
      </w:r>
      <w:r w:rsidR="00CB0863">
        <w:t xml:space="preserve"> (or other medical professional)</w:t>
      </w:r>
      <w:r w:rsidRPr="00D13AF1">
        <w:t>, e.g. for regular, routine check-ups or continuous monitoring.</w:t>
      </w:r>
      <w:r w:rsidRPr="00D13AF1">
        <w:rPr>
          <w:rStyle w:val="FootnoteReference"/>
        </w:rPr>
        <w:footnoteReference w:id="5"/>
      </w:r>
      <w:r w:rsidRPr="00D13AF1">
        <w:t xml:space="preserve"> When used in the right circumstances most patients do not see any difference in the quality care provided via telemedicine.</w:t>
      </w:r>
      <w:r w:rsidRPr="00D13AF1">
        <w:rPr>
          <w:rStyle w:val="FootnoteReference"/>
        </w:rPr>
        <w:footnoteReference w:id="6"/>
      </w:r>
      <w:r w:rsidRPr="00D13AF1">
        <w:t xml:space="preserve"> </w:t>
      </w:r>
    </w:p>
    <w:p w14:paraId="31CE443E" w14:textId="46F8C350" w:rsidR="005C2B38" w:rsidRPr="00D13AF1" w:rsidRDefault="00E73E70" w:rsidP="005C2B38">
      <w:pPr>
        <w:pStyle w:val="BodyEE"/>
      </w:pPr>
      <w:r>
        <w:t>Telemedicine can</w:t>
      </w:r>
      <w:r w:rsidR="005C2B38" w:rsidRPr="00D13AF1">
        <w:t xml:space="preserve"> also be used to increase access to healthcare in remote areas or areas with a shortage of healthcare providers (e.g. sub-Saharan Africa</w:t>
      </w:r>
      <w:r>
        <w:t xml:space="preserve"> or Canada</w:t>
      </w:r>
      <w:r w:rsidR="005C2B38" w:rsidRPr="00D13AF1">
        <w:t>).</w:t>
      </w:r>
      <w:r w:rsidR="005C2B38" w:rsidRPr="00D13AF1">
        <w:rPr>
          <w:rStyle w:val="FootnoteReference"/>
        </w:rPr>
        <w:footnoteReference w:id="7"/>
      </w:r>
      <w:r w:rsidR="005C2B38" w:rsidRPr="00D13AF1">
        <w:t xml:space="preserve"> This application could cover both basic healthcare and niche or specialised services which are not readily available near the patient’s location. In the latter case, </w:t>
      </w:r>
      <w:r w:rsidR="005C2B38" w:rsidRPr="00D13AF1">
        <w:lastRenderedPageBreak/>
        <w:t>patients might interact directly with telemedicine practitioners, or nurses and practitioners located where the patient is located could consult a remote specialist to make a diagnosis or determine the treatment that the patient needs.</w:t>
      </w:r>
      <w:r w:rsidR="005C2B38" w:rsidRPr="00D13AF1">
        <w:rPr>
          <w:rStyle w:val="FootnoteReference"/>
        </w:rPr>
        <w:footnoteReference w:id="8"/>
      </w:r>
      <w:r w:rsidR="005C2B38" w:rsidRPr="00D13AF1">
        <w:t xml:space="preserve"> </w:t>
      </w:r>
    </w:p>
    <w:p w14:paraId="511CDA4F" w14:textId="77777777" w:rsidR="005C2B38" w:rsidRPr="00D13AF1" w:rsidRDefault="005C2B38" w:rsidP="005C2B38">
      <w:pPr>
        <w:pStyle w:val="Heading3"/>
      </w:pPr>
      <w:r w:rsidRPr="00D13AF1">
        <w:t>Telemedicine in the UK and beyond</w:t>
      </w:r>
    </w:p>
    <w:p w14:paraId="5AEFF618" w14:textId="5069B206" w:rsidR="005C2B38" w:rsidRDefault="005C2B38" w:rsidP="005C2B38">
      <w:pPr>
        <w:pStyle w:val="BodyEE"/>
      </w:pPr>
      <w:r w:rsidRPr="00D13AF1">
        <w:t xml:space="preserve">Telemedicine has become increasingly important in the United Kingdom. Patients can </w:t>
      </w:r>
      <w:r w:rsidR="00E73E70">
        <w:t xml:space="preserve">now </w:t>
      </w:r>
      <w:r w:rsidRPr="00D13AF1">
        <w:t>consult with a general practitioner using a</w:t>
      </w:r>
      <w:r w:rsidR="00FC318C">
        <w:t>n app that allows them to video-</w:t>
      </w:r>
      <w:r w:rsidRPr="00D13AF1">
        <w:t>call the doctor. Through the app the general practitioner can assess the symptoms and even write a prescription.</w:t>
      </w:r>
      <w:r w:rsidRPr="00D13AF1">
        <w:rPr>
          <w:rStyle w:val="FootnoteReference"/>
        </w:rPr>
        <w:footnoteReference w:id="9"/>
      </w:r>
      <w:r w:rsidRPr="00D13AF1">
        <w:t xml:space="preserve"> The same idea is being applied to </w:t>
      </w:r>
      <w:r w:rsidR="004D5388">
        <w:t xml:space="preserve">remote and rural areas, such as Scottish islands, where a GP residing on one island consults a patient </w:t>
      </w:r>
      <w:r w:rsidR="00D24915">
        <w:t>in</w:t>
      </w:r>
      <w:r w:rsidR="004D5388">
        <w:t xml:space="preserve"> another island, with the help of a local nurse on the patient’s side.</w:t>
      </w:r>
      <w:r w:rsidR="004D5388">
        <w:rPr>
          <w:rStyle w:val="FootnoteReference"/>
        </w:rPr>
        <w:footnoteReference w:id="10"/>
      </w:r>
      <w:r w:rsidR="004D5388">
        <w:t xml:space="preserve"> The GP then might prescribe a medication for </w:t>
      </w:r>
      <w:r w:rsidR="00D24915">
        <w:t xml:space="preserve">an </w:t>
      </w:r>
      <w:r w:rsidR="004D5388">
        <w:t>obvious acute condition</w:t>
      </w:r>
      <w:r w:rsidR="00D24915">
        <w:t>,</w:t>
      </w:r>
      <w:r w:rsidR="004D5388">
        <w:t xml:space="preserve"> or send the patient </w:t>
      </w:r>
      <w:r w:rsidR="00D24915">
        <w:t xml:space="preserve">to the hospital </w:t>
      </w:r>
      <w:r w:rsidR="004D5388">
        <w:t xml:space="preserve">for further examination. Similarly, </w:t>
      </w:r>
      <w:r w:rsidRPr="00D13AF1">
        <w:t xml:space="preserve">general practitioners can consult elderly patients </w:t>
      </w:r>
      <w:r w:rsidR="004D5388">
        <w:t xml:space="preserve">in </w:t>
      </w:r>
      <w:r w:rsidR="004D5388" w:rsidRPr="00D13AF1">
        <w:t xml:space="preserve">nursing homes </w:t>
      </w:r>
      <w:r w:rsidRPr="00D13AF1">
        <w:t>through video calling, and determine whether an in-person examination is necessary.</w:t>
      </w:r>
      <w:r w:rsidRPr="00D13AF1">
        <w:rPr>
          <w:rStyle w:val="FootnoteReference"/>
        </w:rPr>
        <w:footnoteReference w:id="11"/>
      </w:r>
      <w:r w:rsidRPr="00D13AF1">
        <w:t xml:space="preserve"> Emergency services are also experimenting with the use of telemedicine giving patients the option to video call a health professional. This might be particularly useful when the wait times for an ambulance are longer and telemedicine could either provide medical care immediately or quickly deal with cases where people do not actually require urgent help.</w:t>
      </w:r>
      <w:r w:rsidRPr="00D13AF1">
        <w:rPr>
          <w:rStyle w:val="FootnoteReference"/>
        </w:rPr>
        <w:footnoteReference w:id="12"/>
      </w:r>
      <w:r w:rsidRPr="00D13AF1">
        <w:t xml:space="preserve"> </w:t>
      </w:r>
      <w:r w:rsidR="006802A8">
        <w:t xml:space="preserve">Remote diagnostics is another example of telemedicine, whereby test results </w:t>
      </w:r>
      <w:r w:rsidR="00373B63">
        <w:t xml:space="preserve">can be </w:t>
      </w:r>
      <w:r w:rsidR="006802A8">
        <w:t xml:space="preserve">sent to diagnostic labs in other </w:t>
      </w:r>
      <w:r w:rsidR="00373B63">
        <w:t>jurisdictions</w:t>
      </w:r>
      <w:r w:rsidR="006802A8">
        <w:t>. The UK also markets itself as a destination for remote diagnostics.</w:t>
      </w:r>
      <w:r w:rsidR="006802A8">
        <w:rPr>
          <w:rStyle w:val="FootnoteReference"/>
        </w:rPr>
        <w:footnoteReference w:id="13"/>
      </w:r>
      <w:r w:rsidR="006802A8">
        <w:t xml:space="preserve"> </w:t>
      </w:r>
    </w:p>
    <w:p w14:paraId="0B01160B" w14:textId="6355F6D8" w:rsidR="00732E97" w:rsidRPr="00D13AF1" w:rsidRDefault="00732E97" w:rsidP="005C2B38">
      <w:pPr>
        <w:pStyle w:val="BodyEE"/>
      </w:pPr>
      <w:r>
        <w:t xml:space="preserve">Another example </w:t>
      </w:r>
      <w:r w:rsidR="00FC318C">
        <w:t>is the use of</w:t>
      </w:r>
      <w:r>
        <w:t xml:space="preserve"> telemedicine or broader telehealth services in social care homes. An established secure video link between a care home and a healthcare provider provides direct access to medical advice for care home staff and residents. The technology is</w:t>
      </w:r>
      <w:r w:rsidR="00430275">
        <w:t xml:space="preserve"> being</w:t>
      </w:r>
      <w:r>
        <w:t xml:space="preserve"> pilot</w:t>
      </w:r>
      <w:r w:rsidR="00430275">
        <w:t>ed</w:t>
      </w:r>
      <w:r>
        <w:t xml:space="preserve"> in </w:t>
      </w:r>
      <w:r w:rsidRPr="00732E97">
        <w:t xml:space="preserve">nursing homes in Bradford, Airedale where 217 homes already have the necessary equipment and links with selected local hospitals, </w:t>
      </w:r>
      <w:r w:rsidRPr="007B3CDA">
        <w:t>clinical commissioning groups, community healthcare providers, and numerous GP practices.</w:t>
      </w:r>
      <w:r w:rsidR="002F0379">
        <w:rPr>
          <w:rStyle w:val="FootnoteReference"/>
        </w:rPr>
        <w:footnoteReference w:id="14"/>
      </w:r>
    </w:p>
    <w:p w14:paraId="42C0D80D" w14:textId="199F91E7" w:rsidR="005C2B38" w:rsidRPr="00D13AF1" w:rsidRDefault="005C2B38" w:rsidP="005C2B38">
      <w:pPr>
        <w:pStyle w:val="BodyEE"/>
      </w:pPr>
      <w:r w:rsidRPr="00D13AF1">
        <w:t>Telemedicine has also become an important form of healthcare around the world. For example, in Denmark</w:t>
      </w:r>
      <w:r w:rsidR="006F7453" w:rsidRPr="00D13AF1">
        <w:t>,</w:t>
      </w:r>
      <w:r w:rsidRPr="00D13AF1">
        <w:t xml:space="preserve"> telemedicine is specifically targeting patients with Chronic Obstructive Pulmonary Disease (COPD) who tend to have frequent visits to a clinic.</w:t>
      </w:r>
      <w:r w:rsidRPr="00D13AF1">
        <w:rPr>
          <w:rStyle w:val="FootnoteReference"/>
        </w:rPr>
        <w:footnoteReference w:id="15"/>
      </w:r>
      <w:r w:rsidRPr="00D13AF1">
        <w:t xml:space="preserve"> In Singapore telemedicine is used to help patients with physical therapy — as long as elderly patients are capable of using an electronic tablet, the instructions for the exercise are given on the tablet and their progress is recorded.</w:t>
      </w:r>
      <w:r w:rsidRPr="00D13AF1">
        <w:rPr>
          <w:rStyle w:val="FootnoteReference"/>
        </w:rPr>
        <w:footnoteReference w:id="16"/>
      </w:r>
      <w:r w:rsidRPr="00D13AF1">
        <w:t xml:space="preserve"> France and the United States made a breakthrough </w:t>
      </w:r>
      <w:r w:rsidR="006F7453" w:rsidRPr="00D13AF1">
        <w:t xml:space="preserve">in </w:t>
      </w:r>
      <w:r w:rsidRPr="00D13AF1">
        <w:t xml:space="preserve">telehealth in 2001 with </w:t>
      </w:r>
      <w:r w:rsidR="006F7453" w:rsidRPr="00D13AF1">
        <w:t xml:space="preserve">the </w:t>
      </w:r>
      <w:r w:rsidRPr="00D13AF1">
        <w:t xml:space="preserve">success of the </w:t>
      </w:r>
      <w:r w:rsidR="006F7453" w:rsidRPr="00D13AF1">
        <w:t>‘</w:t>
      </w:r>
      <w:r w:rsidRPr="00D13AF1">
        <w:t>Lindbergh Operation</w:t>
      </w:r>
      <w:r w:rsidR="006F7453" w:rsidRPr="00D13AF1">
        <w:t>’</w:t>
      </w:r>
      <w:r w:rsidRPr="00D13AF1">
        <w:t xml:space="preserve"> which involved doctors in New York performing surgery on a woman in France </w:t>
      </w:r>
      <w:r w:rsidR="006F7453" w:rsidRPr="00D13AF1">
        <w:t xml:space="preserve">via </w:t>
      </w:r>
      <w:r w:rsidRPr="00D13AF1">
        <w:t xml:space="preserve">a robot. This was made possible using high definition communication equipment and </w:t>
      </w:r>
      <w:r w:rsidR="006F7453" w:rsidRPr="00D13AF1">
        <w:t xml:space="preserve">a </w:t>
      </w:r>
      <w:r w:rsidRPr="00D13AF1">
        <w:t>high speed internet</w:t>
      </w:r>
      <w:r w:rsidR="006F7453" w:rsidRPr="00D13AF1">
        <w:t xml:space="preserve"> connection</w:t>
      </w:r>
      <w:r w:rsidRPr="00D13AF1">
        <w:t>.</w:t>
      </w:r>
      <w:r w:rsidRPr="00D13AF1">
        <w:rPr>
          <w:rStyle w:val="FootnoteReference"/>
        </w:rPr>
        <w:footnoteReference w:id="17"/>
      </w:r>
      <w:r w:rsidRPr="00D13AF1">
        <w:t xml:space="preserve"> Telesurgery (or remote surgery) is not </w:t>
      </w:r>
      <w:r w:rsidR="006F7453" w:rsidRPr="00D13AF1">
        <w:t xml:space="preserve">— </w:t>
      </w:r>
      <w:r w:rsidRPr="00D13AF1">
        <w:t>yet</w:t>
      </w:r>
      <w:r w:rsidR="006F7453" w:rsidRPr="00D13AF1">
        <w:t xml:space="preserve"> —</w:t>
      </w:r>
      <w:r w:rsidRPr="00D13AF1">
        <w:t xml:space="preserve"> widespread but it is gaining attention for its potential for use in locations surgeons cannot readily access (including, for example, military zones).</w:t>
      </w:r>
      <w:r w:rsidRPr="00D13AF1">
        <w:rPr>
          <w:rStyle w:val="FootnoteReference"/>
        </w:rPr>
        <w:footnoteReference w:id="18"/>
      </w:r>
      <w:r w:rsidRPr="00D13AF1">
        <w:t xml:space="preserve"> </w:t>
      </w:r>
    </w:p>
    <w:p w14:paraId="7B2D42AF" w14:textId="77777777" w:rsidR="005C2B38" w:rsidRPr="00D13AF1" w:rsidRDefault="005C2B38" w:rsidP="005C2B38">
      <w:pPr>
        <w:pStyle w:val="Heading3"/>
      </w:pPr>
      <w:r w:rsidRPr="00D13AF1">
        <w:lastRenderedPageBreak/>
        <w:t xml:space="preserve">Potential risks in telemedicine </w:t>
      </w:r>
    </w:p>
    <w:p w14:paraId="096ACE71" w14:textId="77777777" w:rsidR="00B558C3" w:rsidRPr="00D13AF1" w:rsidRDefault="00B558C3" w:rsidP="00B558C3">
      <w:pPr>
        <w:pStyle w:val="BodyEE"/>
      </w:pPr>
      <w:r w:rsidRPr="00D13AF1">
        <w:t>As telemedicine deals with sensitive issues of personal health, and requires the use of sometimes sophisticated equipment, it has associated risks that might adversely affect the patient and the quality of medical service. Among the key concerns are the following:</w:t>
      </w:r>
    </w:p>
    <w:p w14:paraId="617E72FB" w14:textId="0100D865" w:rsidR="00B558C3" w:rsidRPr="00D13AF1" w:rsidRDefault="00B558C3" w:rsidP="00B558C3">
      <w:pPr>
        <w:pStyle w:val="Bulletlevel1"/>
        <w:ind w:left="227" w:hanging="227"/>
      </w:pPr>
      <w:r w:rsidRPr="00D13AF1">
        <w:t xml:space="preserve">verification of </w:t>
      </w:r>
      <w:r w:rsidR="00DA16E5" w:rsidRPr="00D13AF1">
        <w:t xml:space="preserve">the </w:t>
      </w:r>
      <w:r w:rsidRPr="00D13AF1">
        <w:t>patient’s and practitioner’s identities, practitioner’s licen</w:t>
      </w:r>
      <w:r w:rsidR="00C20CF6">
        <w:t>c</w:t>
      </w:r>
      <w:r w:rsidRPr="00D13AF1">
        <w:t>e and patient’s consent;</w:t>
      </w:r>
    </w:p>
    <w:p w14:paraId="4B0DEE49" w14:textId="68834658" w:rsidR="00B558C3" w:rsidRPr="00D13AF1" w:rsidRDefault="00B558C3" w:rsidP="00B558C3">
      <w:pPr>
        <w:pStyle w:val="Bulletlevel1"/>
        <w:ind w:left="227" w:hanging="227"/>
      </w:pPr>
      <w:r w:rsidRPr="00D13AF1">
        <w:t xml:space="preserve">referral policies to/from telemedicine doctor and interaction with other doctors, e.g. </w:t>
      </w:r>
      <w:r w:rsidR="00DA16E5" w:rsidRPr="00D13AF1">
        <w:t xml:space="preserve">the </w:t>
      </w:r>
      <w:r w:rsidRPr="00D13AF1">
        <w:t>patient’s GP;</w:t>
      </w:r>
    </w:p>
    <w:p w14:paraId="707B3DF5" w14:textId="720BFC79" w:rsidR="00B558C3" w:rsidRPr="00D13AF1" w:rsidRDefault="00B558C3" w:rsidP="00B558C3">
      <w:pPr>
        <w:pStyle w:val="Bulletlevel1"/>
        <w:ind w:left="227" w:hanging="227"/>
      </w:pPr>
      <w:r w:rsidRPr="00D13AF1">
        <w:t>privacy, confidentiality and security of personal data and medical records;</w:t>
      </w:r>
    </w:p>
    <w:p w14:paraId="4304DF3B" w14:textId="20F53FD6" w:rsidR="00B558C3" w:rsidRPr="00D13AF1" w:rsidRDefault="00B558C3" w:rsidP="00B558C3">
      <w:pPr>
        <w:pStyle w:val="Bulletlevel1"/>
        <w:ind w:left="227" w:hanging="227"/>
      </w:pPr>
      <w:r w:rsidRPr="00D13AF1">
        <w:t xml:space="preserve">reliability of ICT equipment including network reliability and </w:t>
      </w:r>
      <w:r w:rsidR="00DA16E5" w:rsidRPr="00D13AF1">
        <w:t xml:space="preserve">image </w:t>
      </w:r>
      <w:r w:rsidRPr="00D13AF1">
        <w:t>quality;</w:t>
      </w:r>
    </w:p>
    <w:p w14:paraId="2CF4C4C2" w14:textId="796F9FD3" w:rsidR="00B558C3" w:rsidRPr="00D13AF1" w:rsidRDefault="00B558C3" w:rsidP="00B558C3">
      <w:pPr>
        <w:pStyle w:val="Bulletlevel1"/>
        <w:ind w:left="227" w:hanging="227"/>
      </w:pPr>
      <w:r w:rsidRPr="00D13AF1">
        <w:t>incorrect diagnosis or treatment, e.g. due to non-physical examination or low-quality images;</w:t>
      </w:r>
      <w:r w:rsidR="00DA16E5" w:rsidRPr="00D13AF1">
        <w:t xml:space="preserve"> and</w:t>
      </w:r>
    </w:p>
    <w:p w14:paraId="452D16A6" w14:textId="143DB305" w:rsidR="00B558C3" w:rsidRPr="00D13AF1" w:rsidRDefault="00B558C3" w:rsidP="00B558C3">
      <w:pPr>
        <w:pStyle w:val="Bulletlevel1"/>
        <w:ind w:left="227" w:hanging="227"/>
      </w:pPr>
      <w:r w:rsidRPr="00D13AF1">
        <w:t xml:space="preserve">remote prescription of drugs without </w:t>
      </w:r>
      <w:r w:rsidR="00DA16E5" w:rsidRPr="00D13AF1">
        <w:t xml:space="preserve">either </w:t>
      </w:r>
      <w:r w:rsidRPr="00D13AF1">
        <w:t xml:space="preserve">proper examination or access to </w:t>
      </w:r>
      <w:r w:rsidR="008874A5">
        <w:t xml:space="preserve">the </w:t>
      </w:r>
      <w:r w:rsidRPr="00D13AF1">
        <w:t>patient’s medical history.</w:t>
      </w:r>
    </w:p>
    <w:p w14:paraId="0BDF1D38" w14:textId="5978B096" w:rsidR="005C2B38" w:rsidRPr="00D13AF1" w:rsidRDefault="001134AA" w:rsidP="005C2B38">
      <w:pPr>
        <w:pStyle w:val="BodyEE"/>
      </w:pPr>
      <w:r w:rsidRPr="00D13AF1">
        <w:t xml:space="preserve">This research </w:t>
      </w:r>
      <w:r w:rsidR="00856DFA" w:rsidRPr="00D13AF1">
        <w:t>aims</w:t>
      </w:r>
      <w:r w:rsidRPr="00D13AF1">
        <w:t xml:space="preserve"> to explore h</w:t>
      </w:r>
      <w:r w:rsidR="00856DFA" w:rsidRPr="00D13AF1">
        <w:t>ow other regulators seek to mitigate the</w:t>
      </w:r>
      <w:r w:rsidRPr="00D13AF1">
        <w:t xml:space="preserve">se risks in </w:t>
      </w:r>
      <w:r w:rsidR="00BA39B5" w:rsidRPr="00D13AF1">
        <w:t>practice and</w:t>
      </w:r>
      <w:r w:rsidR="00EE6098">
        <w:t xml:space="preserve"> therefore </w:t>
      </w:r>
      <w:r w:rsidRPr="00D13AF1">
        <w:t xml:space="preserve">inform </w:t>
      </w:r>
      <w:r w:rsidR="005C2B38" w:rsidRPr="00D13AF1">
        <w:t xml:space="preserve">the </w:t>
      </w:r>
      <w:r w:rsidRPr="00D13AF1">
        <w:t xml:space="preserve">development of the </w:t>
      </w:r>
      <w:r w:rsidR="005C2B38" w:rsidRPr="00D13AF1">
        <w:t>GMC</w:t>
      </w:r>
      <w:r w:rsidRPr="00D13AF1">
        <w:t>’s</w:t>
      </w:r>
      <w:r w:rsidR="005C2B38" w:rsidRPr="00D13AF1">
        <w:t xml:space="preserve"> regu</w:t>
      </w:r>
      <w:r w:rsidRPr="00D13AF1">
        <w:t>latory approach to telemedicine.</w:t>
      </w:r>
      <w:r w:rsidR="005C2B38" w:rsidRPr="00D13AF1">
        <w:t xml:space="preserve"> </w:t>
      </w:r>
    </w:p>
    <w:p w14:paraId="314F0F15" w14:textId="77777777" w:rsidR="00156192" w:rsidRPr="003F01D3" w:rsidRDefault="00156192" w:rsidP="003F01D3">
      <w:pPr>
        <w:pStyle w:val="Heading2Pink"/>
        <w:rPr>
          <w:color w:val="683493" w:themeColor="accent1"/>
        </w:rPr>
      </w:pPr>
      <w:bookmarkStart w:id="11" w:name="_Ref499292420"/>
      <w:bookmarkStart w:id="12" w:name="_Toc504484103"/>
      <w:r w:rsidRPr="003F01D3">
        <w:rPr>
          <w:color w:val="683493" w:themeColor="accent1"/>
        </w:rPr>
        <w:t>Research questions</w:t>
      </w:r>
      <w:bookmarkEnd w:id="11"/>
      <w:bookmarkEnd w:id="12"/>
    </w:p>
    <w:p w14:paraId="410267C1" w14:textId="77777777" w:rsidR="00156192" w:rsidRPr="00D13AF1" w:rsidRDefault="00156192" w:rsidP="00B516CA">
      <w:pPr>
        <w:pStyle w:val="BodyEE"/>
        <w:keepNext/>
      </w:pPr>
      <w:r w:rsidRPr="00D13AF1">
        <w:t xml:space="preserve">The key research questions we focus on in this report are: </w:t>
      </w:r>
    </w:p>
    <w:p w14:paraId="145329C3" w14:textId="222FC8A7" w:rsidR="00156192" w:rsidRPr="00D13AF1" w:rsidRDefault="00156192" w:rsidP="00156192">
      <w:pPr>
        <w:pStyle w:val="Bulletlevel1"/>
      </w:pPr>
      <w:r w:rsidRPr="00D13AF1">
        <w:t>frameworks for telemedicine regulation, i.e. who regulates telemedicine, how binding the regulation is,</w:t>
      </w:r>
      <w:r w:rsidR="00856DFA" w:rsidRPr="00D13AF1">
        <w:t xml:space="preserve"> and what role the</w:t>
      </w:r>
      <w:r w:rsidRPr="00D13AF1">
        <w:t>se regulators play in a wide regulatory context;</w:t>
      </w:r>
    </w:p>
    <w:p w14:paraId="5575DEBA" w14:textId="77777777" w:rsidR="00156192" w:rsidRPr="00D13AF1" w:rsidRDefault="00156192" w:rsidP="00156192">
      <w:pPr>
        <w:pStyle w:val="Bulletlevel1"/>
      </w:pPr>
      <w:r w:rsidRPr="00D13AF1">
        <w:t>the definition of telemedicine;</w:t>
      </w:r>
    </w:p>
    <w:p w14:paraId="25EE6AF3" w14:textId="77777777" w:rsidR="00156192" w:rsidRPr="00D13AF1" w:rsidRDefault="00156192" w:rsidP="00156192">
      <w:pPr>
        <w:pStyle w:val="Bulletlevel1"/>
      </w:pPr>
      <w:r w:rsidRPr="00D13AF1">
        <w:t>regulation applicable to individual doctors who provide telemedicine services, including the locus of responsibility and issues associated with compliance;</w:t>
      </w:r>
    </w:p>
    <w:p w14:paraId="4689BCE6" w14:textId="77777777" w:rsidR="00156192" w:rsidRPr="00D13AF1" w:rsidRDefault="00156192" w:rsidP="00156192">
      <w:pPr>
        <w:pStyle w:val="Bulletlevel1"/>
      </w:pPr>
      <w:r w:rsidRPr="00D13AF1">
        <w:t>issues associated with telemedicine being provided across jurisdictions.</w:t>
      </w:r>
    </w:p>
    <w:p w14:paraId="081AB498" w14:textId="3BA6783F" w:rsidR="00156192" w:rsidRPr="00D13AF1" w:rsidRDefault="00156192" w:rsidP="005C2B38">
      <w:pPr>
        <w:pStyle w:val="BodyEE"/>
      </w:pPr>
      <w:r w:rsidRPr="00D13AF1">
        <w:t xml:space="preserve">The first two points — i.e. </w:t>
      </w:r>
      <w:r w:rsidR="00DA16E5" w:rsidRPr="00D13AF1">
        <w:t xml:space="preserve">the </w:t>
      </w:r>
      <w:r w:rsidRPr="00D13AF1">
        <w:t xml:space="preserve">regulatory framework and definition of telemedicine — provide an important background </w:t>
      </w:r>
      <w:r w:rsidR="00DA16E5" w:rsidRPr="00D13AF1">
        <w:t xml:space="preserve">that is </w:t>
      </w:r>
      <w:r w:rsidRPr="00D13AF1">
        <w:t>necessary to interpret the findings on regulating individual doctors. For example, we might expect different approaches to regulation depending on the key functions of a regulator, and the overlaps and interactions between its policies and other regulations relevant for telemedicine. With that background, we can then analyse the issues which are of core interest to the GMC as a regulator of doctors, i.e. the requirements imposed on doctors who are within the regulator’s mandate, and ways of addressing issues arising in relation to doctors (and other involved parties) who are not directly within that mandate.</w:t>
      </w:r>
    </w:p>
    <w:p w14:paraId="097099EE" w14:textId="77777777" w:rsidR="005C2B38" w:rsidRPr="003F01D3" w:rsidRDefault="005C2B38" w:rsidP="003F01D3">
      <w:pPr>
        <w:pStyle w:val="Heading2Pink"/>
        <w:rPr>
          <w:color w:val="683493" w:themeColor="accent1"/>
        </w:rPr>
      </w:pPr>
      <w:bookmarkStart w:id="13" w:name="_Toc499211314"/>
      <w:bookmarkStart w:id="14" w:name="_Toc504484104"/>
      <w:r w:rsidRPr="003F01D3">
        <w:rPr>
          <w:color w:val="683493" w:themeColor="accent1"/>
        </w:rPr>
        <w:t>Approach</w:t>
      </w:r>
      <w:bookmarkEnd w:id="9"/>
      <w:r w:rsidRPr="003F01D3">
        <w:rPr>
          <w:color w:val="683493" w:themeColor="accent1"/>
        </w:rPr>
        <w:t xml:space="preserve"> to the research</w:t>
      </w:r>
      <w:bookmarkEnd w:id="13"/>
      <w:bookmarkEnd w:id="14"/>
    </w:p>
    <w:p w14:paraId="3FCDF5DC" w14:textId="7B9EBF98" w:rsidR="005C2B38" w:rsidRPr="00D13AF1" w:rsidRDefault="005C2B38" w:rsidP="005C2B38">
      <w:pPr>
        <w:pStyle w:val="BodyEE"/>
      </w:pPr>
      <w:r w:rsidRPr="00D13AF1">
        <w:t>We adopted a multi-strand approach to ensure both breadth and depth to our research</w:t>
      </w:r>
      <w:r w:rsidR="00DA16E5" w:rsidRPr="00D13AF1">
        <w:t>:</w:t>
      </w:r>
      <w:r w:rsidRPr="00D13AF1">
        <w:t xml:space="preserve"> initial desk research and an online survey allowed us to obtain high-level information for a wide range of regulators, while telephone interviews and subsequent in-depth desk research provided us with more nuanced insights and understanding. Our research focused predominantly on organisations whose function is to develop regulations and/or provide standards for individual practitioners rather than those regulating healthcare providers or healthcare systems.</w:t>
      </w:r>
    </w:p>
    <w:p w14:paraId="5B5DCDD0" w14:textId="06598E4A" w:rsidR="005C2B38" w:rsidRPr="00D13AF1" w:rsidRDefault="005C2B38" w:rsidP="005C2B38">
      <w:pPr>
        <w:pStyle w:val="Caption"/>
      </w:pPr>
      <w:r w:rsidRPr="00D13AF1">
        <w:lastRenderedPageBreak/>
        <w:t xml:space="preserve">Figure </w:t>
      </w:r>
      <w:r w:rsidR="00000000">
        <w:fldChar w:fldCharType="begin"/>
      </w:r>
      <w:r w:rsidR="00000000">
        <w:instrText xml:space="preserve"> STYLEREF 1 \s </w:instrText>
      </w:r>
      <w:r w:rsidR="00000000">
        <w:fldChar w:fldCharType="separate"/>
      </w:r>
      <w:r w:rsidR="00B51130">
        <w:rPr>
          <w:noProof/>
        </w:rPr>
        <w:t>1</w:t>
      </w:r>
      <w:r w:rsidR="00000000">
        <w:rPr>
          <w:noProof/>
        </w:rPr>
        <w:fldChar w:fldCharType="end"/>
      </w:r>
      <w:r w:rsidR="00D0462D">
        <w:t>.</w:t>
      </w:r>
      <w:r w:rsidR="00000000">
        <w:fldChar w:fldCharType="begin"/>
      </w:r>
      <w:r w:rsidR="00000000">
        <w:instrText xml:space="preserve"> SEQ Figure \* ARABIC \s 1 </w:instrText>
      </w:r>
      <w:r w:rsidR="00000000">
        <w:fldChar w:fldCharType="separate"/>
      </w:r>
      <w:r w:rsidR="00B51130">
        <w:rPr>
          <w:noProof/>
        </w:rPr>
        <w:t>1</w:t>
      </w:r>
      <w:r w:rsidR="00000000">
        <w:rPr>
          <w:noProof/>
        </w:rPr>
        <w:fldChar w:fldCharType="end"/>
      </w:r>
      <w:r w:rsidRPr="00D13AF1">
        <w:t>: Approach overview</w:t>
      </w:r>
    </w:p>
    <w:p w14:paraId="38AD9D0C" w14:textId="77777777" w:rsidR="005C2B38" w:rsidRPr="00D13AF1" w:rsidRDefault="005C2B38" w:rsidP="005C2B38">
      <w:pPr>
        <w:pStyle w:val="BodyEE"/>
      </w:pPr>
      <w:r w:rsidRPr="00D13AF1">
        <w:rPr>
          <w:noProof/>
          <w:lang w:eastAsia="en-GB"/>
        </w:rPr>
        <w:drawing>
          <wp:inline distT="0" distB="0" distL="0" distR="0" wp14:anchorId="1B56AC65" wp14:editId="5CB3898B">
            <wp:extent cx="4724400" cy="3629025"/>
            <wp:effectExtent l="0" t="0" r="0" b="952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7F402FBC" w14:textId="5A7FD35F" w:rsidR="00AD690E" w:rsidRPr="00D13AF1" w:rsidRDefault="00AD690E" w:rsidP="00AD690E">
      <w:pPr>
        <w:pStyle w:val="Tablelastnote"/>
      </w:pPr>
      <w:r w:rsidRPr="00D13AF1">
        <w:t>Source: Europe Economics</w:t>
      </w:r>
      <w:r w:rsidR="00DA16E5" w:rsidRPr="00D13AF1">
        <w:t>.</w:t>
      </w:r>
    </w:p>
    <w:p w14:paraId="776EB231" w14:textId="77777777" w:rsidR="005C2B38" w:rsidRPr="00D13AF1" w:rsidRDefault="005C2B38" w:rsidP="005C2B38">
      <w:pPr>
        <w:pStyle w:val="Heading3"/>
      </w:pPr>
      <w:r w:rsidRPr="00D13AF1">
        <w:t>Desk research</w:t>
      </w:r>
    </w:p>
    <w:p w14:paraId="6CB70406" w14:textId="5358113A" w:rsidR="005C2B38" w:rsidRPr="00D13AF1" w:rsidRDefault="005C2B38" w:rsidP="005C2B38">
      <w:pPr>
        <w:pStyle w:val="BodyEE"/>
      </w:pPr>
      <w:r w:rsidRPr="00D13AF1">
        <w:t xml:space="preserve">Desk research was our primary source of information throughout this project. Initially, it was used to identify countries where telemedicine is more prominent, and then — within those countries — </w:t>
      </w:r>
      <w:r w:rsidR="008A4C0B" w:rsidRPr="00D13AF1">
        <w:t xml:space="preserve">the </w:t>
      </w:r>
      <w:r w:rsidRPr="00D13AF1">
        <w:t xml:space="preserve">regulators and organisations </w:t>
      </w:r>
      <w:r w:rsidR="008A4C0B" w:rsidRPr="00D13AF1">
        <w:t xml:space="preserve">that </w:t>
      </w:r>
      <w:r w:rsidRPr="00D13AF1">
        <w:t xml:space="preserve">are relevant for regulating healthcare practitioners. Countries and regulators </w:t>
      </w:r>
      <w:r w:rsidR="008A4C0B" w:rsidRPr="00D13AF1">
        <w:t>that</w:t>
      </w:r>
      <w:r w:rsidRPr="00D13AF1">
        <w:t xml:space="preserve"> did not appear to have any telemedicine policies or standards in place were excluded from a</w:t>
      </w:r>
      <w:r w:rsidR="00C77B38" w:rsidRPr="00D13AF1">
        <w:t xml:space="preserve">ny further desk research after </w:t>
      </w:r>
      <w:r w:rsidR="00811D13" w:rsidRPr="00D13AF1">
        <w:t>this</w:t>
      </w:r>
      <w:r w:rsidR="00C77B38" w:rsidRPr="00D13AF1">
        <w:t xml:space="preserve"> </w:t>
      </w:r>
      <w:r w:rsidRPr="00D13AF1">
        <w:t>initial review</w:t>
      </w:r>
      <w:r w:rsidR="000C1D72" w:rsidRPr="00D13AF1">
        <w:t>.</w:t>
      </w:r>
    </w:p>
    <w:p w14:paraId="44224EB1" w14:textId="020AF1B7" w:rsidR="005C2B38" w:rsidRPr="00D13AF1" w:rsidRDefault="005C2B38" w:rsidP="005C2B38">
      <w:pPr>
        <w:pStyle w:val="BodyEE"/>
      </w:pPr>
      <w:r w:rsidRPr="00D13AF1">
        <w:t xml:space="preserve">There were often several regulators and organisations (potentially) relevant for regulating telemedicine in a given country, which had two main implications for </w:t>
      </w:r>
      <w:r w:rsidR="008A4C0B" w:rsidRPr="00D13AF1">
        <w:t>our work</w:t>
      </w:r>
      <w:r w:rsidRPr="00D13AF1">
        <w:t>. First, in order to understand the regulation imposed on healthcare practitioners in its entirety rather in an incomplete</w:t>
      </w:r>
      <w:r w:rsidR="008A4C0B" w:rsidRPr="00D13AF1">
        <w:t>,</w:t>
      </w:r>
      <w:r w:rsidRPr="00D13AF1">
        <w:t xml:space="preserve"> fragmented manner, we examined the interactions between the regulators/organisation and their respective roles in regulating telemedicine. This often resulted in the inclusion in our research and stakeholder engagement </w:t>
      </w:r>
      <w:r w:rsidR="008A4C0B" w:rsidRPr="00D13AF1">
        <w:t xml:space="preserve">of </w:t>
      </w:r>
      <w:r w:rsidRPr="00D13AF1">
        <w:t>several regulators from the same country. Second, to ensure our research was as efficient as possible, we gave priority to more ‘general’ regulators, i.e. country-wide regulators and regulators covering all medical professions, unless our research indicated that regional or profession-specific organisations were more relevant for developing telemedicine policies and standards.</w:t>
      </w:r>
    </w:p>
    <w:p w14:paraId="7331C785" w14:textId="42505103" w:rsidR="005C2B38" w:rsidRPr="00D13AF1" w:rsidRDefault="005C2B38" w:rsidP="005C2B38">
      <w:pPr>
        <w:pStyle w:val="Caption"/>
      </w:pPr>
      <w:r w:rsidRPr="00D13AF1">
        <w:lastRenderedPageBreak/>
        <w:t xml:space="preserve">Figure </w:t>
      </w:r>
      <w:r w:rsidR="00000000">
        <w:fldChar w:fldCharType="begin"/>
      </w:r>
      <w:r w:rsidR="00000000">
        <w:instrText xml:space="preserve"> STYLEREF 1 \s </w:instrText>
      </w:r>
      <w:r w:rsidR="00000000">
        <w:fldChar w:fldCharType="separate"/>
      </w:r>
      <w:r w:rsidR="00B51130">
        <w:rPr>
          <w:noProof/>
        </w:rPr>
        <w:t>1</w:t>
      </w:r>
      <w:r w:rsidR="00000000">
        <w:rPr>
          <w:noProof/>
        </w:rPr>
        <w:fldChar w:fldCharType="end"/>
      </w:r>
      <w:r w:rsidR="00D0462D">
        <w:t>.</w:t>
      </w:r>
      <w:r w:rsidR="00000000">
        <w:fldChar w:fldCharType="begin"/>
      </w:r>
      <w:r w:rsidR="00000000">
        <w:instrText xml:space="preserve"> SEQ Figure \* ARABIC \s 1 </w:instrText>
      </w:r>
      <w:r w:rsidR="00000000">
        <w:fldChar w:fldCharType="separate"/>
      </w:r>
      <w:r w:rsidR="00B51130">
        <w:rPr>
          <w:noProof/>
        </w:rPr>
        <w:t>2</w:t>
      </w:r>
      <w:r w:rsidR="00000000">
        <w:rPr>
          <w:noProof/>
        </w:rPr>
        <w:fldChar w:fldCharType="end"/>
      </w:r>
      <w:r w:rsidRPr="00D13AF1">
        <w:t>: Desk research</w:t>
      </w:r>
    </w:p>
    <w:p w14:paraId="57C036BF" w14:textId="77777777" w:rsidR="005C2B38" w:rsidRPr="00D13AF1" w:rsidRDefault="005C2B38" w:rsidP="005C2B38">
      <w:pPr>
        <w:pStyle w:val="BodyEE"/>
      </w:pPr>
      <w:r w:rsidRPr="00D13AF1">
        <w:rPr>
          <w:noProof/>
          <w:lang w:eastAsia="en-GB"/>
        </w:rPr>
        <w:drawing>
          <wp:inline distT="0" distB="0" distL="0" distR="0" wp14:anchorId="5F8C9B51" wp14:editId="5AF3981B">
            <wp:extent cx="6120130" cy="1908000"/>
            <wp:effectExtent l="38100" t="19050" r="13970" b="5461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2D388D11" w14:textId="52D6D282" w:rsidR="00AD690E" w:rsidRPr="00D13AF1" w:rsidRDefault="00AD690E" w:rsidP="00AD690E">
      <w:pPr>
        <w:pStyle w:val="Tablelastnote"/>
      </w:pPr>
      <w:r w:rsidRPr="00D13AF1">
        <w:t>Source: Europe Economics</w:t>
      </w:r>
      <w:r w:rsidR="008A4C0B" w:rsidRPr="00D13AF1">
        <w:t>.</w:t>
      </w:r>
    </w:p>
    <w:p w14:paraId="040119ED" w14:textId="3AAB6C4A" w:rsidR="005C2B38" w:rsidRPr="00D13AF1" w:rsidRDefault="005C2B38" w:rsidP="005C2B38">
      <w:pPr>
        <w:pStyle w:val="BodyEE"/>
      </w:pPr>
      <w:r w:rsidRPr="00D13AF1">
        <w:t>Our desk research also investigated how individuals providing remote services in the UK are regulated, if at all, in other sectors such as engineering, legal advice and land surveying. The aim of this strand of our analysis was to understand whether the types of remote services in other UK sectors could be perceived as similar to telemedicine services, and thus whether — potentially more developed — regulation in those sectors could inform the GMC’s views on regulating telemedicine.</w:t>
      </w:r>
    </w:p>
    <w:p w14:paraId="394C5916" w14:textId="77777777" w:rsidR="005C2B38" w:rsidRPr="00D13AF1" w:rsidRDefault="005C2B38" w:rsidP="005C2B38">
      <w:pPr>
        <w:pStyle w:val="Heading3"/>
      </w:pPr>
      <w:r w:rsidRPr="00D13AF1">
        <w:t>Online survey</w:t>
      </w:r>
    </w:p>
    <w:p w14:paraId="41027F7A" w14:textId="16569900" w:rsidR="005C2B38" w:rsidRPr="00D13AF1" w:rsidRDefault="005C2B38" w:rsidP="005C2B38">
      <w:pPr>
        <w:pStyle w:val="BodyEE"/>
      </w:pPr>
      <w:r w:rsidRPr="00D13AF1">
        <w:t xml:space="preserve">In addition to </w:t>
      </w:r>
      <w:r w:rsidR="008A4C0B" w:rsidRPr="00D13AF1">
        <w:t xml:space="preserve">the </w:t>
      </w:r>
      <w:r w:rsidRPr="00D13AF1">
        <w:t>desk research, we developed an online survey</w:t>
      </w:r>
      <w:r w:rsidRPr="00D13AF1">
        <w:rPr>
          <w:rStyle w:val="FootnoteReference"/>
        </w:rPr>
        <w:footnoteReference w:id="19"/>
      </w:r>
      <w:r w:rsidRPr="00D13AF1">
        <w:t xml:space="preserve"> for healthcare regulators to gather information on their role in developing telemedicine policies and standards (including any interactions with other organisations), type of regulation they have in place or are currently developing, definition of telemedicine, requirements imposed on healthcare practitioners, and views on telemedicine services provided across different jurisdictions.</w:t>
      </w:r>
      <w:r w:rsidRPr="00D13AF1">
        <w:rPr>
          <w:rStyle w:val="FootnoteReference"/>
        </w:rPr>
        <w:footnoteReference w:id="20"/>
      </w:r>
      <w:r w:rsidRPr="00D13AF1">
        <w:t xml:space="preserve"> </w:t>
      </w:r>
    </w:p>
    <w:p w14:paraId="17E14709" w14:textId="31B133F0" w:rsidR="005C2B38" w:rsidRPr="00D13AF1" w:rsidRDefault="005C2B38" w:rsidP="005C2B38">
      <w:pPr>
        <w:pStyle w:val="BodyEE"/>
      </w:pPr>
      <w:r w:rsidRPr="00D13AF1">
        <w:t xml:space="preserve">The survey was distributed by the GMC to </w:t>
      </w:r>
      <w:r w:rsidR="0086298C" w:rsidRPr="00D13AF1">
        <w:t>International Association of Medical Regulatory Authorities (</w:t>
      </w:r>
      <w:r w:rsidRPr="00D13AF1">
        <w:t>IAMRA</w:t>
      </w:r>
      <w:r w:rsidR="0086298C" w:rsidRPr="00D13AF1">
        <w:t>)</w:t>
      </w:r>
      <w:r w:rsidRPr="00D13AF1">
        <w:t xml:space="preserve"> members and a number of national healthcare regulators in the GMC’s network.</w:t>
      </w:r>
    </w:p>
    <w:p w14:paraId="533BE0D4" w14:textId="1509B8F5" w:rsidR="002B7283" w:rsidRPr="00D13AF1" w:rsidRDefault="005C2B38" w:rsidP="005C2B38">
      <w:pPr>
        <w:pStyle w:val="BodyEE"/>
      </w:pPr>
      <w:r w:rsidRPr="00D13AF1">
        <w:t>The main objectives of the survey were, first</w:t>
      </w:r>
      <w:r w:rsidR="00EE6098">
        <w:t>ly</w:t>
      </w:r>
      <w:r w:rsidRPr="00D13AF1">
        <w:t>, to reach a wide range of regulators in an efficient manner, and second to confirm whether our selection of ‘core countries’ and regulators/organisations wit</w:t>
      </w:r>
      <w:r w:rsidR="007B029D">
        <w:t>hin those countries was appropriate</w:t>
      </w:r>
      <w:r w:rsidRPr="00D13AF1">
        <w:t xml:space="preserve">. </w:t>
      </w:r>
    </w:p>
    <w:p w14:paraId="5F2E3B84" w14:textId="34839EBB" w:rsidR="009E2669" w:rsidRPr="00D13AF1" w:rsidRDefault="009E2669" w:rsidP="005C2B38">
      <w:pPr>
        <w:pStyle w:val="BodyEE"/>
      </w:pPr>
      <w:r w:rsidRPr="00D13AF1">
        <w:t xml:space="preserve">Indeed, the majority of the responses we received were from the core set of countries. </w:t>
      </w:r>
      <w:r w:rsidR="00631E69">
        <w:t xml:space="preserve">Overall, including both core and non-core countries, we received 30 responses — 21 of which represent the core countries. </w:t>
      </w:r>
      <w:r w:rsidRPr="00D13AF1">
        <w:t>As illustrated in the figure below, 14 out of 2</w:t>
      </w:r>
      <w:r w:rsidR="00EF77E4">
        <w:t>1</w:t>
      </w:r>
      <w:r w:rsidRPr="00D13AF1">
        <w:t xml:space="preserve"> responses </w:t>
      </w:r>
      <w:r w:rsidR="007B7D00" w:rsidRPr="00D13AF1">
        <w:t xml:space="preserve">representing the core countries </w:t>
      </w:r>
      <w:r w:rsidRPr="00D13AF1">
        <w:t xml:space="preserve">came from the </w:t>
      </w:r>
      <w:r w:rsidR="00996726">
        <w:t>USA</w:t>
      </w:r>
      <w:r w:rsidRPr="00D13AF1">
        <w:t xml:space="preserve"> and Canada alone. </w:t>
      </w:r>
    </w:p>
    <w:p w14:paraId="53DD7080" w14:textId="70E6B30D" w:rsidR="009E2669" w:rsidRPr="00D13AF1" w:rsidRDefault="009E2669" w:rsidP="009E2669">
      <w:pPr>
        <w:pStyle w:val="Caption"/>
      </w:pPr>
      <w:r w:rsidRPr="00D13AF1">
        <w:lastRenderedPageBreak/>
        <w:t xml:space="preserve">Figure </w:t>
      </w:r>
      <w:r w:rsidR="00000000">
        <w:fldChar w:fldCharType="begin"/>
      </w:r>
      <w:r w:rsidR="00000000">
        <w:instrText xml:space="preserve"> STYLEREF 1 \s </w:instrText>
      </w:r>
      <w:r w:rsidR="00000000">
        <w:fldChar w:fldCharType="separate"/>
      </w:r>
      <w:r w:rsidR="00B51130">
        <w:rPr>
          <w:noProof/>
        </w:rPr>
        <w:t>1</w:t>
      </w:r>
      <w:r w:rsidR="00000000">
        <w:rPr>
          <w:noProof/>
        </w:rPr>
        <w:fldChar w:fldCharType="end"/>
      </w:r>
      <w:r w:rsidR="00D0462D">
        <w:t>.</w:t>
      </w:r>
      <w:r w:rsidR="00000000">
        <w:fldChar w:fldCharType="begin"/>
      </w:r>
      <w:r w:rsidR="00000000">
        <w:instrText xml:space="preserve"> SEQ Figure \* ARABIC \s 1 </w:instrText>
      </w:r>
      <w:r w:rsidR="00000000">
        <w:fldChar w:fldCharType="separate"/>
      </w:r>
      <w:r w:rsidR="00B51130">
        <w:rPr>
          <w:noProof/>
        </w:rPr>
        <w:t>3</w:t>
      </w:r>
      <w:r w:rsidR="00000000">
        <w:rPr>
          <w:noProof/>
        </w:rPr>
        <w:fldChar w:fldCharType="end"/>
      </w:r>
      <w:r w:rsidRPr="00D13AF1">
        <w:t>: Survey responses from core countries</w:t>
      </w:r>
      <w:r w:rsidR="00FA60A9">
        <w:t xml:space="preserve"> </w:t>
      </w:r>
    </w:p>
    <w:p w14:paraId="6E5CC9C4" w14:textId="69CD64BF" w:rsidR="009E2669" w:rsidRPr="00D13AF1" w:rsidRDefault="00DD11FA" w:rsidP="005C2B38">
      <w:pPr>
        <w:pStyle w:val="BodyEE"/>
      </w:pPr>
      <w:r>
        <w:rPr>
          <w:noProof/>
          <w:lang w:eastAsia="en-GB"/>
        </w:rPr>
        <w:drawing>
          <wp:inline distT="0" distB="0" distL="0" distR="0" wp14:anchorId="079EE821" wp14:editId="77684C35">
            <wp:extent cx="3315694" cy="27432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8453931" w14:textId="13384B53" w:rsidR="00682DCC" w:rsidRPr="00D13AF1" w:rsidRDefault="00682DCC" w:rsidP="00682DCC">
      <w:pPr>
        <w:pStyle w:val="Tablelastnote"/>
      </w:pPr>
      <w:r w:rsidRPr="00D13AF1">
        <w:t>Source: Online survey, Europe Economics</w:t>
      </w:r>
      <w:r w:rsidR="008A4C0B" w:rsidRPr="00D13AF1">
        <w:t>.</w:t>
      </w:r>
    </w:p>
    <w:p w14:paraId="3533556E" w14:textId="7499B7E8" w:rsidR="009E2669" w:rsidRPr="00D13AF1" w:rsidRDefault="00776E89" w:rsidP="005C2B38">
      <w:pPr>
        <w:pStyle w:val="BodyEE"/>
      </w:pPr>
      <w:r w:rsidRPr="00D13AF1">
        <w:t xml:space="preserve">The responses submitted by other countries and jurisdictions broadly confirmed that the analysis focusing on </w:t>
      </w:r>
      <w:r w:rsidR="008A4C0B" w:rsidRPr="00D13AF1">
        <w:t xml:space="preserve">our </w:t>
      </w:r>
      <w:r w:rsidRPr="00D13AF1">
        <w:t>core countries</w:t>
      </w:r>
      <w:r w:rsidR="008D71CB" w:rsidRPr="00D13AF1">
        <w:t xml:space="preserve"> is likely to provide us with a comprehensive overview of regulatory approaches to telemedicine.</w:t>
      </w:r>
      <w:r w:rsidR="008D71CB" w:rsidRPr="00D13AF1">
        <w:rPr>
          <w:rStyle w:val="FootnoteReference"/>
        </w:rPr>
        <w:footnoteReference w:id="21"/>
      </w:r>
    </w:p>
    <w:p w14:paraId="113A7656" w14:textId="77777777" w:rsidR="005C2B38" w:rsidRPr="00D13AF1" w:rsidRDefault="005C2B38" w:rsidP="005C2B38">
      <w:pPr>
        <w:pStyle w:val="Heading3"/>
      </w:pPr>
      <w:r w:rsidRPr="00D13AF1">
        <w:t>Interviews</w:t>
      </w:r>
    </w:p>
    <w:p w14:paraId="0ADA7279" w14:textId="284FB496" w:rsidR="005C2B38" w:rsidRPr="00D13AF1" w:rsidRDefault="005C2B38" w:rsidP="005C2B38">
      <w:pPr>
        <w:pStyle w:val="BodyEE"/>
      </w:pPr>
      <w:r w:rsidRPr="00D13AF1">
        <w:t xml:space="preserve">We conducted </w:t>
      </w:r>
      <w:r w:rsidR="00FA73E3">
        <w:t>13</w:t>
      </w:r>
      <w:r w:rsidRPr="00D13AF1">
        <w:t xml:space="preserve"> telephone interviews with healthcare regulators and other medical organisations from the UK, the US</w:t>
      </w:r>
      <w:r w:rsidR="00F65B3F">
        <w:t>A</w:t>
      </w:r>
      <w:r w:rsidRPr="00D13AF1">
        <w:t>, Canada, Australia, New Zealand, and Germany.</w:t>
      </w:r>
      <w:r w:rsidRPr="00D13AF1">
        <w:rPr>
          <w:rStyle w:val="FootnoteReference"/>
        </w:rPr>
        <w:footnoteReference w:id="22"/>
      </w:r>
      <w:r w:rsidRPr="00D13AF1">
        <w:t xml:space="preserve"> </w:t>
      </w:r>
    </w:p>
    <w:p w14:paraId="79664C64" w14:textId="1064B530" w:rsidR="005C2B38" w:rsidRPr="00D13AF1" w:rsidRDefault="005C2B38" w:rsidP="005C2B38">
      <w:pPr>
        <w:pStyle w:val="BodyEE"/>
      </w:pPr>
      <w:r w:rsidRPr="00D13AF1">
        <w:t xml:space="preserve">The aim of the interviews was to fill any gaps in the desk research and/or survey responses, and to explore certain issues in more detail. The interviews were particularly useful to understand the practical side of telemedicine and its regulation, including the channels </w:t>
      </w:r>
      <w:r w:rsidR="008874A5">
        <w:t>through</w:t>
      </w:r>
      <w:r w:rsidR="008874A5" w:rsidRPr="00D13AF1">
        <w:t xml:space="preserve"> </w:t>
      </w:r>
      <w:r w:rsidRPr="00D13AF1">
        <w:t xml:space="preserve">which patients are exposed to telemedicine (e.g. via healthcare providers or independently), most common applications of telemedicine (e.g. patient-doctor consultations, diagnostics, treatment), </w:t>
      </w:r>
      <w:r w:rsidR="005E4929" w:rsidRPr="00D13AF1">
        <w:t xml:space="preserve">and issues associated with ensuring compliance (especially </w:t>
      </w:r>
      <w:r w:rsidR="008A4C0B" w:rsidRPr="00D13AF1">
        <w:t>where</w:t>
      </w:r>
      <w:r w:rsidR="005E4929" w:rsidRPr="00D13AF1">
        <w:t xml:space="preserve"> healthcare is provided across jurisdictions).</w:t>
      </w:r>
    </w:p>
    <w:p w14:paraId="648DA09F" w14:textId="3C88A79B" w:rsidR="005C2B38" w:rsidRPr="00D13AF1" w:rsidRDefault="005C2B38" w:rsidP="005C2B38">
      <w:pPr>
        <w:pStyle w:val="BodyEE"/>
      </w:pPr>
      <w:r w:rsidRPr="00D13AF1">
        <w:t>Following the desk research, we also conducted a few short interviews with organisations in other UK sectors</w:t>
      </w:r>
      <w:r w:rsidR="007B029D">
        <w:t xml:space="preserve"> (engineering, surveying and legal advice),</w:t>
      </w:r>
      <w:r w:rsidRPr="00D13AF1">
        <w:t xml:space="preserve"> to better understand how remote services are regulated and whether any analogies between them and telemedicine could be drawn.</w:t>
      </w:r>
    </w:p>
    <w:p w14:paraId="2857DD30" w14:textId="77777777" w:rsidR="005C2B38" w:rsidRPr="00D13AF1" w:rsidRDefault="005C2B38" w:rsidP="005C2B38">
      <w:pPr>
        <w:pStyle w:val="Heading3"/>
      </w:pPr>
      <w:r w:rsidRPr="00D13AF1">
        <w:t>Summary</w:t>
      </w:r>
    </w:p>
    <w:p w14:paraId="4DCD43B8" w14:textId="523737A2" w:rsidR="005C2B38" w:rsidRPr="00D13AF1" w:rsidRDefault="005C2B38" w:rsidP="005C2B38">
      <w:pPr>
        <w:pStyle w:val="BodyEE"/>
      </w:pPr>
      <w:r w:rsidRPr="00D13AF1">
        <w:t xml:space="preserve">Across all three strands of our research, we obtained information </w:t>
      </w:r>
      <w:r w:rsidR="004E1F3E">
        <w:t>for</w:t>
      </w:r>
      <w:r w:rsidRPr="004149A5">
        <w:t xml:space="preserve"> 47 healthcare organisations or legislators, and from four UK organisations in other sectors. Of those 47 healthcare organisations, 38 represent the ‘core’ countries of interest. In the remainder of this report, we only focus on the organisations </w:t>
      </w:r>
      <w:r w:rsidRPr="004149A5">
        <w:lastRenderedPageBreak/>
        <w:t xml:space="preserve">from the core countries </w:t>
      </w:r>
      <w:r w:rsidR="008A4C0B" w:rsidRPr="004149A5">
        <w:t xml:space="preserve">that </w:t>
      </w:r>
      <w:r w:rsidRPr="004149A5">
        <w:t>also at least made some statements</w:t>
      </w:r>
      <w:r w:rsidRPr="00D13AF1">
        <w:t xml:space="preserve"> regarding telemedicine (either publicly or as part of our stakeholder engagement programme). There are 36 organisations that satisfy these criteria, as presented in the table below.</w:t>
      </w:r>
    </w:p>
    <w:p w14:paraId="56ABB60B" w14:textId="70F7A661" w:rsidR="005C2B38" w:rsidRPr="00D13AF1" w:rsidRDefault="005C2B38" w:rsidP="005C2B38">
      <w:pPr>
        <w:pStyle w:val="Caption"/>
      </w:pPr>
      <w:r w:rsidRPr="00D13AF1">
        <w:t xml:space="preserve">Table </w:t>
      </w:r>
      <w:r w:rsidR="00000000">
        <w:fldChar w:fldCharType="begin"/>
      </w:r>
      <w:r w:rsidR="00000000">
        <w:instrText xml:space="preserve"> STYLEREF 1 \s </w:instrText>
      </w:r>
      <w:r w:rsidR="00000000">
        <w:fldChar w:fldCharType="separate"/>
      </w:r>
      <w:r w:rsidR="00B51130">
        <w:rPr>
          <w:noProof/>
        </w:rPr>
        <w:t>1</w:t>
      </w:r>
      <w:r w:rsidR="00000000">
        <w:rPr>
          <w:noProof/>
        </w:rPr>
        <w:fldChar w:fldCharType="end"/>
      </w:r>
      <w:r w:rsidR="00EF67D2">
        <w:t>.</w:t>
      </w:r>
      <w:r w:rsidR="00000000">
        <w:fldChar w:fldCharType="begin"/>
      </w:r>
      <w:r w:rsidR="00000000">
        <w:instrText xml:space="preserve"> SEQ Table \* ARABIC \s 1 </w:instrText>
      </w:r>
      <w:r w:rsidR="00000000">
        <w:fldChar w:fldCharType="separate"/>
      </w:r>
      <w:r w:rsidR="00B51130">
        <w:rPr>
          <w:noProof/>
        </w:rPr>
        <w:t>1</w:t>
      </w:r>
      <w:r w:rsidR="00000000">
        <w:rPr>
          <w:noProof/>
        </w:rPr>
        <w:fldChar w:fldCharType="end"/>
      </w:r>
      <w:r w:rsidRPr="00D13AF1">
        <w:t>: Organisations representing core countries</w:t>
      </w:r>
    </w:p>
    <w:tbl>
      <w:tblPr>
        <w:tblW w:w="0" w:type="auto"/>
        <w:tblLayout w:type="fixed"/>
        <w:tblLook w:val="06E0" w:firstRow="1" w:lastRow="1" w:firstColumn="1" w:lastColumn="0" w:noHBand="1" w:noVBand="1"/>
      </w:tblPr>
      <w:tblGrid>
        <w:gridCol w:w="1526"/>
        <w:gridCol w:w="3685"/>
        <w:gridCol w:w="1418"/>
        <w:gridCol w:w="1134"/>
        <w:gridCol w:w="850"/>
        <w:gridCol w:w="1241"/>
      </w:tblGrid>
      <w:tr w:rsidR="00811D13" w:rsidRPr="00D13AF1" w14:paraId="44F87245" w14:textId="77777777" w:rsidTr="00C77B38">
        <w:trPr>
          <w:trHeight w:val="300"/>
          <w:tblHeader/>
        </w:trPr>
        <w:tc>
          <w:tcPr>
            <w:tcW w:w="1526" w:type="dxa"/>
            <w:vAlign w:val="center"/>
          </w:tcPr>
          <w:p w14:paraId="411CE40D" w14:textId="77777777" w:rsidR="00811D13" w:rsidRPr="00D13AF1" w:rsidRDefault="00811D13" w:rsidP="00811D13">
            <w:pPr>
              <w:pStyle w:val="Tablelastnote"/>
              <w:spacing w:after="0"/>
              <w:jc w:val="left"/>
              <w:rPr>
                <w:b/>
                <w:bCs/>
                <w:sz w:val="19"/>
                <w:szCs w:val="19"/>
              </w:rPr>
            </w:pPr>
            <w:r w:rsidRPr="00D13AF1">
              <w:rPr>
                <w:b/>
                <w:bCs/>
                <w:sz w:val="19"/>
                <w:szCs w:val="19"/>
              </w:rPr>
              <w:t>Country</w:t>
            </w:r>
          </w:p>
        </w:tc>
        <w:tc>
          <w:tcPr>
            <w:tcW w:w="3685" w:type="dxa"/>
            <w:noWrap/>
            <w:vAlign w:val="center"/>
          </w:tcPr>
          <w:p w14:paraId="0C658D62" w14:textId="77777777" w:rsidR="00811D13" w:rsidRPr="00D13AF1" w:rsidRDefault="00811D13" w:rsidP="00811D13">
            <w:pPr>
              <w:pStyle w:val="Tablelastnote"/>
              <w:spacing w:after="0"/>
              <w:jc w:val="left"/>
              <w:rPr>
                <w:b/>
                <w:bCs/>
                <w:sz w:val="19"/>
                <w:szCs w:val="19"/>
              </w:rPr>
            </w:pPr>
            <w:r w:rsidRPr="00D13AF1">
              <w:rPr>
                <w:b/>
                <w:bCs/>
                <w:sz w:val="19"/>
                <w:szCs w:val="19"/>
              </w:rPr>
              <w:t>Organisation</w:t>
            </w:r>
          </w:p>
        </w:tc>
        <w:tc>
          <w:tcPr>
            <w:tcW w:w="1418" w:type="dxa"/>
            <w:noWrap/>
            <w:vAlign w:val="center"/>
          </w:tcPr>
          <w:p w14:paraId="2EEDA718" w14:textId="0FD48EDE" w:rsidR="00811D13" w:rsidRPr="00D13AF1" w:rsidRDefault="00811D13" w:rsidP="00ED7B6C">
            <w:pPr>
              <w:pStyle w:val="Tablelastnote"/>
              <w:spacing w:after="0"/>
              <w:jc w:val="center"/>
              <w:rPr>
                <w:b/>
                <w:bCs/>
                <w:sz w:val="19"/>
                <w:szCs w:val="19"/>
              </w:rPr>
            </w:pPr>
            <w:r w:rsidRPr="00D13AF1">
              <w:rPr>
                <w:b/>
                <w:bCs/>
                <w:sz w:val="19"/>
                <w:szCs w:val="19"/>
              </w:rPr>
              <w:t>Regulator</w:t>
            </w:r>
            <w:r w:rsidR="00ED7B6C">
              <w:rPr>
                <w:b/>
                <w:bCs/>
                <w:sz w:val="19"/>
                <w:szCs w:val="19"/>
              </w:rPr>
              <w:t xml:space="preserve"> or not</w:t>
            </w:r>
            <w:r w:rsidRPr="00D13AF1">
              <w:rPr>
                <w:b/>
                <w:bCs/>
                <w:sz w:val="19"/>
                <w:szCs w:val="19"/>
                <w:vertAlign w:val="superscript"/>
              </w:rPr>
              <w:footnoteReference w:id="23"/>
            </w:r>
          </w:p>
        </w:tc>
        <w:tc>
          <w:tcPr>
            <w:tcW w:w="1134" w:type="dxa"/>
            <w:vAlign w:val="center"/>
          </w:tcPr>
          <w:p w14:paraId="6E3009ED" w14:textId="77777777" w:rsidR="00811D13" w:rsidRPr="00D13AF1" w:rsidRDefault="00811D13" w:rsidP="00811D13">
            <w:pPr>
              <w:pStyle w:val="Tablelastnote"/>
              <w:spacing w:after="0"/>
              <w:jc w:val="center"/>
              <w:rPr>
                <w:b/>
                <w:bCs/>
                <w:sz w:val="19"/>
                <w:szCs w:val="19"/>
              </w:rPr>
            </w:pPr>
            <w:r w:rsidRPr="00D13AF1">
              <w:rPr>
                <w:b/>
                <w:bCs/>
                <w:sz w:val="19"/>
                <w:szCs w:val="19"/>
              </w:rPr>
              <w:t>Desk research</w:t>
            </w:r>
          </w:p>
        </w:tc>
        <w:tc>
          <w:tcPr>
            <w:tcW w:w="850" w:type="dxa"/>
            <w:vAlign w:val="center"/>
          </w:tcPr>
          <w:p w14:paraId="43F9AA81" w14:textId="77777777" w:rsidR="00811D13" w:rsidRPr="00D13AF1" w:rsidRDefault="00811D13" w:rsidP="00811D13">
            <w:pPr>
              <w:pStyle w:val="Tablelastnote"/>
              <w:spacing w:after="0"/>
              <w:jc w:val="center"/>
              <w:rPr>
                <w:b/>
                <w:bCs/>
                <w:sz w:val="19"/>
                <w:szCs w:val="19"/>
              </w:rPr>
            </w:pPr>
            <w:r w:rsidRPr="00D13AF1">
              <w:rPr>
                <w:b/>
                <w:bCs/>
                <w:sz w:val="19"/>
                <w:szCs w:val="19"/>
              </w:rPr>
              <w:t>Survey</w:t>
            </w:r>
          </w:p>
        </w:tc>
        <w:tc>
          <w:tcPr>
            <w:tcW w:w="1241" w:type="dxa"/>
            <w:noWrap/>
            <w:vAlign w:val="center"/>
          </w:tcPr>
          <w:p w14:paraId="5C0EF5CC" w14:textId="77777777" w:rsidR="00811D13" w:rsidRPr="00D13AF1" w:rsidRDefault="00811D13" w:rsidP="00811D13">
            <w:pPr>
              <w:pStyle w:val="Tablelastnote"/>
              <w:spacing w:after="0"/>
              <w:jc w:val="center"/>
              <w:rPr>
                <w:b/>
                <w:bCs/>
                <w:sz w:val="19"/>
                <w:szCs w:val="19"/>
              </w:rPr>
            </w:pPr>
            <w:r w:rsidRPr="00D13AF1">
              <w:rPr>
                <w:b/>
                <w:bCs/>
                <w:sz w:val="19"/>
                <w:szCs w:val="19"/>
              </w:rPr>
              <w:t>Interview</w:t>
            </w:r>
          </w:p>
        </w:tc>
      </w:tr>
      <w:tr w:rsidR="00811D13" w:rsidRPr="00D13AF1" w14:paraId="203A0C64" w14:textId="77777777" w:rsidTr="00C77B38">
        <w:trPr>
          <w:trHeight w:val="300"/>
        </w:trPr>
        <w:tc>
          <w:tcPr>
            <w:tcW w:w="1526" w:type="dxa"/>
            <w:vMerge w:val="restart"/>
            <w:shd w:val="clear" w:color="auto" w:fill="E1D0EE" w:themeFill="accent1" w:themeFillTint="33"/>
            <w:vAlign w:val="center"/>
          </w:tcPr>
          <w:p w14:paraId="0A448EC5" w14:textId="77777777" w:rsidR="00811D13" w:rsidRPr="00D13AF1" w:rsidRDefault="00811D13" w:rsidP="00811D13">
            <w:pPr>
              <w:pStyle w:val="Tablelastnote"/>
              <w:spacing w:after="0"/>
              <w:jc w:val="left"/>
              <w:rPr>
                <w:b/>
                <w:bCs/>
                <w:sz w:val="19"/>
                <w:szCs w:val="19"/>
              </w:rPr>
            </w:pPr>
            <w:r w:rsidRPr="00D13AF1">
              <w:rPr>
                <w:b/>
                <w:bCs/>
                <w:sz w:val="19"/>
                <w:szCs w:val="19"/>
              </w:rPr>
              <w:t>Australia</w:t>
            </w:r>
          </w:p>
        </w:tc>
        <w:tc>
          <w:tcPr>
            <w:tcW w:w="3685" w:type="dxa"/>
            <w:shd w:val="clear" w:color="auto" w:fill="E1D0EE" w:themeFill="accent1" w:themeFillTint="33"/>
            <w:noWrap/>
            <w:vAlign w:val="center"/>
            <w:hideMark/>
          </w:tcPr>
          <w:p w14:paraId="0325DCE8" w14:textId="0778E0DA" w:rsidR="00811D13" w:rsidRPr="00D13AF1" w:rsidRDefault="00A37FA1" w:rsidP="00811D13">
            <w:pPr>
              <w:pStyle w:val="Tablelastnote"/>
              <w:spacing w:after="0"/>
              <w:jc w:val="left"/>
              <w:rPr>
                <w:sz w:val="19"/>
                <w:szCs w:val="19"/>
              </w:rPr>
            </w:pPr>
            <w:r>
              <w:rPr>
                <w:sz w:val="19"/>
                <w:szCs w:val="19"/>
              </w:rPr>
              <w:t>Medical Board of Australia</w:t>
            </w:r>
          </w:p>
        </w:tc>
        <w:tc>
          <w:tcPr>
            <w:tcW w:w="1418" w:type="dxa"/>
            <w:shd w:val="clear" w:color="auto" w:fill="E1D0EE" w:themeFill="accent1" w:themeFillTint="33"/>
            <w:noWrap/>
            <w:vAlign w:val="center"/>
            <w:hideMark/>
          </w:tcPr>
          <w:p w14:paraId="5E9872BE" w14:textId="4356BC33" w:rsidR="00811D13" w:rsidRPr="00D13AF1" w:rsidRDefault="00A37FA1" w:rsidP="00811D13">
            <w:pPr>
              <w:pStyle w:val="Tablelastnote"/>
              <w:spacing w:after="0"/>
              <w:jc w:val="center"/>
              <w:rPr>
                <w:sz w:val="19"/>
                <w:szCs w:val="19"/>
              </w:rPr>
            </w:pPr>
            <w:r>
              <w:rPr>
                <w:sz w:val="19"/>
                <w:szCs w:val="19"/>
              </w:rPr>
              <w:t>Yes</w:t>
            </w:r>
          </w:p>
        </w:tc>
        <w:tc>
          <w:tcPr>
            <w:tcW w:w="1134" w:type="dxa"/>
            <w:shd w:val="clear" w:color="auto" w:fill="E1D0EE" w:themeFill="accent1" w:themeFillTint="33"/>
            <w:vAlign w:val="center"/>
          </w:tcPr>
          <w:p w14:paraId="1976C14A" w14:textId="77777777" w:rsidR="00811D13" w:rsidRPr="00D13AF1" w:rsidRDefault="00811D13" w:rsidP="00811D13">
            <w:pPr>
              <w:pStyle w:val="Tablelastnote"/>
              <w:spacing w:after="0"/>
              <w:jc w:val="center"/>
              <w:rPr>
                <w:sz w:val="19"/>
                <w:szCs w:val="19"/>
              </w:rPr>
            </w:pPr>
            <w:r w:rsidRPr="00D13AF1">
              <w:rPr>
                <w:sz w:val="19"/>
                <w:szCs w:val="19"/>
              </w:rPr>
              <w:sym w:font="Wingdings 2" w:char="F050"/>
            </w:r>
          </w:p>
        </w:tc>
        <w:tc>
          <w:tcPr>
            <w:tcW w:w="850" w:type="dxa"/>
            <w:shd w:val="clear" w:color="auto" w:fill="E1D0EE" w:themeFill="accent1" w:themeFillTint="33"/>
            <w:vAlign w:val="center"/>
          </w:tcPr>
          <w:p w14:paraId="7BE1EB54" w14:textId="77777777" w:rsidR="00811D13" w:rsidRPr="00D13AF1" w:rsidRDefault="00811D13" w:rsidP="00811D13">
            <w:pPr>
              <w:pStyle w:val="Tablelastnote"/>
              <w:spacing w:after="0"/>
              <w:jc w:val="center"/>
              <w:rPr>
                <w:sz w:val="19"/>
                <w:szCs w:val="19"/>
              </w:rPr>
            </w:pPr>
          </w:p>
        </w:tc>
        <w:tc>
          <w:tcPr>
            <w:tcW w:w="1241" w:type="dxa"/>
            <w:shd w:val="clear" w:color="auto" w:fill="E1D0EE" w:themeFill="accent1" w:themeFillTint="33"/>
            <w:noWrap/>
            <w:vAlign w:val="center"/>
          </w:tcPr>
          <w:p w14:paraId="250DDF3E" w14:textId="77777777" w:rsidR="00811D13" w:rsidRPr="00D13AF1" w:rsidRDefault="00811D13" w:rsidP="00811D13">
            <w:pPr>
              <w:pStyle w:val="Tablelastnote"/>
              <w:spacing w:after="0"/>
              <w:jc w:val="center"/>
              <w:rPr>
                <w:sz w:val="19"/>
                <w:szCs w:val="19"/>
              </w:rPr>
            </w:pPr>
          </w:p>
        </w:tc>
      </w:tr>
      <w:tr w:rsidR="00811D13" w:rsidRPr="00D13AF1" w14:paraId="7CF0C615" w14:textId="77777777" w:rsidTr="00C77B38">
        <w:tblPrEx>
          <w:tblCellMar>
            <w:left w:w="85" w:type="dxa"/>
            <w:right w:w="85" w:type="dxa"/>
          </w:tblCellMar>
        </w:tblPrEx>
        <w:trPr>
          <w:trHeight w:val="300"/>
        </w:trPr>
        <w:tc>
          <w:tcPr>
            <w:tcW w:w="1526" w:type="dxa"/>
            <w:vMerge/>
            <w:shd w:val="clear" w:color="auto" w:fill="E1D0EE" w:themeFill="accent1" w:themeFillTint="33"/>
            <w:vAlign w:val="center"/>
          </w:tcPr>
          <w:p w14:paraId="6DFA1B03" w14:textId="77777777" w:rsidR="00811D13" w:rsidRPr="00D13AF1" w:rsidRDefault="00811D13" w:rsidP="00811D13">
            <w:pPr>
              <w:pStyle w:val="Tablelastnote"/>
              <w:spacing w:after="0"/>
              <w:jc w:val="left"/>
              <w:rPr>
                <w:b/>
                <w:bCs/>
                <w:sz w:val="19"/>
                <w:szCs w:val="19"/>
              </w:rPr>
            </w:pPr>
          </w:p>
        </w:tc>
        <w:tc>
          <w:tcPr>
            <w:tcW w:w="3685" w:type="dxa"/>
            <w:noWrap/>
            <w:vAlign w:val="center"/>
            <w:hideMark/>
          </w:tcPr>
          <w:p w14:paraId="2EEB3542" w14:textId="717EC26C" w:rsidR="00811D13" w:rsidRPr="00D13AF1" w:rsidRDefault="00A37FA1" w:rsidP="00811D13">
            <w:pPr>
              <w:pStyle w:val="Tablelastnote"/>
              <w:spacing w:after="0"/>
              <w:jc w:val="left"/>
              <w:rPr>
                <w:sz w:val="19"/>
                <w:szCs w:val="19"/>
              </w:rPr>
            </w:pPr>
            <w:r w:rsidRPr="00A37FA1">
              <w:rPr>
                <w:sz w:val="19"/>
                <w:szCs w:val="19"/>
              </w:rPr>
              <w:t>Australian College of Rural and Remote Medicine</w:t>
            </w:r>
          </w:p>
        </w:tc>
        <w:tc>
          <w:tcPr>
            <w:tcW w:w="1418" w:type="dxa"/>
            <w:noWrap/>
            <w:vAlign w:val="center"/>
            <w:hideMark/>
          </w:tcPr>
          <w:p w14:paraId="1066DF80" w14:textId="161C00E5" w:rsidR="00811D13" w:rsidRPr="00D13AF1" w:rsidRDefault="005F630F" w:rsidP="00811D13">
            <w:pPr>
              <w:pStyle w:val="Tablelastnote"/>
              <w:spacing w:after="0"/>
              <w:jc w:val="center"/>
              <w:rPr>
                <w:sz w:val="19"/>
                <w:szCs w:val="19"/>
              </w:rPr>
            </w:pPr>
            <w:r>
              <w:rPr>
                <w:sz w:val="19"/>
                <w:szCs w:val="19"/>
              </w:rPr>
              <w:t>No</w:t>
            </w:r>
          </w:p>
        </w:tc>
        <w:tc>
          <w:tcPr>
            <w:tcW w:w="1134" w:type="dxa"/>
            <w:vAlign w:val="center"/>
          </w:tcPr>
          <w:p w14:paraId="5598DFA8" w14:textId="77777777" w:rsidR="00811D13" w:rsidRPr="00D13AF1" w:rsidRDefault="00811D13" w:rsidP="00811D13">
            <w:pPr>
              <w:pStyle w:val="Tablelastnote"/>
              <w:spacing w:after="0"/>
              <w:jc w:val="center"/>
              <w:rPr>
                <w:sz w:val="19"/>
                <w:szCs w:val="19"/>
              </w:rPr>
            </w:pPr>
            <w:r w:rsidRPr="00D13AF1">
              <w:rPr>
                <w:sz w:val="19"/>
                <w:szCs w:val="19"/>
              </w:rPr>
              <w:sym w:font="Wingdings 2" w:char="F050"/>
            </w:r>
          </w:p>
        </w:tc>
        <w:tc>
          <w:tcPr>
            <w:tcW w:w="850" w:type="dxa"/>
            <w:vAlign w:val="center"/>
          </w:tcPr>
          <w:p w14:paraId="64C905AC" w14:textId="77777777" w:rsidR="00811D13" w:rsidRPr="00D13AF1" w:rsidRDefault="00811D13" w:rsidP="00811D13">
            <w:pPr>
              <w:pStyle w:val="Tablelastnote"/>
              <w:spacing w:after="0"/>
              <w:jc w:val="center"/>
              <w:rPr>
                <w:sz w:val="19"/>
                <w:szCs w:val="19"/>
              </w:rPr>
            </w:pPr>
          </w:p>
        </w:tc>
        <w:tc>
          <w:tcPr>
            <w:tcW w:w="1241" w:type="dxa"/>
            <w:noWrap/>
            <w:vAlign w:val="center"/>
          </w:tcPr>
          <w:p w14:paraId="0EEB88EE" w14:textId="77777777" w:rsidR="00811D13" w:rsidRPr="00D13AF1" w:rsidRDefault="00811D13" w:rsidP="00811D13">
            <w:pPr>
              <w:pStyle w:val="Tablelastnote"/>
              <w:spacing w:after="0"/>
              <w:jc w:val="center"/>
              <w:rPr>
                <w:sz w:val="19"/>
                <w:szCs w:val="19"/>
              </w:rPr>
            </w:pPr>
          </w:p>
        </w:tc>
      </w:tr>
      <w:tr w:rsidR="00811D13" w:rsidRPr="00D13AF1" w14:paraId="6B7D7458" w14:textId="77777777" w:rsidTr="00C77B38">
        <w:trPr>
          <w:trHeight w:val="300"/>
        </w:trPr>
        <w:tc>
          <w:tcPr>
            <w:tcW w:w="1526" w:type="dxa"/>
            <w:vMerge/>
            <w:shd w:val="clear" w:color="auto" w:fill="E1D0EE" w:themeFill="accent1" w:themeFillTint="33"/>
            <w:vAlign w:val="center"/>
          </w:tcPr>
          <w:p w14:paraId="3BEC199A" w14:textId="77777777" w:rsidR="00811D13" w:rsidRPr="00D13AF1" w:rsidRDefault="00811D13" w:rsidP="00811D13">
            <w:pPr>
              <w:pStyle w:val="Tablelastnote"/>
              <w:spacing w:after="0"/>
              <w:jc w:val="left"/>
              <w:rPr>
                <w:b/>
                <w:bCs/>
                <w:sz w:val="19"/>
                <w:szCs w:val="19"/>
              </w:rPr>
            </w:pPr>
          </w:p>
        </w:tc>
        <w:tc>
          <w:tcPr>
            <w:tcW w:w="3685" w:type="dxa"/>
            <w:shd w:val="clear" w:color="auto" w:fill="E1D0EE" w:themeFill="accent1" w:themeFillTint="33"/>
            <w:noWrap/>
            <w:vAlign w:val="center"/>
            <w:hideMark/>
          </w:tcPr>
          <w:p w14:paraId="6B9EFA17" w14:textId="26F59788" w:rsidR="00811D13" w:rsidRPr="00D13AF1" w:rsidRDefault="00A37FA1" w:rsidP="00811D13">
            <w:pPr>
              <w:pStyle w:val="Tablelastnote"/>
              <w:spacing w:after="0"/>
              <w:jc w:val="left"/>
              <w:rPr>
                <w:sz w:val="19"/>
                <w:szCs w:val="19"/>
              </w:rPr>
            </w:pPr>
            <w:r w:rsidRPr="00A37FA1">
              <w:rPr>
                <w:sz w:val="19"/>
                <w:szCs w:val="19"/>
              </w:rPr>
              <w:t>Royal Australian College of General Practitioners</w:t>
            </w:r>
          </w:p>
        </w:tc>
        <w:tc>
          <w:tcPr>
            <w:tcW w:w="1418" w:type="dxa"/>
            <w:shd w:val="clear" w:color="auto" w:fill="E1D0EE" w:themeFill="accent1" w:themeFillTint="33"/>
            <w:noWrap/>
            <w:vAlign w:val="center"/>
            <w:hideMark/>
          </w:tcPr>
          <w:p w14:paraId="4CED39B1" w14:textId="77AE80F2" w:rsidR="00811D13" w:rsidRPr="00D13AF1" w:rsidRDefault="005F630F" w:rsidP="00811D13">
            <w:pPr>
              <w:pStyle w:val="Tablelastnote"/>
              <w:spacing w:after="0"/>
              <w:jc w:val="center"/>
              <w:rPr>
                <w:sz w:val="19"/>
                <w:szCs w:val="19"/>
              </w:rPr>
            </w:pPr>
            <w:r>
              <w:rPr>
                <w:sz w:val="19"/>
                <w:szCs w:val="19"/>
              </w:rPr>
              <w:t>No</w:t>
            </w:r>
          </w:p>
        </w:tc>
        <w:tc>
          <w:tcPr>
            <w:tcW w:w="1134" w:type="dxa"/>
            <w:shd w:val="clear" w:color="auto" w:fill="E1D0EE" w:themeFill="accent1" w:themeFillTint="33"/>
            <w:vAlign w:val="center"/>
          </w:tcPr>
          <w:p w14:paraId="43CB2686" w14:textId="77777777" w:rsidR="00811D13" w:rsidRPr="00D13AF1" w:rsidRDefault="00811D13" w:rsidP="00811D13">
            <w:pPr>
              <w:pStyle w:val="Tablelastnote"/>
              <w:spacing w:after="0"/>
              <w:jc w:val="center"/>
              <w:rPr>
                <w:sz w:val="19"/>
                <w:szCs w:val="19"/>
              </w:rPr>
            </w:pPr>
            <w:r w:rsidRPr="00D13AF1">
              <w:rPr>
                <w:sz w:val="19"/>
                <w:szCs w:val="19"/>
              </w:rPr>
              <w:sym w:font="Wingdings 2" w:char="F050"/>
            </w:r>
          </w:p>
        </w:tc>
        <w:tc>
          <w:tcPr>
            <w:tcW w:w="850" w:type="dxa"/>
            <w:shd w:val="clear" w:color="auto" w:fill="E1D0EE" w:themeFill="accent1" w:themeFillTint="33"/>
            <w:vAlign w:val="center"/>
          </w:tcPr>
          <w:p w14:paraId="6391B9BF" w14:textId="77777777" w:rsidR="00811D13" w:rsidRPr="00D13AF1" w:rsidRDefault="00811D13" w:rsidP="00811D13">
            <w:pPr>
              <w:pStyle w:val="Tablelastnote"/>
              <w:spacing w:after="0"/>
              <w:jc w:val="center"/>
              <w:rPr>
                <w:sz w:val="19"/>
                <w:szCs w:val="19"/>
              </w:rPr>
            </w:pPr>
          </w:p>
        </w:tc>
        <w:tc>
          <w:tcPr>
            <w:tcW w:w="1241" w:type="dxa"/>
            <w:shd w:val="clear" w:color="auto" w:fill="E1D0EE" w:themeFill="accent1" w:themeFillTint="33"/>
            <w:noWrap/>
            <w:vAlign w:val="center"/>
          </w:tcPr>
          <w:p w14:paraId="688FB0C5" w14:textId="77777777" w:rsidR="00811D13" w:rsidRPr="00D13AF1" w:rsidRDefault="00811D13" w:rsidP="00811D13">
            <w:pPr>
              <w:pStyle w:val="Tablelastnote"/>
              <w:spacing w:after="0"/>
              <w:jc w:val="center"/>
              <w:rPr>
                <w:sz w:val="19"/>
                <w:szCs w:val="19"/>
              </w:rPr>
            </w:pPr>
          </w:p>
        </w:tc>
      </w:tr>
      <w:tr w:rsidR="00811D13" w:rsidRPr="00D13AF1" w14:paraId="0BC1873C" w14:textId="77777777" w:rsidTr="00C77B38">
        <w:tblPrEx>
          <w:tblCellMar>
            <w:left w:w="85" w:type="dxa"/>
            <w:right w:w="85" w:type="dxa"/>
          </w:tblCellMar>
        </w:tblPrEx>
        <w:trPr>
          <w:trHeight w:val="300"/>
        </w:trPr>
        <w:tc>
          <w:tcPr>
            <w:tcW w:w="1526" w:type="dxa"/>
            <w:vMerge/>
            <w:shd w:val="clear" w:color="auto" w:fill="E1D0EE" w:themeFill="accent1" w:themeFillTint="33"/>
            <w:vAlign w:val="center"/>
          </w:tcPr>
          <w:p w14:paraId="46E53AB2" w14:textId="77777777" w:rsidR="00811D13" w:rsidRPr="00D13AF1" w:rsidRDefault="00811D13" w:rsidP="00811D13">
            <w:pPr>
              <w:pStyle w:val="Tablelastnote"/>
              <w:spacing w:after="0"/>
              <w:jc w:val="left"/>
              <w:rPr>
                <w:b/>
                <w:bCs/>
                <w:sz w:val="19"/>
                <w:szCs w:val="19"/>
              </w:rPr>
            </w:pPr>
          </w:p>
        </w:tc>
        <w:tc>
          <w:tcPr>
            <w:tcW w:w="3685" w:type="dxa"/>
            <w:noWrap/>
            <w:vAlign w:val="center"/>
            <w:hideMark/>
          </w:tcPr>
          <w:p w14:paraId="630999B3" w14:textId="36C2FE45" w:rsidR="00811D13" w:rsidRPr="00D13AF1" w:rsidRDefault="00A37FA1" w:rsidP="00811D13">
            <w:pPr>
              <w:pStyle w:val="Tablelastnote"/>
              <w:spacing w:after="0"/>
              <w:jc w:val="left"/>
              <w:rPr>
                <w:sz w:val="19"/>
                <w:szCs w:val="19"/>
              </w:rPr>
            </w:pPr>
            <w:r w:rsidRPr="00A37FA1">
              <w:rPr>
                <w:sz w:val="19"/>
                <w:szCs w:val="19"/>
              </w:rPr>
              <w:t>Australian Medical Association</w:t>
            </w:r>
          </w:p>
        </w:tc>
        <w:tc>
          <w:tcPr>
            <w:tcW w:w="1418" w:type="dxa"/>
            <w:noWrap/>
            <w:vAlign w:val="center"/>
            <w:hideMark/>
          </w:tcPr>
          <w:p w14:paraId="025A5C78" w14:textId="77777777" w:rsidR="00811D13" w:rsidRPr="00D13AF1" w:rsidRDefault="00811D13" w:rsidP="00811D13">
            <w:pPr>
              <w:pStyle w:val="Tablelastnote"/>
              <w:spacing w:after="0"/>
              <w:jc w:val="center"/>
              <w:rPr>
                <w:sz w:val="19"/>
                <w:szCs w:val="19"/>
              </w:rPr>
            </w:pPr>
            <w:r w:rsidRPr="00D13AF1">
              <w:rPr>
                <w:sz w:val="19"/>
                <w:szCs w:val="19"/>
              </w:rPr>
              <w:t>No</w:t>
            </w:r>
          </w:p>
        </w:tc>
        <w:tc>
          <w:tcPr>
            <w:tcW w:w="1134" w:type="dxa"/>
            <w:vAlign w:val="center"/>
          </w:tcPr>
          <w:p w14:paraId="5F9A2568" w14:textId="77777777" w:rsidR="00811D13" w:rsidRPr="00D13AF1" w:rsidRDefault="00811D13" w:rsidP="00811D13">
            <w:pPr>
              <w:pStyle w:val="Tablelastnote"/>
              <w:spacing w:after="0"/>
              <w:jc w:val="center"/>
              <w:rPr>
                <w:sz w:val="19"/>
                <w:szCs w:val="19"/>
              </w:rPr>
            </w:pPr>
            <w:r w:rsidRPr="00D13AF1">
              <w:rPr>
                <w:sz w:val="19"/>
                <w:szCs w:val="19"/>
              </w:rPr>
              <w:sym w:font="Wingdings 2" w:char="F050"/>
            </w:r>
          </w:p>
        </w:tc>
        <w:tc>
          <w:tcPr>
            <w:tcW w:w="850" w:type="dxa"/>
            <w:vAlign w:val="center"/>
          </w:tcPr>
          <w:p w14:paraId="379A015E" w14:textId="77777777" w:rsidR="00811D13" w:rsidRPr="00D13AF1" w:rsidRDefault="00811D13" w:rsidP="00811D13">
            <w:pPr>
              <w:pStyle w:val="Tablelastnote"/>
              <w:spacing w:after="0"/>
              <w:jc w:val="center"/>
              <w:rPr>
                <w:sz w:val="19"/>
                <w:szCs w:val="19"/>
              </w:rPr>
            </w:pPr>
          </w:p>
        </w:tc>
        <w:tc>
          <w:tcPr>
            <w:tcW w:w="1241" w:type="dxa"/>
            <w:noWrap/>
            <w:vAlign w:val="center"/>
          </w:tcPr>
          <w:p w14:paraId="2A3343EC" w14:textId="77777777" w:rsidR="00811D13" w:rsidRPr="00D13AF1" w:rsidRDefault="00811D13" w:rsidP="00811D13">
            <w:pPr>
              <w:pStyle w:val="Tablelastnote"/>
              <w:spacing w:after="0"/>
              <w:jc w:val="center"/>
              <w:rPr>
                <w:sz w:val="19"/>
                <w:szCs w:val="19"/>
              </w:rPr>
            </w:pPr>
          </w:p>
        </w:tc>
      </w:tr>
      <w:tr w:rsidR="00811D13" w:rsidRPr="00D13AF1" w14:paraId="1931F42B" w14:textId="77777777" w:rsidTr="00C77B38">
        <w:trPr>
          <w:trHeight w:val="300"/>
        </w:trPr>
        <w:tc>
          <w:tcPr>
            <w:tcW w:w="1526" w:type="dxa"/>
            <w:vMerge/>
            <w:shd w:val="clear" w:color="auto" w:fill="E1D0EE" w:themeFill="accent1" w:themeFillTint="33"/>
            <w:vAlign w:val="center"/>
          </w:tcPr>
          <w:p w14:paraId="1A6DBBC0" w14:textId="77777777" w:rsidR="00811D13" w:rsidRPr="00D13AF1" w:rsidRDefault="00811D13" w:rsidP="00811D13">
            <w:pPr>
              <w:pStyle w:val="Tablelastnote"/>
              <w:spacing w:after="0"/>
              <w:jc w:val="left"/>
              <w:rPr>
                <w:b/>
                <w:bCs/>
                <w:sz w:val="19"/>
                <w:szCs w:val="19"/>
              </w:rPr>
            </w:pPr>
          </w:p>
        </w:tc>
        <w:tc>
          <w:tcPr>
            <w:tcW w:w="3685" w:type="dxa"/>
            <w:shd w:val="clear" w:color="auto" w:fill="E1D0EE" w:themeFill="accent1" w:themeFillTint="33"/>
            <w:noWrap/>
            <w:vAlign w:val="center"/>
            <w:hideMark/>
          </w:tcPr>
          <w:p w14:paraId="7EC87C01" w14:textId="71A169F1" w:rsidR="00811D13" w:rsidRPr="00D13AF1" w:rsidRDefault="00A37FA1" w:rsidP="00811D13">
            <w:pPr>
              <w:pStyle w:val="Tablelastnote"/>
              <w:spacing w:after="0"/>
              <w:jc w:val="left"/>
              <w:rPr>
                <w:sz w:val="19"/>
                <w:szCs w:val="19"/>
              </w:rPr>
            </w:pPr>
            <w:r w:rsidRPr="00A37FA1">
              <w:rPr>
                <w:sz w:val="19"/>
                <w:szCs w:val="19"/>
              </w:rPr>
              <w:t>Royal Australasian College of Physicians</w:t>
            </w:r>
          </w:p>
        </w:tc>
        <w:tc>
          <w:tcPr>
            <w:tcW w:w="1418" w:type="dxa"/>
            <w:shd w:val="clear" w:color="auto" w:fill="E1D0EE" w:themeFill="accent1" w:themeFillTint="33"/>
            <w:noWrap/>
            <w:vAlign w:val="center"/>
            <w:hideMark/>
          </w:tcPr>
          <w:p w14:paraId="6C4A2899" w14:textId="07A13DDE" w:rsidR="00811D13" w:rsidRPr="00D13AF1" w:rsidRDefault="00A37FA1" w:rsidP="00811D13">
            <w:pPr>
              <w:pStyle w:val="Tablelastnote"/>
              <w:spacing w:after="0"/>
              <w:jc w:val="center"/>
              <w:rPr>
                <w:sz w:val="19"/>
                <w:szCs w:val="19"/>
              </w:rPr>
            </w:pPr>
            <w:r>
              <w:rPr>
                <w:sz w:val="19"/>
                <w:szCs w:val="19"/>
              </w:rPr>
              <w:t>No</w:t>
            </w:r>
          </w:p>
        </w:tc>
        <w:tc>
          <w:tcPr>
            <w:tcW w:w="1134" w:type="dxa"/>
            <w:shd w:val="clear" w:color="auto" w:fill="E1D0EE" w:themeFill="accent1" w:themeFillTint="33"/>
            <w:vAlign w:val="center"/>
          </w:tcPr>
          <w:p w14:paraId="740467B2" w14:textId="77777777" w:rsidR="00811D13" w:rsidRPr="00D13AF1" w:rsidRDefault="00811D13" w:rsidP="00811D13">
            <w:pPr>
              <w:pStyle w:val="Tablelastnote"/>
              <w:spacing w:after="0"/>
              <w:jc w:val="center"/>
              <w:rPr>
                <w:sz w:val="19"/>
                <w:szCs w:val="19"/>
              </w:rPr>
            </w:pPr>
            <w:r w:rsidRPr="00D13AF1">
              <w:rPr>
                <w:sz w:val="19"/>
                <w:szCs w:val="19"/>
              </w:rPr>
              <w:sym w:font="Wingdings 2" w:char="F050"/>
            </w:r>
          </w:p>
        </w:tc>
        <w:tc>
          <w:tcPr>
            <w:tcW w:w="850" w:type="dxa"/>
            <w:shd w:val="clear" w:color="auto" w:fill="E1D0EE" w:themeFill="accent1" w:themeFillTint="33"/>
            <w:vAlign w:val="center"/>
          </w:tcPr>
          <w:p w14:paraId="680B0A14" w14:textId="77777777" w:rsidR="00811D13" w:rsidRPr="00D13AF1" w:rsidRDefault="00811D13" w:rsidP="00811D13">
            <w:pPr>
              <w:pStyle w:val="Tablelastnote"/>
              <w:spacing w:after="0"/>
              <w:jc w:val="center"/>
              <w:rPr>
                <w:sz w:val="19"/>
                <w:szCs w:val="19"/>
              </w:rPr>
            </w:pPr>
          </w:p>
        </w:tc>
        <w:tc>
          <w:tcPr>
            <w:tcW w:w="1241" w:type="dxa"/>
            <w:shd w:val="clear" w:color="auto" w:fill="E1D0EE" w:themeFill="accent1" w:themeFillTint="33"/>
            <w:noWrap/>
            <w:vAlign w:val="center"/>
          </w:tcPr>
          <w:p w14:paraId="0A8E8932" w14:textId="77777777" w:rsidR="00811D13" w:rsidRPr="00D13AF1" w:rsidRDefault="00811D13" w:rsidP="00811D13">
            <w:pPr>
              <w:pStyle w:val="Tablelastnote"/>
              <w:spacing w:after="0"/>
              <w:jc w:val="center"/>
              <w:rPr>
                <w:sz w:val="19"/>
                <w:szCs w:val="19"/>
              </w:rPr>
            </w:pPr>
          </w:p>
        </w:tc>
      </w:tr>
      <w:tr w:rsidR="00811D13" w:rsidRPr="00D13AF1" w14:paraId="7D91B6D4" w14:textId="77777777" w:rsidTr="00C77B38">
        <w:tblPrEx>
          <w:tblCellMar>
            <w:left w:w="85" w:type="dxa"/>
            <w:right w:w="85" w:type="dxa"/>
          </w:tblCellMar>
        </w:tblPrEx>
        <w:trPr>
          <w:trHeight w:val="300"/>
        </w:trPr>
        <w:tc>
          <w:tcPr>
            <w:tcW w:w="1526" w:type="dxa"/>
            <w:vMerge/>
            <w:shd w:val="clear" w:color="auto" w:fill="E1D0EE" w:themeFill="accent1" w:themeFillTint="33"/>
            <w:vAlign w:val="center"/>
          </w:tcPr>
          <w:p w14:paraId="2C70E785" w14:textId="77777777" w:rsidR="00811D13" w:rsidRPr="00D13AF1" w:rsidRDefault="00811D13" w:rsidP="00811D13">
            <w:pPr>
              <w:pStyle w:val="Tablelastnote"/>
              <w:spacing w:after="0"/>
              <w:jc w:val="left"/>
              <w:rPr>
                <w:b/>
                <w:bCs/>
                <w:sz w:val="19"/>
                <w:szCs w:val="19"/>
              </w:rPr>
            </w:pPr>
          </w:p>
        </w:tc>
        <w:tc>
          <w:tcPr>
            <w:tcW w:w="3685" w:type="dxa"/>
            <w:noWrap/>
            <w:vAlign w:val="center"/>
            <w:hideMark/>
          </w:tcPr>
          <w:p w14:paraId="026EA140" w14:textId="586A2A53" w:rsidR="00811D13" w:rsidRPr="00D13AF1" w:rsidRDefault="00A37FA1" w:rsidP="00811D13">
            <w:pPr>
              <w:pStyle w:val="Tablelastnote"/>
              <w:spacing w:after="0"/>
              <w:jc w:val="left"/>
              <w:rPr>
                <w:sz w:val="19"/>
                <w:szCs w:val="19"/>
              </w:rPr>
            </w:pPr>
            <w:r w:rsidRPr="00A37FA1">
              <w:rPr>
                <w:sz w:val="19"/>
                <w:szCs w:val="19"/>
              </w:rPr>
              <w:t>Australian Health Practitioner Regulation Agency</w:t>
            </w:r>
          </w:p>
        </w:tc>
        <w:tc>
          <w:tcPr>
            <w:tcW w:w="1418" w:type="dxa"/>
            <w:noWrap/>
            <w:vAlign w:val="center"/>
            <w:hideMark/>
          </w:tcPr>
          <w:p w14:paraId="692CD61C" w14:textId="10F2DCEE" w:rsidR="00811D13" w:rsidRPr="00D13AF1" w:rsidRDefault="00A37FA1" w:rsidP="00811D13">
            <w:pPr>
              <w:pStyle w:val="Tablelastnote"/>
              <w:spacing w:after="0"/>
              <w:jc w:val="center"/>
              <w:rPr>
                <w:sz w:val="19"/>
                <w:szCs w:val="19"/>
              </w:rPr>
            </w:pPr>
            <w:r>
              <w:rPr>
                <w:sz w:val="19"/>
                <w:szCs w:val="19"/>
              </w:rPr>
              <w:t>Yes</w:t>
            </w:r>
          </w:p>
        </w:tc>
        <w:tc>
          <w:tcPr>
            <w:tcW w:w="1134" w:type="dxa"/>
            <w:vAlign w:val="center"/>
          </w:tcPr>
          <w:p w14:paraId="781EE369" w14:textId="77777777" w:rsidR="00811D13" w:rsidRPr="00D13AF1" w:rsidRDefault="00811D13" w:rsidP="00811D13">
            <w:pPr>
              <w:pStyle w:val="Tablelastnote"/>
              <w:spacing w:after="0"/>
              <w:jc w:val="center"/>
              <w:rPr>
                <w:sz w:val="19"/>
                <w:szCs w:val="19"/>
              </w:rPr>
            </w:pPr>
            <w:r w:rsidRPr="00D13AF1">
              <w:rPr>
                <w:sz w:val="19"/>
                <w:szCs w:val="19"/>
              </w:rPr>
              <w:sym w:font="Wingdings 2" w:char="F050"/>
            </w:r>
          </w:p>
        </w:tc>
        <w:tc>
          <w:tcPr>
            <w:tcW w:w="850" w:type="dxa"/>
            <w:vAlign w:val="center"/>
          </w:tcPr>
          <w:p w14:paraId="540731EC" w14:textId="77777777" w:rsidR="00811D13" w:rsidRPr="00D13AF1" w:rsidRDefault="00811D13" w:rsidP="00811D13">
            <w:pPr>
              <w:pStyle w:val="Tablelastnote"/>
              <w:spacing w:after="0"/>
              <w:jc w:val="center"/>
              <w:rPr>
                <w:sz w:val="19"/>
                <w:szCs w:val="19"/>
              </w:rPr>
            </w:pPr>
            <w:r w:rsidRPr="00D13AF1">
              <w:rPr>
                <w:sz w:val="19"/>
                <w:szCs w:val="19"/>
              </w:rPr>
              <w:sym w:font="Wingdings 2" w:char="F050"/>
            </w:r>
          </w:p>
        </w:tc>
        <w:tc>
          <w:tcPr>
            <w:tcW w:w="1241" w:type="dxa"/>
            <w:noWrap/>
            <w:vAlign w:val="center"/>
          </w:tcPr>
          <w:p w14:paraId="33131176" w14:textId="77777777" w:rsidR="00811D13" w:rsidRPr="00D13AF1" w:rsidRDefault="00811D13" w:rsidP="00811D13">
            <w:pPr>
              <w:pStyle w:val="Tablelastnote"/>
              <w:spacing w:after="0"/>
              <w:jc w:val="center"/>
              <w:rPr>
                <w:sz w:val="19"/>
                <w:szCs w:val="19"/>
              </w:rPr>
            </w:pPr>
            <w:r w:rsidRPr="00D13AF1">
              <w:rPr>
                <w:sz w:val="19"/>
                <w:szCs w:val="19"/>
              </w:rPr>
              <w:sym w:font="Wingdings 2" w:char="F050"/>
            </w:r>
          </w:p>
        </w:tc>
      </w:tr>
      <w:tr w:rsidR="00811D13" w:rsidRPr="00D13AF1" w14:paraId="23C85502" w14:textId="77777777" w:rsidTr="00C77B38">
        <w:trPr>
          <w:trHeight w:val="300"/>
        </w:trPr>
        <w:tc>
          <w:tcPr>
            <w:tcW w:w="1526" w:type="dxa"/>
            <w:vMerge/>
            <w:shd w:val="clear" w:color="auto" w:fill="E1D0EE" w:themeFill="accent1" w:themeFillTint="33"/>
            <w:vAlign w:val="center"/>
          </w:tcPr>
          <w:p w14:paraId="5A1FD07C" w14:textId="77777777" w:rsidR="00811D13" w:rsidRPr="00D13AF1" w:rsidRDefault="00811D13" w:rsidP="00811D13">
            <w:pPr>
              <w:pStyle w:val="Tablelastnote"/>
              <w:spacing w:after="0"/>
              <w:jc w:val="left"/>
              <w:rPr>
                <w:b/>
                <w:bCs/>
                <w:sz w:val="19"/>
                <w:szCs w:val="19"/>
              </w:rPr>
            </w:pPr>
          </w:p>
        </w:tc>
        <w:tc>
          <w:tcPr>
            <w:tcW w:w="3685" w:type="dxa"/>
            <w:shd w:val="clear" w:color="auto" w:fill="E1D0EE" w:themeFill="accent1" w:themeFillTint="33"/>
            <w:noWrap/>
            <w:vAlign w:val="center"/>
            <w:hideMark/>
          </w:tcPr>
          <w:p w14:paraId="118E0D6D" w14:textId="77777777" w:rsidR="00811D13" w:rsidRPr="00D13AF1" w:rsidRDefault="00811D13" w:rsidP="00811D13">
            <w:pPr>
              <w:pStyle w:val="Tablelastnote"/>
              <w:spacing w:after="0"/>
              <w:jc w:val="left"/>
              <w:rPr>
                <w:sz w:val="19"/>
                <w:szCs w:val="19"/>
              </w:rPr>
            </w:pPr>
            <w:r w:rsidRPr="00D13AF1">
              <w:rPr>
                <w:sz w:val="19"/>
                <w:szCs w:val="19"/>
              </w:rPr>
              <w:t>Medical Council of New South Wales</w:t>
            </w:r>
          </w:p>
        </w:tc>
        <w:tc>
          <w:tcPr>
            <w:tcW w:w="1418" w:type="dxa"/>
            <w:shd w:val="clear" w:color="auto" w:fill="E1D0EE" w:themeFill="accent1" w:themeFillTint="33"/>
            <w:noWrap/>
            <w:vAlign w:val="center"/>
            <w:hideMark/>
          </w:tcPr>
          <w:p w14:paraId="11A5C30D" w14:textId="45999556" w:rsidR="00811D13" w:rsidRPr="00D13AF1" w:rsidRDefault="00A37FA1" w:rsidP="00811D13">
            <w:pPr>
              <w:pStyle w:val="Tablelastnote"/>
              <w:spacing w:after="0"/>
              <w:jc w:val="center"/>
              <w:rPr>
                <w:sz w:val="19"/>
                <w:szCs w:val="19"/>
              </w:rPr>
            </w:pPr>
            <w:r>
              <w:rPr>
                <w:sz w:val="19"/>
                <w:szCs w:val="19"/>
              </w:rPr>
              <w:t>Yes</w:t>
            </w:r>
          </w:p>
        </w:tc>
        <w:tc>
          <w:tcPr>
            <w:tcW w:w="1134" w:type="dxa"/>
            <w:shd w:val="clear" w:color="auto" w:fill="E1D0EE" w:themeFill="accent1" w:themeFillTint="33"/>
            <w:vAlign w:val="center"/>
          </w:tcPr>
          <w:p w14:paraId="1F3882E5" w14:textId="77777777" w:rsidR="00811D13" w:rsidRPr="00D13AF1" w:rsidRDefault="00811D13" w:rsidP="00811D13">
            <w:pPr>
              <w:pStyle w:val="Tablelastnote"/>
              <w:spacing w:after="0"/>
              <w:jc w:val="center"/>
              <w:rPr>
                <w:sz w:val="19"/>
                <w:szCs w:val="19"/>
              </w:rPr>
            </w:pPr>
            <w:r w:rsidRPr="00D13AF1">
              <w:rPr>
                <w:sz w:val="19"/>
                <w:szCs w:val="19"/>
              </w:rPr>
              <w:sym w:font="Wingdings 2" w:char="F050"/>
            </w:r>
          </w:p>
        </w:tc>
        <w:tc>
          <w:tcPr>
            <w:tcW w:w="850" w:type="dxa"/>
            <w:shd w:val="clear" w:color="auto" w:fill="E1D0EE" w:themeFill="accent1" w:themeFillTint="33"/>
            <w:vAlign w:val="center"/>
          </w:tcPr>
          <w:p w14:paraId="5602555F" w14:textId="77777777" w:rsidR="00811D13" w:rsidRPr="00D13AF1" w:rsidRDefault="00811D13" w:rsidP="00811D13">
            <w:pPr>
              <w:pStyle w:val="Tablelastnote"/>
              <w:spacing w:after="0"/>
              <w:jc w:val="center"/>
              <w:rPr>
                <w:sz w:val="19"/>
                <w:szCs w:val="19"/>
              </w:rPr>
            </w:pPr>
            <w:r w:rsidRPr="00D13AF1">
              <w:rPr>
                <w:sz w:val="19"/>
                <w:szCs w:val="19"/>
              </w:rPr>
              <w:sym w:font="Wingdings 2" w:char="F050"/>
            </w:r>
          </w:p>
        </w:tc>
        <w:tc>
          <w:tcPr>
            <w:tcW w:w="1241" w:type="dxa"/>
            <w:shd w:val="clear" w:color="auto" w:fill="E1D0EE" w:themeFill="accent1" w:themeFillTint="33"/>
            <w:noWrap/>
            <w:vAlign w:val="center"/>
            <w:hideMark/>
          </w:tcPr>
          <w:p w14:paraId="3291F09C" w14:textId="77777777" w:rsidR="00811D13" w:rsidRPr="00D13AF1" w:rsidRDefault="00811D13" w:rsidP="00811D13">
            <w:pPr>
              <w:pStyle w:val="Tablelastnote"/>
              <w:spacing w:after="0"/>
              <w:jc w:val="center"/>
              <w:rPr>
                <w:sz w:val="19"/>
                <w:szCs w:val="19"/>
              </w:rPr>
            </w:pPr>
          </w:p>
        </w:tc>
      </w:tr>
      <w:tr w:rsidR="00811D13" w:rsidRPr="00D13AF1" w14:paraId="382C7A39" w14:textId="77777777" w:rsidTr="00C77B38">
        <w:tblPrEx>
          <w:tblCellMar>
            <w:left w:w="85" w:type="dxa"/>
            <w:right w:w="85" w:type="dxa"/>
          </w:tblCellMar>
        </w:tblPrEx>
        <w:trPr>
          <w:trHeight w:val="300"/>
        </w:trPr>
        <w:tc>
          <w:tcPr>
            <w:tcW w:w="1526" w:type="dxa"/>
            <w:vMerge w:val="restart"/>
            <w:vAlign w:val="center"/>
          </w:tcPr>
          <w:p w14:paraId="5771FA61" w14:textId="77777777" w:rsidR="00811D13" w:rsidRPr="00D13AF1" w:rsidRDefault="00811D13" w:rsidP="00811D13">
            <w:pPr>
              <w:pStyle w:val="Tablelastnote"/>
              <w:spacing w:after="0"/>
              <w:jc w:val="left"/>
              <w:rPr>
                <w:b/>
                <w:bCs/>
                <w:sz w:val="19"/>
                <w:szCs w:val="19"/>
              </w:rPr>
            </w:pPr>
            <w:r w:rsidRPr="00D13AF1">
              <w:rPr>
                <w:b/>
                <w:bCs/>
                <w:sz w:val="19"/>
                <w:szCs w:val="19"/>
              </w:rPr>
              <w:t>Canada</w:t>
            </w:r>
          </w:p>
        </w:tc>
        <w:tc>
          <w:tcPr>
            <w:tcW w:w="3685" w:type="dxa"/>
            <w:noWrap/>
            <w:vAlign w:val="center"/>
            <w:hideMark/>
          </w:tcPr>
          <w:p w14:paraId="4A9F2E1C" w14:textId="7BE6A204" w:rsidR="00811D13" w:rsidRPr="00D13AF1" w:rsidRDefault="0092666C" w:rsidP="00811D13">
            <w:pPr>
              <w:pStyle w:val="Tablelastnote"/>
              <w:spacing w:after="0"/>
              <w:jc w:val="left"/>
              <w:rPr>
                <w:sz w:val="19"/>
                <w:szCs w:val="19"/>
              </w:rPr>
            </w:pPr>
            <w:r w:rsidRPr="0092666C">
              <w:rPr>
                <w:sz w:val="19"/>
                <w:szCs w:val="19"/>
              </w:rPr>
              <w:t>Federation of Medical Regulatory Authorities of Canada</w:t>
            </w:r>
          </w:p>
        </w:tc>
        <w:tc>
          <w:tcPr>
            <w:tcW w:w="1418" w:type="dxa"/>
            <w:noWrap/>
            <w:vAlign w:val="center"/>
            <w:hideMark/>
          </w:tcPr>
          <w:p w14:paraId="57B8BDF7" w14:textId="77777777" w:rsidR="00811D13" w:rsidRPr="00D13AF1" w:rsidRDefault="00811D13" w:rsidP="00811D13">
            <w:pPr>
              <w:pStyle w:val="Tablelastnote"/>
              <w:spacing w:after="0"/>
              <w:jc w:val="center"/>
              <w:rPr>
                <w:sz w:val="19"/>
                <w:szCs w:val="19"/>
              </w:rPr>
            </w:pPr>
            <w:r w:rsidRPr="00D13AF1">
              <w:rPr>
                <w:sz w:val="19"/>
                <w:szCs w:val="19"/>
              </w:rPr>
              <w:t>Not directly</w:t>
            </w:r>
          </w:p>
        </w:tc>
        <w:tc>
          <w:tcPr>
            <w:tcW w:w="1134" w:type="dxa"/>
            <w:vAlign w:val="center"/>
          </w:tcPr>
          <w:p w14:paraId="655C85BE" w14:textId="77777777" w:rsidR="00811D13" w:rsidRPr="00D13AF1" w:rsidRDefault="00811D13" w:rsidP="00811D13">
            <w:pPr>
              <w:pStyle w:val="Tablelastnote"/>
              <w:spacing w:after="0"/>
              <w:jc w:val="center"/>
              <w:rPr>
                <w:sz w:val="19"/>
                <w:szCs w:val="19"/>
              </w:rPr>
            </w:pPr>
            <w:r w:rsidRPr="00D13AF1">
              <w:rPr>
                <w:sz w:val="19"/>
                <w:szCs w:val="19"/>
              </w:rPr>
              <w:sym w:font="Wingdings 2" w:char="F050"/>
            </w:r>
          </w:p>
        </w:tc>
        <w:tc>
          <w:tcPr>
            <w:tcW w:w="850" w:type="dxa"/>
            <w:vAlign w:val="center"/>
          </w:tcPr>
          <w:p w14:paraId="2983C223" w14:textId="77777777" w:rsidR="00811D13" w:rsidRPr="00D13AF1" w:rsidRDefault="00811D13" w:rsidP="00811D13">
            <w:pPr>
              <w:pStyle w:val="Tablelastnote"/>
              <w:spacing w:after="0"/>
              <w:jc w:val="center"/>
              <w:rPr>
                <w:sz w:val="19"/>
                <w:szCs w:val="19"/>
              </w:rPr>
            </w:pPr>
            <w:r w:rsidRPr="00D13AF1">
              <w:rPr>
                <w:sz w:val="19"/>
                <w:szCs w:val="19"/>
              </w:rPr>
              <w:sym w:font="Wingdings 2" w:char="F050"/>
            </w:r>
          </w:p>
        </w:tc>
        <w:tc>
          <w:tcPr>
            <w:tcW w:w="1241" w:type="dxa"/>
            <w:noWrap/>
            <w:vAlign w:val="center"/>
            <w:hideMark/>
          </w:tcPr>
          <w:p w14:paraId="3EBB72B6" w14:textId="77777777" w:rsidR="00811D13" w:rsidRPr="00D13AF1" w:rsidRDefault="00811D13" w:rsidP="00811D13">
            <w:pPr>
              <w:pStyle w:val="Tablelastnote"/>
              <w:spacing w:after="0"/>
              <w:jc w:val="center"/>
              <w:rPr>
                <w:sz w:val="19"/>
                <w:szCs w:val="19"/>
              </w:rPr>
            </w:pPr>
            <w:r w:rsidRPr="00D13AF1">
              <w:rPr>
                <w:sz w:val="19"/>
                <w:szCs w:val="19"/>
              </w:rPr>
              <w:sym w:font="Wingdings 2" w:char="F050"/>
            </w:r>
          </w:p>
        </w:tc>
      </w:tr>
      <w:tr w:rsidR="00811D13" w:rsidRPr="00D13AF1" w14:paraId="58CE3FA7" w14:textId="77777777" w:rsidTr="00C77B38">
        <w:trPr>
          <w:trHeight w:val="300"/>
        </w:trPr>
        <w:tc>
          <w:tcPr>
            <w:tcW w:w="1526" w:type="dxa"/>
            <w:vMerge/>
            <w:vAlign w:val="center"/>
          </w:tcPr>
          <w:p w14:paraId="1D59A8D6" w14:textId="77777777" w:rsidR="00811D13" w:rsidRPr="00D13AF1" w:rsidRDefault="00811D13" w:rsidP="00811D13">
            <w:pPr>
              <w:pStyle w:val="Tablelastnote"/>
              <w:spacing w:after="0"/>
              <w:jc w:val="left"/>
              <w:rPr>
                <w:b/>
                <w:bCs/>
                <w:sz w:val="19"/>
                <w:szCs w:val="19"/>
              </w:rPr>
            </w:pPr>
          </w:p>
        </w:tc>
        <w:tc>
          <w:tcPr>
            <w:tcW w:w="3685" w:type="dxa"/>
            <w:shd w:val="clear" w:color="auto" w:fill="E1D0EE" w:themeFill="accent1" w:themeFillTint="33"/>
            <w:noWrap/>
            <w:vAlign w:val="center"/>
            <w:hideMark/>
          </w:tcPr>
          <w:p w14:paraId="13AEE233" w14:textId="59E27AEC" w:rsidR="00811D13" w:rsidRPr="00D13AF1" w:rsidRDefault="00A37FA1" w:rsidP="00811D13">
            <w:pPr>
              <w:pStyle w:val="Tablelastnote"/>
              <w:spacing w:after="0"/>
              <w:jc w:val="left"/>
              <w:rPr>
                <w:sz w:val="19"/>
                <w:szCs w:val="19"/>
              </w:rPr>
            </w:pPr>
            <w:r w:rsidRPr="00A37FA1">
              <w:rPr>
                <w:sz w:val="19"/>
                <w:szCs w:val="19"/>
              </w:rPr>
              <w:t xml:space="preserve">College of Physicians &amp; Surgeons of </w:t>
            </w:r>
            <w:r w:rsidR="00811D13" w:rsidRPr="00D13AF1">
              <w:rPr>
                <w:sz w:val="19"/>
                <w:szCs w:val="19"/>
              </w:rPr>
              <w:t>Alberta</w:t>
            </w:r>
          </w:p>
        </w:tc>
        <w:tc>
          <w:tcPr>
            <w:tcW w:w="1418" w:type="dxa"/>
            <w:shd w:val="clear" w:color="auto" w:fill="E1D0EE" w:themeFill="accent1" w:themeFillTint="33"/>
            <w:noWrap/>
            <w:vAlign w:val="center"/>
            <w:hideMark/>
          </w:tcPr>
          <w:p w14:paraId="37288ACE" w14:textId="77777777" w:rsidR="00811D13" w:rsidRPr="00D13AF1" w:rsidRDefault="00811D13" w:rsidP="00811D13">
            <w:pPr>
              <w:pStyle w:val="Tablelastnote"/>
              <w:spacing w:after="0"/>
              <w:jc w:val="center"/>
              <w:rPr>
                <w:sz w:val="19"/>
                <w:szCs w:val="19"/>
              </w:rPr>
            </w:pPr>
            <w:r w:rsidRPr="00D13AF1">
              <w:rPr>
                <w:sz w:val="19"/>
                <w:szCs w:val="19"/>
              </w:rPr>
              <w:t>Yes</w:t>
            </w:r>
          </w:p>
        </w:tc>
        <w:tc>
          <w:tcPr>
            <w:tcW w:w="1134" w:type="dxa"/>
            <w:shd w:val="clear" w:color="auto" w:fill="E1D0EE" w:themeFill="accent1" w:themeFillTint="33"/>
            <w:vAlign w:val="center"/>
          </w:tcPr>
          <w:p w14:paraId="2961D73B" w14:textId="77777777" w:rsidR="00811D13" w:rsidRPr="00D13AF1" w:rsidRDefault="00811D13" w:rsidP="00811D13">
            <w:pPr>
              <w:pStyle w:val="Tablelastnote"/>
              <w:spacing w:after="0"/>
              <w:jc w:val="center"/>
              <w:rPr>
                <w:sz w:val="19"/>
                <w:szCs w:val="19"/>
              </w:rPr>
            </w:pPr>
            <w:r w:rsidRPr="00D13AF1">
              <w:rPr>
                <w:sz w:val="19"/>
                <w:szCs w:val="19"/>
              </w:rPr>
              <w:sym w:font="Wingdings 2" w:char="F050"/>
            </w:r>
          </w:p>
        </w:tc>
        <w:tc>
          <w:tcPr>
            <w:tcW w:w="850" w:type="dxa"/>
            <w:shd w:val="clear" w:color="auto" w:fill="E1D0EE" w:themeFill="accent1" w:themeFillTint="33"/>
            <w:vAlign w:val="center"/>
          </w:tcPr>
          <w:p w14:paraId="298AB678" w14:textId="77777777" w:rsidR="00811D13" w:rsidRPr="00D13AF1" w:rsidRDefault="00811D13" w:rsidP="00811D13">
            <w:pPr>
              <w:pStyle w:val="Tablelastnote"/>
              <w:spacing w:after="0"/>
              <w:jc w:val="center"/>
              <w:rPr>
                <w:sz w:val="19"/>
                <w:szCs w:val="19"/>
              </w:rPr>
            </w:pPr>
            <w:r w:rsidRPr="00D13AF1">
              <w:rPr>
                <w:sz w:val="19"/>
                <w:szCs w:val="19"/>
              </w:rPr>
              <w:sym w:font="Wingdings 2" w:char="F050"/>
            </w:r>
          </w:p>
        </w:tc>
        <w:tc>
          <w:tcPr>
            <w:tcW w:w="1241" w:type="dxa"/>
            <w:shd w:val="clear" w:color="auto" w:fill="E1D0EE" w:themeFill="accent1" w:themeFillTint="33"/>
            <w:noWrap/>
            <w:vAlign w:val="center"/>
          </w:tcPr>
          <w:p w14:paraId="4986F0BC" w14:textId="77777777" w:rsidR="00811D13" w:rsidRPr="00D13AF1" w:rsidRDefault="00811D13" w:rsidP="00811D13">
            <w:pPr>
              <w:pStyle w:val="Tablelastnote"/>
              <w:spacing w:after="0"/>
              <w:jc w:val="center"/>
              <w:rPr>
                <w:sz w:val="19"/>
                <w:szCs w:val="19"/>
              </w:rPr>
            </w:pPr>
          </w:p>
        </w:tc>
      </w:tr>
      <w:tr w:rsidR="00811D13" w:rsidRPr="00D13AF1" w14:paraId="2ED642E6" w14:textId="77777777" w:rsidTr="00C77B38">
        <w:tblPrEx>
          <w:tblCellMar>
            <w:left w:w="85" w:type="dxa"/>
            <w:right w:w="85" w:type="dxa"/>
          </w:tblCellMar>
        </w:tblPrEx>
        <w:trPr>
          <w:trHeight w:val="300"/>
        </w:trPr>
        <w:tc>
          <w:tcPr>
            <w:tcW w:w="1526" w:type="dxa"/>
            <w:vMerge/>
            <w:vAlign w:val="center"/>
          </w:tcPr>
          <w:p w14:paraId="7B6CBDF6" w14:textId="77777777" w:rsidR="00811D13" w:rsidRPr="00D13AF1" w:rsidRDefault="00811D13" w:rsidP="00811D13">
            <w:pPr>
              <w:pStyle w:val="Tablelastnote"/>
              <w:spacing w:after="0"/>
              <w:jc w:val="left"/>
              <w:rPr>
                <w:b/>
                <w:bCs/>
                <w:sz w:val="19"/>
                <w:szCs w:val="19"/>
              </w:rPr>
            </w:pPr>
          </w:p>
        </w:tc>
        <w:tc>
          <w:tcPr>
            <w:tcW w:w="3685" w:type="dxa"/>
            <w:noWrap/>
            <w:vAlign w:val="center"/>
            <w:hideMark/>
          </w:tcPr>
          <w:p w14:paraId="15C06D79" w14:textId="60929928" w:rsidR="00811D13" w:rsidRPr="00D13AF1" w:rsidRDefault="00A37FA1" w:rsidP="00811D13">
            <w:pPr>
              <w:pStyle w:val="Tablelastnote"/>
              <w:spacing w:after="0"/>
              <w:jc w:val="left"/>
              <w:rPr>
                <w:sz w:val="19"/>
                <w:szCs w:val="19"/>
              </w:rPr>
            </w:pPr>
            <w:r w:rsidRPr="00A37FA1">
              <w:rPr>
                <w:sz w:val="19"/>
                <w:szCs w:val="19"/>
              </w:rPr>
              <w:t xml:space="preserve">College of Physicians &amp; Surgeons of </w:t>
            </w:r>
            <w:r w:rsidR="00811D13" w:rsidRPr="00D13AF1">
              <w:rPr>
                <w:sz w:val="19"/>
                <w:szCs w:val="19"/>
              </w:rPr>
              <w:t>British Columbia</w:t>
            </w:r>
          </w:p>
        </w:tc>
        <w:tc>
          <w:tcPr>
            <w:tcW w:w="1418" w:type="dxa"/>
            <w:noWrap/>
            <w:vAlign w:val="center"/>
            <w:hideMark/>
          </w:tcPr>
          <w:p w14:paraId="12346C0A" w14:textId="77777777" w:rsidR="00811D13" w:rsidRPr="00D13AF1" w:rsidRDefault="00811D13" w:rsidP="00811D13">
            <w:pPr>
              <w:pStyle w:val="Tablelastnote"/>
              <w:spacing w:after="0"/>
              <w:jc w:val="center"/>
              <w:rPr>
                <w:sz w:val="19"/>
                <w:szCs w:val="19"/>
              </w:rPr>
            </w:pPr>
            <w:r w:rsidRPr="00D13AF1">
              <w:rPr>
                <w:sz w:val="19"/>
                <w:szCs w:val="19"/>
              </w:rPr>
              <w:t>Yes</w:t>
            </w:r>
          </w:p>
        </w:tc>
        <w:tc>
          <w:tcPr>
            <w:tcW w:w="1134" w:type="dxa"/>
            <w:vAlign w:val="center"/>
          </w:tcPr>
          <w:p w14:paraId="00216E24" w14:textId="77777777" w:rsidR="00811D13" w:rsidRPr="00D13AF1" w:rsidRDefault="00811D13" w:rsidP="00811D13">
            <w:pPr>
              <w:pStyle w:val="Tablelastnote"/>
              <w:spacing w:after="0"/>
              <w:jc w:val="center"/>
              <w:rPr>
                <w:sz w:val="19"/>
                <w:szCs w:val="19"/>
              </w:rPr>
            </w:pPr>
            <w:r w:rsidRPr="00D13AF1">
              <w:rPr>
                <w:sz w:val="19"/>
                <w:szCs w:val="19"/>
              </w:rPr>
              <w:sym w:font="Wingdings 2" w:char="F050"/>
            </w:r>
          </w:p>
        </w:tc>
        <w:tc>
          <w:tcPr>
            <w:tcW w:w="850" w:type="dxa"/>
            <w:vAlign w:val="center"/>
          </w:tcPr>
          <w:p w14:paraId="1D8AF887" w14:textId="77777777" w:rsidR="00811D13" w:rsidRPr="00D13AF1" w:rsidRDefault="00811D13" w:rsidP="00811D13">
            <w:pPr>
              <w:pStyle w:val="Tablelastnote"/>
              <w:spacing w:after="0"/>
              <w:jc w:val="center"/>
              <w:rPr>
                <w:sz w:val="19"/>
                <w:szCs w:val="19"/>
              </w:rPr>
            </w:pPr>
            <w:r w:rsidRPr="00D13AF1">
              <w:rPr>
                <w:sz w:val="19"/>
                <w:szCs w:val="19"/>
              </w:rPr>
              <w:sym w:font="Wingdings 2" w:char="F050"/>
            </w:r>
          </w:p>
        </w:tc>
        <w:tc>
          <w:tcPr>
            <w:tcW w:w="1241" w:type="dxa"/>
            <w:noWrap/>
            <w:vAlign w:val="center"/>
            <w:hideMark/>
          </w:tcPr>
          <w:p w14:paraId="776D1547" w14:textId="77777777" w:rsidR="00811D13" w:rsidRPr="00D13AF1" w:rsidRDefault="00811D13" w:rsidP="00811D13">
            <w:pPr>
              <w:pStyle w:val="Tablelastnote"/>
              <w:spacing w:after="0"/>
              <w:jc w:val="center"/>
              <w:rPr>
                <w:sz w:val="19"/>
                <w:szCs w:val="19"/>
              </w:rPr>
            </w:pPr>
            <w:r w:rsidRPr="00D13AF1">
              <w:rPr>
                <w:sz w:val="19"/>
                <w:szCs w:val="19"/>
              </w:rPr>
              <w:sym w:font="Wingdings 2" w:char="F050"/>
            </w:r>
          </w:p>
        </w:tc>
      </w:tr>
      <w:tr w:rsidR="00811D13" w:rsidRPr="00D13AF1" w14:paraId="79EE0C5E" w14:textId="77777777" w:rsidTr="00C77B38">
        <w:trPr>
          <w:trHeight w:val="300"/>
        </w:trPr>
        <w:tc>
          <w:tcPr>
            <w:tcW w:w="1526" w:type="dxa"/>
            <w:vMerge/>
            <w:vAlign w:val="center"/>
          </w:tcPr>
          <w:p w14:paraId="6CD14001" w14:textId="77777777" w:rsidR="00811D13" w:rsidRPr="00D13AF1" w:rsidRDefault="00811D13" w:rsidP="00811D13">
            <w:pPr>
              <w:pStyle w:val="Tablelastnote"/>
              <w:spacing w:after="0"/>
              <w:jc w:val="left"/>
              <w:rPr>
                <w:b/>
                <w:bCs/>
                <w:sz w:val="19"/>
                <w:szCs w:val="19"/>
              </w:rPr>
            </w:pPr>
          </w:p>
        </w:tc>
        <w:tc>
          <w:tcPr>
            <w:tcW w:w="3685" w:type="dxa"/>
            <w:shd w:val="clear" w:color="auto" w:fill="E1D0EE" w:themeFill="accent1" w:themeFillTint="33"/>
            <w:noWrap/>
            <w:vAlign w:val="center"/>
            <w:hideMark/>
          </w:tcPr>
          <w:p w14:paraId="32914706" w14:textId="730A832C" w:rsidR="00811D13" w:rsidRPr="00D13AF1" w:rsidRDefault="00A37FA1" w:rsidP="00811D13">
            <w:pPr>
              <w:pStyle w:val="Tablelastnote"/>
              <w:spacing w:after="0"/>
              <w:jc w:val="left"/>
              <w:rPr>
                <w:sz w:val="19"/>
                <w:szCs w:val="19"/>
              </w:rPr>
            </w:pPr>
            <w:r w:rsidRPr="00A37FA1">
              <w:rPr>
                <w:sz w:val="19"/>
                <w:szCs w:val="19"/>
              </w:rPr>
              <w:t xml:space="preserve">College of Physicians &amp; Surgeons of </w:t>
            </w:r>
            <w:r w:rsidR="00811D13" w:rsidRPr="00D13AF1">
              <w:rPr>
                <w:sz w:val="19"/>
                <w:szCs w:val="19"/>
              </w:rPr>
              <w:t>Newfoundland and Labrador</w:t>
            </w:r>
          </w:p>
        </w:tc>
        <w:tc>
          <w:tcPr>
            <w:tcW w:w="1418" w:type="dxa"/>
            <w:shd w:val="clear" w:color="auto" w:fill="E1D0EE" w:themeFill="accent1" w:themeFillTint="33"/>
            <w:noWrap/>
            <w:vAlign w:val="center"/>
            <w:hideMark/>
          </w:tcPr>
          <w:p w14:paraId="0A5E70F3" w14:textId="77777777" w:rsidR="00811D13" w:rsidRPr="00D13AF1" w:rsidRDefault="00811D13" w:rsidP="00811D13">
            <w:pPr>
              <w:pStyle w:val="Tablelastnote"/>
              <w:spacing w:after="0"/>
              <w:jc w:val="center"/>
              <w:rPr>
                <w:sz w:val="19"/>
                <w:szCs w:val="19"/>
              </w:rPr>
            </w:pPr>
            <w:r w:rsidRPr="00D13AF1">
              <w:rPr>
                <w:sz w:val="19"/>
                <w:szCs w:val="19"/>
              </w:rPr>
              <w:t>Yes</w:t>
            </w:r>
          </w:p>
        </w:tc>
        <w:tc>
          <w:tcPr>
            <w:tcW w:w="1134" w:type="dxa"/>
            <w:shd w:val="clear" w:color="auto" w:fill="E1D0EE" w:themeFill="accent1" w:themeFillTint="33"/>
            <w:vAlign w:val="center"/>
          </w:tcPr>
          <w:p w14:paraId="641FBD7E" w14:textId="77777777" w:rsidR="00811D13" w:rsidRPr="00D13AF1" w:rsidRDefault="00811D13" w:rsidP="00811D13">
            <w:pPr>
              <w:pStyle w:val="Tablelastnote"/>
              <w:spacing w:after="0"/>
              <w:jc w:val="center"/>
              <w:rPr>
                <w:sz w:val="19"/>
                <w:szCs w:val="19"/>
              </w:rPr>
            </w:pPr>
            <w:r w:rsidRPr="00D13AF1">
              <w:rPr>
                <w:sz w:val="19"/>
                <w:szCs w:val="19"/>
              </w:rPr>
              <w:sym w:font="Wingdings 2" w:char="F050"/>
            </w:r>
          </w:p>
        </w:tc>
        <w:tc>
          <w:tcPr>
            <w:tcW w:w="850" w:type="dxa"/>
            <w:shd w:val="clear" w:color="auto" w:fill="E1D0EE" w:themeFill="accent1" w:themeFillTint="33"/>
            <w:vAlign w:val="center"/>
          </w:tcPr>
          <w:p w14:paraId="30B572DA" w14:textId="77777777" w:rsidR="00811D13" w:rsidRPr="00D13AF1" w:rsidRDefault="00811D13" w:rsidP="00811D13">
            <w:pPr>
              <w:pStyle w:val="Tablelastnote"/>
              <w:spacing w:after="0"/>
              <w:jc w:val="center"/>
              <w:rPr>
                <w:sz w:val="19"/>
                <w:szCs w:val="19"/>
              </w:rPr>
            </w:pPr>
          </w:p>
        </w:tc>
        <w:tc>
          <w:tcPr>
            <w:tcW w:w="1241" w:type="dxa"/>
            <w:shd w:val="clear" w:color="auto" w:fill="E1D0EE" w:themeFill="accent1" w:themeFillTint="33"/>
            <w:noWrap/>
            <w:vAlign w:val="center"/>
          </w:tcPr>
          <w:p w14:paraId="3C03D423" w14:textId="77777777" w:rsidR="00811D13" w:rsidRPr="00D13AF1" w:rsidRDefault="00811D13" w:rsidP="00811D13">
            <w:pPr>
              <w:pStyle w:val="Tablelastnote"/>
              <w:spacing w:after="0"/>
              <w:jc w:val="center"/>
              <w:rPr>
                <w:sz w:val="19"/>
                <w:szCs w:val="19"/>
              </w:rPr>
            </w:pPr>
          </w:p>
        </w:tc>
      </w:tr>
      <w:tr w:rsidR="00811D13" w:rsidRPr="00D13AF1" w14:paraId="15DAF57B" w14:textId="77777777" w:rsidTr="00C77B38">
        <w:tblPrEx>
          <w:tblCellMar>
            <w:left w:w="85" w:type="dxa"/>
            <w:right w:w="85" w:type="dxa"/>
          </w:tblCellMar>
        </w:tblPrEx>
        <w:trPr>
          <w:trHeight w:val="300"/>
        </w:trPr>
        <w:tc>
          <w:tcPr>
            <w:tcW w:w="1526" w:type="dxa"/>
            <w:vMerge/>
            <w:vAlign w:val="center"/>
          </w:tcPr>
          <w:p w14:paraId="3C5D6131" w14:textId="77777777" w:rsidR="00811D13" w:rsidRPr="00D13AF1" w:rsidRDefault="00811D13" w:rsidP="00811D13">
            <w:pPr>
              <w:pStyle w:val="Tablelastnote"/>
              <w:spacing w:after="0"/>
              <w:jc w:val="left"/>
              <w:rPr>
                <w:b/>
                <w:bCs/>
                <w:sz w:val="19"/>
                <w:szCs w:val="19"/>
              </w:rPr>
            </w:pPr>
          </w:p>
        </w:tc>
        <w:tc>
          <w:tcPr>
            <w:tcW w:w="3685" w:type="dxa"/>
            <w:noWrap/>
            <w:vAlign w:val="center"/>
            <w:hideMark/>
          </w:tcPr>
          <w:p w14:paraId="65667621" w14:textId="7557218C" w:rsidR="00811D13" w:rsidRPr="00D13AF1" w:rsidRDefault="00A37FA1" w:rsidP="00811D13">
            <w:pPr>
              <w:pStyle w:val="Tablelastnote"/>
              <w:spacing w:after="0"/>
              <w:jc w:val="left"/>
              <w:rPr>
                <w:sz w:val="19"/>
                <w:szCs w:val="19"/>
              </w:rPr>
            </w:pPr>
            <w:r w:rsidRPr="00A37FA1">
              <w:rPr>
                <w:sz w:val="19"/>
                <w:szCs w:val="19"/>
              </w:rPr>
              <w:t xml:space="preserve">College of Physicians &amp; Surgeons of </w:t>
            </w:r>
            <w:r w:rsidR="00811D13" w:rsidRPr="00D13AF1">
              <w:rPr>
                <w:sz w:val="19"/>
                <w:szCs w:val="19"/>
              </w:rPr>
              <w:t>Ontario</w:t>
            </w:r>
          </w:p>
        </w:tc>
        <w:tc>
          <w:tcPr>
            <w:tcW w:w="1418" w:type="dxa"/>
            <w:noWrap/>
            <w:vAlign w:val="center"/>
            <w:hideMark/>
          </w:tcPr>
          <w:p w14:paraId="26CECE52" w14:textId="77777777" w:rsidR="00811D13" w:rsidRPr="00D13AF1" w:rsidRDefault="00811D13" w:rsidP="00811D13">
            <w:pPr>
              <w:pStyle w:val="Tablelastnote"/>
              <w:spacing w:after="0"/>
              <w:jc w:val="center"/>
              <w:rPr>
                <w:sz w:val="19"/>
                <w:szCs w:val="19"/>
              </w:rPr>
            </w:pPr>
            <w:r w:rsidRPr="00D13AF1">
              <w:rPr>
                <w:sz w:val="19"/>
                <w:szCs w:val="19"/>
              </w:rPr>
              <w:t>Yes</w:t>
            </w:r>
          </w:p>
        </w:tc>
        <w:tc>
          <w:tcPr>
            <w:tcW w:w="1134" w:type="dxa"/>
            <w:vAlign w:val="center"/>
          </w:tcPr>
          <w:p w14:paraId="66CDDCB4" w14:textId="77777777" w:rsidR="00811D13" w:rsidRPr="00D13AF1" w:rsidRDefault="00811D13" w:rsidP="00811D13">
            <w:pPr>
              <w:pStyle w:val="Tablelastnote"/>
              <w:spacing w:after="0"/>
              <w:jc w:val="center"/>
              <w:rPr>
                <w:sz w:val="19"/>
                <w:szCs w:val="19"/>
              </w:rPr>
            </w:pPr>
            <w:r w:rsidRPr="00D13AF1">
              <w:rPr>
                <w:sz w:val="19"/>
                <w:szCs w:val="19"/>
              </w:rPr>
              <w:sym w:font="Wingdings 2" w:char="F050"/>
            </w:r>
          </w:p>
        </w:tc>
        <w:tc>
          <w:tcPr>
            <w:tcW w:w="850" w:type="dxa"/>
            <w:vAlign w:val="center"/>
          </w:tcPr>
          <w:p w14:paraId="0298D915" w14:textId="77777777" w:rsidR="00811D13" w:rsidRPr="00D13AF1" w:rsidRDefault="00811D13" w:rsidP="00811D13">
            <w:pPr>
              <w:pStyle w:val="Tablelastnote"/>
              <w:spacing w:after="0"/>
              <w:jc w:val="center"/>
              <w:rPr>
                <w:sz w:val="19"/>
                <w:szCs w:val="19"/>
              </w:rPr>
            </w:pPr>
            <w:r w:rsidRPr="00D13AF1">
              <w:rPr>
                <w:sz w:val="19"/>
                <w:szCs w:val="19"/>
              </w:rPr>
              <w:sym w:font="Wingdings 2" w:char="F050"/>
            </w:r>
          </w:p>
        </w:tc>
        <w:tc>
          <w:tcPr>
            <w:tcW w:w="1241" w:type="dxa"/>
            <w:noWrap/>
            <w:vAlign w:val="center"/>
            <w:hideMark/>
          </w:tcPr>
          <w:p w14:paraId="3CCCBF7D" w14:textId="77777777" w:rsidR="00811D13" w:rsidRPr="00D13AF1" w:rsidRDefault="00811D13" w:rsidP="00811D13">
            <w:pPr>
              <w:pStyle w:val="Tablelastnote"/>
              <w:spacing w:after="0"/>
              <w:jc w:val="center"/>
              <w:rPr>
                <w:sz w:val="19"/>
                <w:szCs w:val="19"/>
              </w:rPr>
            </w:pPr>
            <w:r w:rsidRPr="00D13AF1">
              <w:rPr>
                <w:sz w:val="19"/>
                <w:szCs w:val="19"/>
              </w:rPr>
              <w:sym w:font="Wingdings 2" w:char="F050"/>
            </w:r>
          </w:p>
        </w:tc>
      </w:tr>
      <w:tr w:rsidR="00811D13" w:rsidRPr="00D13AF1" w14:paraId="5820BBEB" w14:textId="77777777" w:rsidTr="00C77B38">
        <w:trPr>
          <w:trHeight w:val="300"/>
        </w:trPr>
        <w:tc>
          <w:tcPr>
            <w:tcW w:w="1526" w:type="dxa"/>
            <w:vMerge/>
            <w:vAlign w:val="center"/>
          </w:tcPr>
          <w:p w14:paraId="0C083CB7" w14:textId="77777777" w:rsidR="00811D13" w:rsidRPr="00D13AF1" w:rsidRDefault="00811D13" w:rsidP="00811D13">
            <w:pPr>
              <w:pStyle w:val="Tablelastnote"/>
              <w:spacing w:after="0"/>
              <w:jc w:val="left"/>
              <w:rPr>
                <w:b/>
                <w:bCs/>
                <w:sz w:val="19"/>
                <w:szCs w:val="19"/>
              </w:rPr>
            </w:pPr>
          </w:p>
        </w:tc>
        <w:tc>
          <w:tcPr>
            <w:tcW w:w="3685" w:type="dxa"/>
            <w:shd w:val="clear" w:color="auto" w:fill="E1D0EE" w:themeFill="accent1" w:themeFillTint="33"/>
            <w:noWrap/>
            <w:vAlign w:val="center"/>
            <w:hideMark/>
          </w:tcPr>
          <w:p w14:paraId="330DE178" w14:textId="15197C8E" w:rsidR="00811D13" w:rsidRPr="00D13AF1" w:rsidRDefault="00A37FA1" w:rsidP="00811D13">
            <w:pPr>
              <w:pStyle w:val="Tablelastnote"/>
              <w:spacing w:after="0"/>
              <w:jc w:val="left"/>
              <w:rPr>
                <w:sz w:val="19"/>
                <w:szCs w:val="19"/>
              </w:rPr>
            </w:pPr>
            <w:r w:rsidRPr="00A37FA1">
              <w:rPr>
                <w:sz w:val="19"/>
                <w:szCs w:val="19"/>
              </w:rPr>
              <w:t xml:space="preserve">College of Physicians &amp; Surgeons of </w:t>
            </w:r>
            <w:r w:rsidR="00811D13" w:rsidRPr="00D13AF1">
              <w:rPr>
                <w:sz w:val="19"/>
                <w:szCs w:val="19"/>
              </w:rPr>
              <w:t>Saskatchewan</w:t>
            </w:r>
          </w:p>
        </w:tc>
        <w:tc>
          <w:tcPr>
            <w:tcW w:w="1418" w:type="dxa"/>
            <w:shd w:val="clear" w:color="auto" w:fill="E1D0EE" w:themeFill="accent1" w:themeFillTint="33"/>
            <w:noWrap/>
            <w:vAlign w:val="center"/>
            <w:hideMark/>
          </w:tcPr>
          <w:p w14:paraId="368F79C8" w14:textId="77777777" w:rsidR="00811D13" w:rsidRPr="00D13AF1" w:rsidRDefault="00811D13" w:rsidP="00811D13">
            <w:pPr>
              <w:pStyle w:val="Tablelastnote"/>
              <w:spacing w:after="0"/>
              <w:jc w:val="center"/>
              <w:rPr>
                <w:sz w:val="19"/>
                <w:szCs w:val="19"/>
              </w:rPr>
            </w:pPr>
            <w:r w:rsidRPr="00D13AF1">
              <w:rPr>
                <w:sz w:val="19"/>
                <w:szCs w:val="19"/>
              </w:rPr>
              <w:t>Yes</w:t>
            </w:r>
          </w:p>
        </w:tc>
        <w:tc>
          <w:tcPr>
            <w:tcW w:w="1134" w:type="dxa"/>
            <w:shd w:val="clear" w:color="auto" w:fill="E1D0EE" w:themeFill="accent1" w:themeFillTint="33"/>
            <w:vAlign w:val="center"/>
          </w:tcPr>
          <w:p w14:paraId="393FC88C" w14:textId="77777777" w:rsidR="00811D13" w:rsidRPr="00D13AF1" w:rsidRDefault="00811D13" w:rsidP="00811D13">
            <w:pPr>
              <w:pStyle w:val="Tablelastnote"/>
              <w:spacing w:after="0"/>
              <w:jc w:val="center"/>
              <w:rPr>
                <w:sz w:val="19"/>
                <w:szCs w:val="19"/>
              </w:rPr>
            </w:pPr>
            <w:r w:rsidRPr="00D13AF1">
              <w:rPr>
                <w:sz w:val="19"/>
                <w:szCs w:val="19"/>
              </w:rPr>
              <w:sym w:font="Wingdings 2" w:char="F050"/>
            </w:r>
          </w:p>
        </w:tc>
        <w:tc>
          <w:tcPr>
            <w:tcW w:w="850" w:type="dxa"/>
            <w:shd w:val="clear" w:color="auto" w:fill="E1D0EE" w:themeFill="accent1" w:themeFillTint="33"/>
            <w:vAlign w:val="center"/>
          </w:tcPr>
          <w:p w14:paraId="5EFD62FF" w14:textId="77777777" w:rsidR="00811D13" w:rsidRPr="00D13AF1" w:rsidRDefault="00811D13" w:rsidP="00811D13">
            <w:pPr>
              <w:pStyle w:val="Tablelastnote"/>
              <w:spacing w:after="0"/>
              <w:jc w:val="center"/>
              <w:rPr>
                <w:sz w:val="19"/>
                <w:szCs w:val="19"/>
              </w:rPr>
            </w:pPr>
            <w:r w:rsidRPr="00D13AF1">
              <w:rPr>
                <w:sz w:val="19"/>
                <w:szCs w:val="19"/>
              </w:rPr>
              <w:sym w:font="Wingdings 2" w:char="F050"/>
            </w:r>
          </w:p>
        </w:tc>
        <w:tc>
          <w:tcPr>
            <w:tcW w:w="1241" w:type="dxa"/>
            <w:shd w:val="clear" w:color="auto" w:fill="E1D0EE" w:themeFill="accent1" w:themeFillTint="33"/>
            <w:noWrap/>
            <w:vAlign w:val="center"/>
            <w:hideMark/>
          </w:tcPr>
          <w:p w14:paraId="39CBBD0F" w14:textId="77777777" w:rsidR="00811D13" w:rsidRPr="00D13AF1" w:rsidRDefault="00811D13" w:rsidP="00811D13">
            <w:pPr>
              <w:pStyle w:val="Tablelastnote"/>
              <w:spacing w:after="0"/>
              <w:jc w:val="center"/>
              <w:rPr>
                <w:sz w:val="19"/>
                <w:szCs w:val="19"/>
              </w:rPr>
            </w:pPr>
            <w:r w:rsidRPr="00D13AF1">
              <w:rPr>
                <w:sz w:val="19"/>
                <w:szCs w:val="19"/>
              </w:rPr>
              <w:sym w:font="Wingdings 2" w:char="F050"/>
            </w:r>
          </w:p>
        </w:tc>
      </w:tr>
      <w:tr w:rsidR="00811D13" w:rsidRPr="00D13AF1" w14:paraId="629D5709" w14:textId="77777777" w:rsidTr="00C77B38">
        <w:tblPrEx>
          <w:tblCellMar>
            <w:left w:w="85" w:type="dxa"/>
            <w:right w:w="85" w:type="dxa"/>
          </w:tblCellMar>
        </w:tblPrEx>
        <w:trPr>
          <w:trHeight w:val="300"/>
        </w:trPr>
        <w:tc>
          <w:tcPr>
            <w:tcW w:w="1526" w:type="dxa"/>
            <w:vMerge w:val="restart"/>
            <w:shd w:val="clear" w:color="auto" w:fill="E1D0EE" w:themeFill="accent1" w:themeFillTint="33"/>
            <w:vAlign w:val="center"/>
          </w:tcPr>
          <w:p w14:paraId="7AD60D8B" w14:textId="77777777" w:rsidR="00811D13" w:rsidRPr="00D13AF1" w:rsidRDefault="00811D13" w:rsidP="00811D13">
            <w:pPr>
              <w:pStyle w:val="Tablelastnote"/>
              <w:spacing w:after="0"/>
              <w:jc w:val="left"/>
              <w:rPr>
                <w:b/>
                <w:bCs/>
                <w:sz w:val="19"/>
                <w:szCs w:val="19"/>
              </w:rPr>
            </w:pPr>
            <w:r w:rsidRPr="00D13AF1">
              <w:rPr>
                <w:b/>
                <w:bCs/>
                <w:sz w:val="19"/>
                <w:szCs w:val="19"/>
              </w:rPr>
              <w:t>Denmark</w:t>
            </w:r>
          </w:p>
        </w:tc>
        <w:tc>
          <w:tcPr>
            <w:tcW w:w="3685" w:type="dxa"/>
            <w:noWrap/>
            <w:vAlign w:val="center"/>
            <w:hideMark/>
          </w:tcPr>
          <w:p w14:paraId="00D29246" w14:textId="2AAEEDB9" w:rsidR="00811D13" w:rsidRPr="00D13AF1" w:rsidRDefault="00A37FA1" w:rsidP="00811D13">
            <w:pPr>
              <w:pStyle w:val="Tablelastnote"/>
              <w:spacing w:after="0"/>
              <w:jc w:val="left"/>
              <w:rPr>
                <w:sz w:val="19"/>
                <w:szCs w:val="19"/>
              </w:rPr>
            </w:pPr>
            <w:r w:rsidRPr="00D13AF1">
              <w:rPr>
                <w:sz w:val="19"/>
                <w:szCs w:val="19"/>
              </w:rPr>
              <w:t xml:space="preserve">Danish </w:t>
            </w:r>
            <w:r>
              <w:rPr>
                <w:sz w:val="19"/>
                <w:szCs w:val="19"/>
              </w:rPr>
              <w:t>Health</w:t>
            </w:r>
            <w:r w:rsidRPr="00D13AF1">
              <w:rPr>
                <w:sz w:val="19"/>
                <w:szCs w:val="19"/>
              </w:rPr>
              <w:t xml:space="preserve"> Authority</w:t>
            </w:r>
          </w:p>
        </w:tc>
        <w:tc>
          <w:tcPr>
            <w:tcW w:w="1418" w:type="dxa"/>
            <w:noWrap/>
            <w:vAlign w:val="center"/>
            <w:hideMark/>
          </w:tcPr>
          <w:p w14:paraId="294235D0" w14:textId="77777777" w:rsidR="00811D13" w:rsidRPr="00D13AF1" w:rsidRDefault="00811D13" w:rsidP="00811D13">
            <w:pPr>
              <w:pStyle w:val="Tablelastnote"/>
              <w:spacing w:after="0"/>
              <w:jc w:val="center"/>
              <w:rPr>
                <w:sz w:val="19"/>
                <w:szCs w:val="19"/>
              </w:rPr>
            </w:pPr>
            <w:r w:rsidRPr="00D13AF1">
              <w:rPr>
                <w:sz w:val="19"/>
                <w:szCs w:val="19"/>
              </w:rPr>
              <w:t>Yes</w:t>
            </w:r>
          </w:p>
        </w:tc>
        <w:tc>
          <w:tcPr>
            <w:tcW w:w="1134" w:type="dxa"/>
            <w:vAlign w:val="center"/>
          </w:tcPr>
          <w:p w14:paraId="6C1730BF" w14:textId="77777777" w:rsidR="00811D13" w:rsidRPr="00D13AF1" w:rsidRDefault="00811D13" w:rsidP="00811D13">
            <w:pPr>
              <w:pStyle w:val="Tablelastnote"/>
              <w:spacing w:after="0"/>
              <w:jc w:val="center"/>
              <w:rPr>
                <w:sz w:val="19"/>
                <w:szCs w:val="19"/>
              </w:rPr>
            </w:pPr>
            <w:r w:rsidRPr="00D13AF1">
              <w:rPr>
                <w:sz w:val="19"/>
                <w:szCs w:val="19"/>
              </w:rPr>
              <w:sym w:font="Wingdings 2" w:char="F050"/>
            </w:r>
          </w:p>
        </w:tc>
        <w:tc>
          <w:tcPr>
            <w:tcW w:w="850" w:type="dxa"/>
            <w:vAlign w:val="center"/>
          </w:tcPr>
          <w:p w14:paraId="50B5FFF7" w14:textId="77777777" w:rsidR="00811D13" w:rsidRPr="00D13AF1" w:rsidRDefault="00811D13" w:rsidP="00811D13">
            <w:pPr>
              <w:pStyle w:val="Tablelastnote"/>
              <w:spacing w:after="0"/>
              <w:jc w:val="center"/>
              <w:rPr>
                <w:sz w:val="19"/>
                <w:szCs w:val="19"/>
              </w:rPr>
            </w:pPr>
          </w:p>
        </w:tc>
        <w:tc>
          <w:tcPr>
            <w:tcW w:w="1241" w:type="dxa"/>
            <w:noWrap/>
            <w:vAlign w:val="center"/>
          </w:tcPr>
          <w:p w14:paraId="7129909A" w14:textId="77777777" w:rsidR="00811D13" w:rsidRPr="00D13AF1" w:rsidRDefault="00811D13" w:rsidP="00811D13">
            <w:pPr>
              <w:pStyle w:val="Tablelastnote"/>
              <w:spacing w:after="0"/>
              <w:jc w:val="center"/>
              <w:rPr>
                <w:sz w:val="19"/>
                <w:szCs w:val="19"/>
              </w:rPr>
            </w:pPr>
          </w:p>
        </w:tc>
      </w:tr>
      <w:tr w:rsidR="00811D13" w:rsidRPr="00D13AF1" w14:paraId="5C09E921" w14:textId="77777777" w:rsidTr="00C77B38">
        <w:trPr>
          <w:trHeight w:val="300"/>
        </w:trPr>
        <w:tc>
          <w:tcPr>
            <w:tcW w:w="1526" w:type="dxa"/>
            <w:vMerge/>
            <w:shd w:val="clear" w:color="auto" w:fill="E1D0EE" w:themeFill="accent1" w:themeFillTint="33"/>
            <w:vAlign w:val="center"/>
          </w:tcPr>
          <w:p w14:paraId="4920CE1C" w14:textId="77777777" w:rsidR="00811D13" w:rsidRPr="00D13AF1" w:rsidRDefault="00811D13" w:rsidP="00811D13">
            <w:pPr>
              <w:pStyle w:val="Tablelastnote"/>
              <w:spacing w:after="0"/>
              <w:jc w:val="left"/>
              <w:rPr>
                <w:b/>
                <w:bCs/>
                <w:sz w:val="19"/>
                <w:szCs w:val="19"/>
              </w:rPr>
            </w:pPr>
          </w:p>
        </w:tc>
        <w:tc>
          <w:tcPr>
            <w:tcW w:w="3685" w:type="dxa"/>
            <w:shd w:val="clear" w:color="auto" w:fill="E1D0EE" w:themeFill="accent1" w:themeFillTint="33"/>
            <w:noWrap/>
            <w:vAlign w:val="center"/>
            <w:hideMark/>
          </w:tcPr>
          <w:p w14:paraId="0A8FD9D9" w14:textId="77777777" w:rsidR="00811D13" w:rsidRPr="00D13AF1" w:rsidRDefault="00811D13" w:rsidP="00811D13">
            <w:pPr>
              <w:pStyle w:val="Tablelastnote"/>
              <w:spacing w:after="0"/>
              <w:jc w:val="left"/>
              <w:rPr>
                <w:sz w:val="19"/>
                <w:szCs w:val="19"/>
              </w:rPr>
            </w:pPr>
            <w:r w:rsidRPr="00D13AF1">
              <w:rPr>
                <w:sz w:val="19"/>
                <w:szCs w:val="19"/>
              </w:rPr>
              <w:t>National Board of eHealth</w:t>
            </w:r>
          </w:p>
        </w:tc>
        <w:tc>
          <w:tcPr>
            <w:tcW w:w="1418" w:type="dxa"/>
            <w:shd w:val="clear" w:color="auto" w:fill="E1D0EE" w:themeFill="accent1" w:themeFillTint="33"/>
            <w:noWrap/>
            <w:vAlign w:val="center"/>
            <w:hideMark/>
          </w:tcPr>
          <w:p w14:paraId="4BA50CDC" w14:textId="77777777" w:rsidR="00811D13" w:rsidRPr="00D13AF1" w:rsidRDefault="00811D13" w:rsidP="00811D13">
            <w:pPr>
              <w:pStyle w:val="Tablelastnote"/>
              <w:spacing w:after="0"/>
              <w:jc w:val="center"/>
              <w:rPr>
                <w:sz w:val="19"/>
                <w:szCs w:val="19"/>
              </w:rPr>
            </w:pPr>
            <w:r w:rsidRPr="00D13AF1">
              <w:rPr>
                <w:sz w:val="19"/>
                <w:szCs w:val="19"/>
              </w:rPr>
              <w:t>No</w:t>
            </w:r>
          </w:p>
        </w:tc>
        <w:tc>
          <w:tcPr>
            <w:tcW w:w="1134" w:type="dxa"/>
            <w:shd w:val="clear" w:color="auto" w:fill="E1D0EE" w:themeFill="accent1" w:themeFillTint="33"/>
            <w:vAlign w:val="center"/>
          </w:tcPr>
          <w:p w14:paraId="15EB2226" w14:textId="77777777" w:rsidR="00811D13" w:rsidRPr="00D13AF1" w:rsidRDefault="00811D13" w:rsidP="00811D13">
            <w:pPr>
              <w:pStyle w:val="Tablelastnote"/>
              <w:spacing w:after="0"/>
              <w:jc w:val="center"/>
              <w:rPr>
                <w:sz w:val="19"/>
                <w:szCs w:val="19"/>
              </w:rPr>
            </w:pPr>
            <w:r w:rsidRPr="00D13AF1">
              <w:rPr>
                <w:sz w:val="19"/>
                <w:szCs w:val="19"/>
              </w:rPr>
              <w:sym w:font="Wingdings 2" w:char="F050"/>
            </w:r>
          </w:p>
        </w:tc>
        <w:tc>
          <w:tcPr>
            <w:tcW w:w="850" w:type="dxa"/>
            <w:shd w:val="clear" w:color="auto" w:fill="E1D0EE" w:themeFill="accent1" w:themeFillTint="33"/>
            <w:vAlign w:val="center"/>
          </w:tcPr>
          <w:p w14:paraId="7889D78E" w14:textId="77777777" w:rsidR="00811D13" w:rsidRPr="00D13AF1" w:rsidRDefault="00811D13" w:rsidP="00811D13">
            <w:pPr>
              <w:pStyle w:val="Tablelastnote"/>
              <w:spacing w:after="0"/>
              <w:jc w:val="center"/>
              <w:rPr>
                <w:sz w:val="19"/>
                <w:szCs w:val="19"/>
              </w:rPr>
            </w:pPr>
          </w:p>
        </w:tc>
        <w:tc>
          <w:tcPr>
            <w:tcW w:w="1241" w:type="dxa"/>
            <w:shd w:val="clear" w:color="auto" w:fill="E1D0EE" w:themeFill="accent1" w:themeFillTint="33"/>
            <w:noWrap/>
            <w:vAlign w:val="center"/>
          </w:tcPr>
          <w:p w14:paraId="5B1F54ED" w14:textId="77777777" w:rsidR="00811D13" w:rsidRPr="00D13AF1" w:rsidRDefault="00811D13" w:rsidP="00811D13">
            <w:pPr>
              <w:pStyle w:val="Tablelastnote"/>
              <w:spacing w:after="0"/>
              <w:jc w:val="center"/>
              <w:rPr>
                <w:sz w:val="19"/>
                <w:szCs w:val="19"/>
              </w:rPr>
            </w:pPr>
          </w:p>
        </w:tc>
      </w:tr>
      <w:tr w:rsidR="00811D13" w:rsidRPr="00D13AF1" w14:paraId="1492766B" w14:textId="77777777" w:rsidTr="00C77B38">
        <w:tblPrEx>
          <w:tblCellMar>
            <w:left w:w="85" w:type="dxa"/>
            <w:right w:w="85" w:type="dxa"/>
          </w:tblCellMar>
        </w:tblPrEx>
        <w:trPr>
          <w:trHeight w:val="300"/>
        </w:trPr>
        <w:tc>
          <w:tcPr>
            <w:tcW w:w="1526" w:type="dxa"/>
            <w:vMerge/>
            <w:shd w:val="clear" w:color="auto" w:fill="E1D0EE" w:themeFill="accent1" w:themeFillTint="33"/>
            <w:vAlign w:val="center"/>
          </w:tcPr>
          <w:p w14:paraId="03417973" w14:textId="77777777" w:rsidR="00811D13" w:rsidRPr="00D13AF1" w:rsidRDefault="00811D13" w:rsidP="00811D13">
            <w:pPr>
              <w:pStyle w:val="Tablelastnote"/>
              <w:spacing w:after="0"/>
              <w:jc w:val="left"/>
              <w:rPr>
                <w:b/>
                <w:bCs/>
                <w:sz w:val="19"/>
                <w:szCs w:val="19"/>
              </w:rPr>
            </w:pPr>
          </w:p>
        </w:tc>
        <w:tc>
          <w:tcPr>
            <w:tcW w:w="3685" w:type="dxa"/>
            <w:noWrap/>
            <w:vAlign w:val="center"/>
          </w:tcPr>
          <w:p w14:paraId="01DCD7D2" w14:textId="77777777" w:rsidR="00811D13" w:rsidRPr="00D13AF1" w:rsidRDefault="00811D13" w:rsidP="00811D13">
            <w:pPr>
              <w:pStyle w:val="Tablelastnote"/>
              <w:spacing w:after="0"/>
              <w:jc w:val="left"/>
              <w:rPr>
                <w:sz w:val="19"/>
                <w:szCs w:val="19"/>
              </w:rPr>
            </w:pPr>
            <w:r w:rsidRPr="00D13AF1">
              <w:rPr>
                <w:sz w:val="19"/>
                <w:szCs w:val="19"/>
              </w:rPr>
              <w:t>Danish Patient Safety Authority</w:t>
            </w:r>
          </w:p>
        </w:tc>
        <w:tc>
          <w:tcPr>
            <w:tcW w:w="1418" w:type="dxa"/>
            <w:noWrap/>
            <w:vAlign w:val="center"/>
          </w:tcPr>
          <w:p w14:paraId="105038C2" w14:textId="77777777" w:rsidR="00811D13" w:rsidRPr="00D13AF1" w:rsidRDefault="00811D13" w:rsidP="00811D13">
            <w:pPr>
              <w:pStyle w:val="Tablelastnote"/>
              <w:spacing w:after="0"/>
              <w:jc w:val="center"/>
              <w:rPr>
                <w:sz w:val="19"/>
                <w:szCs w:val="19"/>
              </w:rPr>
            </w:pPr>
            <w:r w:rsidRPr="00D13AF1">
              <w:rPr>
                <w:sz w:val="19"/>
                <w:szCs w:val="19"/>
              </w:rPr>
              <w:t>Yes</w:t>
            </w:r>
          </w:p>
        </w:tc>
        <w:tc>
          <w:tcPr>
            <w:tcW w:w="1134" w:type="dxa"/>
            <w:vAlign w:val="center"/>
          </w:tcPr>
          <w:p w14:paraId="709E2E0E" w14:textId="77777777" w:rsidR="00811D13" w:rsidRPr="00D13AF1" w:rsidRDefault="00811D13" w:rsidP="00811D13">
            <w:pPr>
              <w:pStyle w:val="Tablelastnote"/>
              <w:spacing w:after="0"/>
              <w:jc w:val="center"/>
              <w:rPr>
                <w:sz w:val="19"/>
                <w:szCs w:val="19"/>
              </w:rPr>
            </w:pPr>
            <w:r w:rsidRPr="00D13AF1">
              <w:rPr>
                <w:sz w:val="19"/>
                <w:szCs w:val="19"/>
              </w:rPr>
              <w:sym w:font="Wingdings 2" w:char="F050"/>
            </w:r>
          </w:p>
        </w:tc>
        <w:tc>
          <w:tcPr>
            <w:tcW w:w="850" w:type="dxa"/>
            <w:vAlign w:val="center"/>
          </w:tcPr>
          <w:p w14:paraId="7F59C184" w14:textId="77777777" w:rsidR="00811D13" w:rsidRPr="00D13AF1" w:rsidRDefault="00811D13" w:rsidP="00811D13">
            <w:pPr>
              <w:pStyle w:val="Tablelastnote"/>
              <w:spacing w:after="0"/>
              <w:jc w:val="center"/>
              <w:rPr>
                <w:sz w:val="19"/>
                <w:szCs w:val="19"/>
              </w:rPr>
            </w:pPr>
            <w:r w:rsidRPr="00D13AF1">
              <w:rPr>
                <w:sz w:val="19"/>
                <w:szCs w:val="19"/>
              </w:rPr>
              <w:sym w:font="Wingdings 2" w:char="F050"/>
            </w:r>
          </w:p>
        </w:tc>
        <w:tc>
          <w:tcPr>
            <w:tcW w:w="1241" w:type="dxa"/>
            <w:noWrap/>
            <w:vAlign w:val="center"/>
          </w:tcPr>
          <w:p w14:paraId="3161EB73" w14:textId="77777777" w:rsidR="00811D13" w:rsidRPr="00D13AF1" w:rsidRDefault="00811D13" w:rsidP="00811D13">
            <w:pPr>
              <w:pStyle w:val="Tablelastnote"/>
              <w:spacing w:after="0"/>
              <w:jc w:val="center"/>
              <w:rPr>
                <w:sz w:val="19"/>
                <w:szCs w:val="19"/>
              </w:rPr>
            </w:pPr>
          </w:p>
        </w:tc>
      </w:tr>
      <w:tr w:rsidR="00CC035D" w:rsidRPr="00D13AF1" w14:paraId="50AF2069" w14:textId="77777777" w:rsidTr="00CC035D">
        <w:trPr>
          <w:trHeight w:val="300"/>
        </w:trPr>
        <w:tc>
          <w:tcPr>
            <w:tcW w:w="1526" w:type="dxa"/>
            <w:vMerge w:val="restart"/>
            <w:vAlign w:val="center"/>
          </w:tcPr>
          <w:p w14:paraId="51D59FF7" w14:textId="77777777" w:rsidR="00CC035D" w:rsidRPr="00D13AF1" w:rsidRDefault="00CC035D" w:rsidP="00CC035D">
            <w:pPr>
              <w:pStyle w:val="Tablelastnote"/>
              <w:spacing w:after="0"/>
              <w:jc w:val="left"/>
              <w:rPr>
                <w:b/>
                <w:bCs/>
                <w:sz w:val="19"/>
                <w:szCs w:val="19"/>
              </w:rPr>
            </w:pPr>
            <w:r w:rsidRPr="00D13AF1">
              <w:rPr>
                <w:b/>
                <w:bCs/>
                <w:sz w:val="19"/>
                <w:szCs w:val="19"/>
              </w:rPr>
              <w:t>France</w:t>
            </w:r>
          </w:p>
        </w:tc>
        <w:tc>
          <w:tcPr>
            <w:tcW w:w="3685" w:type="dxa"/>
            <w:shd w:val="clear" w:color="auto" w:fill="E1D0EE" w:themeFill="accent1" w:themeFillTint="33"/>
            <w:noWrap/>
            <w:vAlign w:val="center"/>
            <w:hideMark/>
          </w:tcPr>
          <w:p w14:paraId="0B66B04F" w14:textId="13E2A169" w:rsidR="00CC035D" w:rsidRPr="00D13AF1" w:rsidRDefault="00CC035D" w:rsidP="00811D13">
            <w:pPr>
              <w:pStyle w:val="Tablelastnote"/>
              <w:spacing w:after="0"/>
              <w:jc w:val="left"/>
              <w:rPr>
                <w:sz w:val="19"/>
                <w:szCs w:val="19"/>
              </w:rPr>
            </w:pPr>
            <w:r>
              <w:rPr>
                <w:sz w:val="19"/>
                <w:szCs w:val="19"/>
              </w:rPr>
              <w:t>Legislator</w:t>
            </w:r>
          </w:p>
        </w:tc>
        <w:tc>
          <w:tcPr>
            <w:tcW w:w="1418" w:type="dxa"/>
            <w:shd w:val="clear" w:color="auto" w:fill="E1D0EE" w:themeFill="accent1" w:themeFillTint="33"/>
            <w:noWrap/>
            <w:vAlign w:val="center"/>
            <w:hideMark/>
          </w:tcPr>
          <w:p w14:paraId="7D86778D" w14:textId="77777777" w:rsidR="00CC035D" w:rsidRPr="00D13AF1" w:rsidRDefault="00CC035D" w:rsidP="00811D13">
            <w:pPr>
              <w:pStyle w:val="Tablelastnote"/>
              <w:spacing w:after="0"/>
              <w:jc w:val="center"/>
              <w:rPr>
                <w:sz w:val="19"/>
                <w:szCs w:val="19"/>
              </w:rPr>
            </w:pPr>
            <w:r w:rsidRPr="00D13AF1">
              <w:rPr>
                <w:sz w:val="19"/>
                <w:szCs w:val="19"/>
              </w:rPr>
              <w:t>Law</w:t>
            </w:r>
          </w:p>
        </w:tc>
        <w:tc>
          <w:tcPr>
            <w:tcW w:w="1134" w:type="dxa"/>
            <w:shd w:val="clear" w:color="auto" w:fill="E1D0EE" w:themeFill="accent1" w:themeFillTint="33"/>
            <w:vAlign w:val="center"/>
          </w:tcPr>
          <w:p w14:paraId="2AA5468C" w14:textId="77777777" w:rsidR="00CC035D" w:rsidRPr="00D13AF1" w:rsidRDefault="00CC035D" w:rsidP="00811D13">
            <w:pPr>
              <w:pStyle w:val="Tablelastnote"/>
              <w:spacing w:after="0"/>
              <w:jc w:val="center"/>
              <w:rPr>
                <w:sz w:val="19"/>
                <w:szCs w:val="19"/>
              </w:rPr>
            </w:pPr>
            <w:r w:rsidRPr="00D13AF1">
              <w:rPr>
                <w:sz w:val="19"/>
                <w:szCs w:val="19"/>
              </w:rPr>
              <w:sym w:font="Wingdings 2" w:char="F050"/>
            </w:r>
          </w:p>
        </w:tc>
        <w:tc>
          <w:tcPr>
            <w:tcW w:w="850" w:type="dxa"/>
            <w:shd w:val="clear" w:color="auto" w:fill="E1D0EE" w:themeFill="accent1" w:themeFillTint="33"/>
            <w:vAlign w:val="center"/>
          </w:tcPr>
          <w:p w14:paraId="2190391C" w14:textId="77777777" w:rsidR="00CC035D" w:rsidRPr="00D13AF1" w:rsidRDefault="00CC035D" w:rsidP="00811D13">
            <w:pPr>
              <w:pStyle w:val="Tablelastnote"/>
              <w:spacing w:after="0"/>
              <w:jc w:val="center"/>
              <w:rPr>
                <w:sz w:val="19"/>
                <w:szCs w:val="19"/>
              </w:rPr>
            </w:pPr>
          </w:p>
        </w:tc>
        <w:tc>
          <w:tcPr>
            <w:tcW w:w="1241" w:type="dxa"/>
            <w:shd w:val="clear" w:color="auto" w:fill="E1D0EE" w:themeFill="accent1" w:themeFillTint="33"/>
            <w:noWrap/>
            <w:vAlign w:val="center"/>
          </w:tcPr>
          <w:p w14:paraId="34EBAF41" w14:textId="77777777" w:rsidR="00CC035D" w:rsidRPr="00D13AF1" w:rsidRDefault="00CC035D" w:rsidP="00811D13">
            <w:pPr>
              <w:pStyle w:val="Tablelastnote"/>
              <w:spacing w:after="0"/>
              <w:jc w:val="center"/>
              <w:rPr>
                <w:sz w:val="19"/>
                <w:szCs w:val="19"/>
              </w:rPr>
            </w:pPr>
          </w:p>
        </w:tc>
      </w:tr>
      <w:tr w:rsidR="00CC035D" w:rsidRPr="00D13AF1" w14:paraId="5999EA13" w14:textId="77777777" w:rsidTr="00CC035D">
        <w:trPr>
          <w:trHeight w:val="300"/>
        </w:trPr>
        <w:tc>
          <w:tcPr>
            <w:tcW w:w="1526" w:type="dxa"/>
            <w:vMerge/>
            <w:vAlign w:val="center"/>
          </w:tcPr>
          <w:p w14:paraId="09065EC0" w14:textId="77777777" w:rsidR="00CC035D" w:rsidRPr="00D13AF1" w:rsidRDefault="00CC035D" w:rsidP="00811D13">
            <w:pPr>
              <w:pStyle w:val="Tablelastnote"/>
              <w:spacing w:after="0"/>
              <w:jc w:val="left"/>
              <w:rPr>
                <w:b/>
                <w:bCs/>
                <w:sz w:val="19"/>
                <w:szCs w:val="19"/>
              </w:rPr>
            </w:pPr>
          </w:p>
        </w:tc>
        <w:tc>
          <w:tcPr>
            <w:tcW w:w="3685" w:type="dxa"/>
            <w:shd w:val="clear" w:color="auto" w:fill="auto"/>
            <w:noWrap/>
            <w:vAlign w:val="center"/>
          </w:tcPr>
          <w:p w14:paraId="546D9EED" w14:textId="77777777" w:rsidR="00CC035D" w:rsidRPr="00D13AF1" w:rsidRDefault="00CC035D" w:rsidP="00811D13">
            <w:pPr>
              <w:pStyle w:val="Tablelastnote"/>
              <w:spacing w:after="0"/>
              <w:jc w:val="left"/>
              <w:rPr>
                <w:sz w:val="19"/>
                <w:szCs w:val="19"/>
              </w:rPr>
            </w:pPr>
            <w:r w:rsidRPr="00D13AF1">
              <w:rPr>
                <w:sz w:val="19"/>
                <w:szCs w:val="19"/>
              </w:rPr>
              <w:t>Council of the National Order of Doctors</w:t>
            </w:r>
          </w:p>
        </w:tc>
        <w:tc>
          <w:tcPr>
            <w:tcW w:w="1418" w:type="dxa"/>
            <w:shd w:val="clear" w:color="auto" w:fill="auto"/>
            <w:noWrap/>
            <w:vAlign w:val="center"/>
          </w:tcPr>
          <w:p w14:paraId="0C76C643" w14:textId="77777777" w:rsidR="00CC035D" w:rsidRPr="00D13AF1" w:rsidRDefault="00CC035D" w:rsidP="00811D13">
            <w:pPr>
              <w:pStyle w:val="Tablelastnote"/>
              <w:spacing w:after="0"/>
              <w:jc w:val="center"/>
              <w:rPr>
                <w:sz w:val="19"/>
                <w:szCs w:val="19"/>
              </w:rPr>
            </w:pPr>
            <w:r w:rsidRPr="00D13AF1">
              <w:rPr>
                <w:sz w:val="19"/>
                <w:szCs w:val="19"/>
              </w:rPr>
              <w:t>Yes</w:t>
            </w:r>
          </w:p>
        </w:tc>
        <w:tc>
          <w:tcPr>
            <w:tcW w:w="1134" w:type="dxa"/>
            <w:shd w:val="clear" w:color="auto" w:fill="auto"/>
            <w:vAlign w:val="center"/>
          </w:tcPr>
          <w:p w14:paraId="43A0BBDA" w14:textId="77777777" w:rsidR="00CC035D" w:rsidRPr="00D13AF1" w:rsidRDefault="00CC035D" w:rsidP="00811D13">
            <w:pPr>
              <w:pStyle w:val="Tablelastnote"/>
              <w:spacing w:after="0"/>
              <w:jc w:val="center"/>
              <w:rPr>
                <w:sz w:val="19"/>
                <w:szCs w:val="19"/>
              </w:rPr>
            </w:pPr>
            <w:r w:rsidRPr="00D13AF1">
              <w:rPr>
                <w:sz w:val="19"/>
                <w:szCs w:val="19"/>
              </w:rPr>
              <w:sym w:font="Wingdings 2" w:char="F050"/>
            </w:r>
          </w:p>
        </w:tc>
        <w:tc>
          <w:tcPr>
            <w:tcW w:w="850" w:type="dxa"/>
            <w:shd w:val="clear" w:color="auto" w:fill="auto"/>
            <w:vAlign w:val="center"/>
          </w:tcPr>
          <w:p w14:paraId="085366ED" w14:textId="77777777" w:rsidR="00CC035D" w:rsidRPr="00D13AF1" w:rsidRDefault="00CC035D" w:rsidP="00811D13">
            <w:pPr>
              <w:pStyle w:val="Tablelastnote"/>
              <w:spacing w:after="0"/>
              <w:jc w:val="center"/>
              <w:rPr>
                <w:sz w:val="19"/>
                <w:szCs w:val="19"/>
              </w:rPr>
            </w:pPr>
            <w:r w:rsidRPr="00D13AF1">
              <w:rPr>
                <w:sz w:val="19"/>
                <w:szCs w:val="19"/>
              </w:rPr>
              <w:sym w:font="Wingdings 2" w:char="F050"/>
            </w:r>
          </w:p>
        </w:tc>
        <w:tc>
          <w:tcPr>
            <w:tcW w:w="1241" w:type="dxa"/>
            <w:shd w:val="clear" w:color="auto" w:fill="auto"/>
            <w:noWrap/>
            <w:vAlign w:val="center"/>
          </w:tcPr>
          <w:p w14:paraId="02A04594" w14:textId="77777777" w:rsidR="00CC035D" w:rsidRPr="00D13AF1" w:rsidRDefault="00CC035D" w:rsidP="00811D13">
            <w:pPr>
              <w:pStyle w:val="Tablelastnote"/>
              <w:spacing w:after="0"/>
              <w:jc w:val="center"/>
              <w:rPr>
                <w:sz w:val="19"/>
                <w:szCs w:val="19"/>
              </w:rPr>
            </w:pPr>
          </w:p>
        </w:tc>
      </w:tr>
      <w:tr w:rsidR="00811D13" w:rsidRPr="00D13AF1" w14:paraId="17E3B92D" w14:textId="77777777" w:rsidTr="00CC035D">
        <w:tblPrEx>
          <w:tblCellMar>
            <w:left w:w="85" w:type="dxa"/>
            <w:right w:w="85" w:type="dxa"/>
          </w:tblCellMar>
        </w:tblPrEx>
        <w:trPr>
          <w:trHeight w:val="300"/>
        </w:trPr>
        <w:tc>
          <w:tcPr>
            <w:tcW w:w="1526" w:type="dxa"/>
            <w:shd w:val="clear" w:color="auto" w:fill="E1D0EE" w:themeFill="accent1" w:themeFillTint="33"/>
            <w:vAlign w:val="center"/>
          </w:tcPr>
          <w:p w14:paraId="00B5B44C" w14:textId="77777777" w:rsidR="00811D13" w:rsidRPr="00D13AF1" w:rsidRDefault="00811D13" w:rsidP="00811D13">
            <w:pPr>
              <w:pStyle w:val="Tablelastnote"/>
              <w:spacing w:after="0"/>
              <w:jc w:val="left"/>
              <w:rPr>
                <w:b/>
                <w:bCs/>
                <w:sz w:val="19"/>
                <w:szCs w:val="19"/>
              </w:rPr>
            </w:pPr>
            <w:r w:rsidRPr="00D13AF1">
              <w:rPr>
                <w:b/>
                <w:bCs/>
                <w:sz w:val="19"/>
                <w:szCs w:val="19"/>
              </w:rPr>
              <w:t>New Zealand</w:t>
            </w:r>
          </w:p>
        </w:tc>
        <w:tc>
          <w:tcPr>
            <w:tcW w:w="3685" w:type="dxa"/>
            <w:shd w:val="clear" w:color="auto" w:fill="E1D0EE" w:themeFill="accent1" w:themeFillTint="33"/>
            <w:noWrap/>
            <w:vAlign w:val="center"/>
            <w:hideMark/>
          </w:tcPr>
          <w:p w14:paraId="55D28679" w14:textId="39B7C1D2" w:rsidR="00811D13" w:rsidRPr="00D13AF1" w:rsidRDefault="00A37FA1" w:rsidP="00811D13">
            <w:pPr>
              <w:pStyle w:val="Tablelastnote"/>
              <w:spacing w:after="0"/>
              <w:jc w:val="left"/>
              <w:rPr>
                <w:sz w:val="19"/>
                <w:szCs w:val="19"/>
              </w:rPr>
            </w:pPr>
            <w:r>
              <w:rPr>
                <w:sz w:val="19"/>
                <w:szCs w:val="19"/>
              </w:rPr>
              <w:t>Medical Council of New Zealand</w:t>
            </w:r>
          </w:p>
        </w:tc>
        <w:tc>
          <w:tcPr>
            <w:tcW w:w="1418" w:type="dxa"/>
            <w:shd w:val="clear" w:color="auto" w:fill="E1D0EE" w:themeFill="accent1" w:themeFillTint="33"/>
            <w:noWrap/>
            <w:vAlign w:val="center"/>
            <w:hideMark/>
          </w:tcPr>
          <w:p w14:paraId="087DB903" w14:textId="77777777" w:rsidR="00811D13" w:rsidRPr="00D13AF1" w:rsidRDefault="00811D13" w:rsidP="00811D13">
            <w:pPr>
              <w:pStyle w:val="Tablelastnote"/>
              <w:spacing w:after="0"/>
              <w:jc w:val="center"/>
              <w:rPr>
                <w:sz w:val="19"/>
                <w:szCs w:val="19"/>
              </w:rPr>
            </w:pPr>
            <w:r w:rsidRPr="00D13AF1">
              <w:rPr>
                <w:sz w:val="19"/>
                <w:szCs w:val="19"/>
              </w:rPr>
              <w:t>Yes</w:t>
            </w:r>
          </w:p>
        </w:tc>
        <w:tc>
          <w:tcPr>
            <w:tcW w:w="1134" w:type="dxa"/>
            <w:shd w:val="clear" w:color="auto" w:fill="E1D0EE" w:themeFill="accent1" w:themeFillTint="33"/>
            <w:vAlign w:val="center"/>
          </w:tcPr>
          <w:p w14:paraId="5A2F59FE" w14:textId="77777777" w:rsidR="00811D13" w:rsidRPr="00D13AF1" w:rsidRDefault="00811D13" w:rsidP="00811D13">
            <w:pPr>
              <w:pStyle w:val="Tablelastnote"/>
              <w:spacing w:after="0"/>
              <w:jc w:val="center"/>
              <w:rPr>
                <w:sz w:val="19"/>
                <w:szCs w:val="19"/>
              </w:rPr>
            </w:pPr>
            <w:r w:rsidRPr="00D13AF1">
              <w:rPr>
                <w:sz w:val="19"/>
                <w:szCs w:val="19"/>
              </w:rPr>
              <w:sym w:font="Wingdings 2" w:char="F050"/>
            </w:r>
          </w:p>
        </w:tc>
        <w:tc>
          <w:tcPr>
            <w:tcW w:w="850" w:type="dxa"/>
            <w:shd w:val="clear" w:color="auto" w:fill="E1D0EE" w:themeFill="accent1" w:themeFillTint="33"/>
            <w:vAlign w:val="center"/>
          </w:tcPr>
          <w:p w14:paraId="659C3E10" w14:textId="77777777" w:rsidR="00811D13" w:rsidRPr="00D13AF1" w:rsidRDefault="00811D13" w:rsidP="00811D13">
            <w:pPr>
              <w:pStyle w:val="Tablelastnote"/>
              <w:spacing w:after="0"/>
              <w:jc w:val="center"/>
              <w:rPr>
                <w:sz w:val="19"/>
                <w:szCs w:val="19"/>
              </w:rPr>
            </w:pPr>
            <w:r w:rsidRPr="00D13AF1">
              <w:rPr>
                <w:sz w:val="19"/>
                <w:szCs w:val="19"/>
              </w:rPr>
              <w:sym w:font="Wingdings 2" w:char="F050"/>
            </w:r>
          </w:p>
        </w:tc>
        <w:tc>
          <w:tcPr>
            <w:tcW w:w="1241" w:type="dxa"/>
            <w:shd w:val="clear" w:color="auto" w:fill="E1D0EE" w:themeFill="accent1" w:themeFillTint="33"/>
            <w:noWrap/>
            <w:vAlign w:val="center"/>
            <w:hideMark/>
          </w:tcPr>
          <w:p w14:paraId="3605CF05" w14:textId="77777777" w:rsidR="00811D13" w:rsidRPr="00D13AF1" w:rsidRDefault="00811D13" w:rsidP="00811D13">
            <w:pPr>
              <w:pStyle w:val="Tablelastnote"/>
              <w:spacing w:after="0"/>
              <w:jc w:val="center"/>
              <w:rPr>
                <w:sz w:val="19"/>
                <w:szCs w:val="19"/>
              </w:rPr>
            </w:pPr>
            <w:r w:rsidRPr="00D13AF1">
              <w:rPr>
                <w:sz w:val="19"/>
                <w:szCs w:val="19"/>
              </w:rPr>
              <w:sym w:font="Wingdings 2" w:char="F050"/>
            </w:r>
          </w:p>
        </w:tc>
      </w:tr>
      <w:tr w:rsidR="00811D13" w:rsidRPr="00D13AF1" w14:paraId="0A229939" w14:textId="77777777" w:rsidTr="00CC035D">
        <w:trPr>
          <w:trHeight w:val="300"/>
        </w:trPr>
        <w:tc>
          <w:tcPr>
            <w:tcW w:w="1526" w:type="dxa"/>
            <w:vMerge w:val="restart"/>
            <w:vAlign w:val="center"/>
          </w:tcPr>
          <w:p w14:paraId="1643BC55" w14:textId="77777777" w:rsidR="00811D13" w:rsidRPr="00D13AF1" w:rsidRDefault="00811D13" w:rsidP="00811D13">
            <w:pPr>
              <w:pStyle w:val="Tablelastnote"/>
              <w:spacing w:after="0"/>
              <w:jc w:val="left"/>
              <w:rPr>
                <w:b/>
                <w:bCs/>
                <w:sz w:val="19"/>
                <w:szCs w:val="19"/>
              </w:rPr>
            </w:pPr>
            <w:r w:rsidRPr="00D13AF1">
              <w:rPr>
                <w:b/>
                <w:bCs/>
                <w:sz w:val="19"/>
                <w:szCs w:val="19"/>
              </w:rPr>
              <w:t>Portugal</w:t>
            </w:r>
          </w:p>
        </w:tc>
        <w:tc>
          <w:tcPr>
            <w:tcW w:w="3685" w:type="dxa"/>
            <w:shd w:val="clear" w:color="auto" w:fill="auto"/>
            <w:noWrap/>
            <w:vAlign w:val="center"/>
            <w:hideMark/>
          </w:tcPr>
          <w:p w14:paraId="3F9CB935" w14:textId="59937B1E" w:rsidR="00811D13" w:rsidRPr="00D13AF1" w:rsidRDefault="00A37FA1" w:rsidP="00811D13">
            <w:pPr>
              <w:pStyle w:val="Tablelastnote"/>
              <w:spacing w:after="0"/>
              <w:jc w:val="left"/>
              <w:rPr>
                <w:sz w:val="19"/>
                <w:szCs w:val="19"/>
              </w:rPr>
            </w:pPr>
            <w:r>
              <w:rPr>
                <w:sz w:val="19"/>
                <w:szCs w:val="19"/>
              </w:rPr>
              <w:t>Legislator</w:t>
            </w:r>
          </w:p>
        </w:tc>
        <w:tc>
          <w:tcPr>
            <w:tcW w:w="1418" w:type="dxa"/>
            <w:shd w:val="clear" w:color="auto" w:fill="auto"/>
            <w:noWrap/>
            <w:vAlign w:val="center"/>
            <w:hideMark/>
          </w:tcPr>
          <w:p w14:paraId="7A7A0629" w14:textId="77777777" w:rsidR="00811D13" w:rsidRPr="00D13AF1" w:rsidRDefault="00811D13" w:rsidP="00811D13">
            <w:pPr>
              <w:pStyle w:val="Tablelastnote"/>
              <w:spacing w:after="0"/>
              <w:jc w:val="center"/>
              <w:rPr>
                <w:sz w:val="19"/>
                <w:szCs w:val="19"/>
              </w:rPr>
            </w:pPr>
            <w:r w:rsidRPr="00D13AF1">
              <w:rPr>
                <w:sz w:val="19"/>
                <w:szCs w:val="19"/>
              </w:rPr>
              <w:t>Law</w:t>
            </w:r>
          </w:p>
        </w:tc>
        <w:tc>
          <w:tcPr>
            <w:tcW w:w="1134" w:type="dxa"/>
            <w:shd w:val="clear" w:color="auto" w:fill="auto"/>
            <w:vAlign w:val="center"/>
          </w:tcPr>
          <w:p w14:paraId="364B3FEB" w14:textId="77777777" w:rsidR="00811D13" w:rsidRPr="00D13AF1" w:rsidRDefault="00811D13" w:rsidP="00811D13">
            <w:pPr>
              <w:pStyle w:val="Tablelastnote"/>
              <w:spacing w:after="0"/>
              <w:jc w:val="center"/>
              <w:rPr>
                <w:sz w:val="19"/>
                <w:szCs w:val="19"/>
              </w:rPr>
            </w:pPr>
            <w:r w:rsidRPr="00D13AF1">
              <w:rPr>
                <w:sz w:val="19"/>
                <w:szCs w:val="19"/>
              </w:rPr>
              <w:sym w:font="Wingdings 2" w:char="F050"/>
            </w:r>
          </w:p>
        </w:tc>
        <w:tc>
          <w:tcPr>
            <w:tcW w:w="850" w:type="dxa"/>
            <w:shd w:val="clear" w:color="auto" w:fill="auto"/>
            <w:vAlign w:val="center"/>
          </w:tcPr>
          <w:p w14:paraId="7FDFD8EF" w14:textId="77777777" w:rsidR="00811D13" w:rsidRPr="00D13AF1" w:rsidRDefault="00811D13" w:rsidP="00811D13">
            <w:pPr>
              <w:pStyle w:val="Tablelastnote"/>
              <w:spacing w:after="0"/>
              <w:jc w:val="center"/>
              <w:rPr>
                <w:sz w:val="19"/>
                <w:szCs w:val="19"/>
              </w:rPr>
            </w:pPr>
          </w:p>
        </w:tc>
        <w:tc>
          <w:tcPr>
            <w:tcW w:w="1241" w:type="dxa"/>
            <w:shd w:val="clear" w:color="auto" w:fill="auto"/>
            <w:noWrap/>
            <w:vAlign w:val="center"/>
          </w:tcPr>
          <w:p w14:paraId="49923C5D" w14:textId="77777777" w:rsidR="00811D13" w:rsidRPr="00D13AF1" w:rsidRDefault="00811D13" w:rsidP="00811D13">
            <w:pPr>
              <w:pStyle w:val="Tablelastnote"/>
              <w:spacing w:after="0"/>
              <w:jc w:val="center"/>
              <w:rPr>
                <w:sz w:val="19"/>
                <w:szCs w:val="19"/>
              </w:rPr>
            </w:pPr>
          </w:p>
        </w:tc>
      </w:tr>
      <w:tr w:rsidR="00811D13" w:rsidRPr="00D13AF1" w14:paraId="6484175B" w14:textId="77777777" w:rsidTr="00CC035D">
        <w:tblPrEx>
          <w:tblCellMar>
            <w:left w:w="85" w:type="dxa"/>
            <w:right w:w="85" w:type="dxa"/>
          </w:tblCellMar>
        </w:tblPrEx>
        <w:trPr>
          <w:trHeight w:val="300"/>
        </w:trPr>
        <w:tc>
          <w:tcPr>
            <w:tcW w:w="1526" w:type="dxa"/>
            <w:vMerge/>
            <w:vAlign w:val="center"/>
          </w:tcPr>
          <w:p w14:paraId="6C5CE696" w14:textId="77777777" w:rsidR="00811D13" w:rsidRPr="00D13AF1" w:rsidRDefault="00811D13" w:rsidP="00811D13">
            <w:pPr>
              <w:pStyle w:val="Tablelastnote"/>
              <w:spacing w:after="0"/>
              <w:jc w:val="left"/>
              <w:rPr>
                <w:b/>
                <w:bCs/>
                <w:sz w:val="19"/>
                <w:szCs w:val="19"/>
              </w:rPr>
            </w:pPr>
          </w:p>
        </w:tc>
        <w:tc>
          <w:tcPr>
            <w:tcW w:w="3685" w:type="dxa"/>
            <w:shd w:val="clear" w:color="auto" w:fill="E1D0EE" w:themeFill="accent1" w:themeFillTint="33"/>
            <w:noWrap/>
            <w:vAlign w:val="center"/>
            <w:hideMark/>
          </w:tcPr>
          <w:p w14:paraId="43070240" w14:textId="78C54FAF" w:rsidR="00811D13" w:rsidRPr="00D13AF1" w:rsidRDefault="00A37FA1" w:rsidP="00811D13">
            <w:pPr>
              <w:pStyle w:val="Tablelastnote"/>
              <w:spacing w:after="0"/>
              <w:jc w:val="left"/>
              <w:rPr>
                <w:sz w:val="19"/>
                <w:szCs w:val="19"/>
              </w:rPr>
            </w:pPr>
            <w:r>
              <w:rPr>
                <w:sz w:val="19"/>
                <w:szCs w:val="19"/>
              </w:rPr>
              <w:t xml:space="preserve">Order of Doctors </w:t>
            </w:r>
            <w:r w:rsidR="00811D13" w:rsidRPr="00D13AF1">
              <w:rPr>
                <w:sz w:val="19"/>
                <w:szCs w:val="19"/>
              </w:rPr>
              <w:t>(</w:t>
            </w:r>
            <w:r w:rsidRPr="00A37FA1">
              <w:rPr>
                <w:sz w:val="19"/>
                <w:szCs w:val="19"/>
              </w:rPr>
              <w:t>European Council of Medical Orders</w:t>
            </w:r>
            <w:r w:rsidR="00811D13" w:rsidRPr="00D13AF1">
              <w:rPr>
                <w:sz w:val="19"/>
                <w:szCs w:val="19"/>
              </w:rPr>
              <w:t>)</w:t>
            </w:r>
          </w:p>
        </w:tc>
        <w:tc>
          <w:tcPr>
            <w:tcW w:w="1418" w:type="dxa"/>
            <w:shd w:val="clear" w:color="auto" w:fill="E1D0EE" w:themeFill="accent1" w:themeFillTint="33"/>
            <w:noWrap/>
            <w:vAlign w:val="center"/>
            <w:hideMark/>
          </w:tcPr>
          <w:p w14:paraId="7EEE3188" w14:textId="77777777" w:rsidR="00811D13" w:rsidRPr="00D13AF1" w:rsidRDefault="00811D13" w:rsidP="00811D13">
            <w:pPr>
              <w:pStyle w:val="Tablelastnote"/>
              <w:spacing w:after="0"/>
              <w:jc w:val="center"/>
              <w:rPr>
                <w:sz w:val="19"/>
                <w:szCs w:val="19"/>
              </w:rPr>
            </w:pPr>
            <w:r w:rsidRPr="00D13AF1">
              <w:rPr>
                <w:sz w:val="19"/>
                <w:szCs w:val="19"/>
              </w:rPr>
              <w:t>Yes</w:t>
            </w:r>
          </w:p>
        </w:tc>
        <w:tc>
          <w:tcPr>
            <w:tcW w:w="1134" w:type="dxa"/>
            <w:shd w:val="clear" w:color="auto" w:fill="E1D0EE" w:themeFill="accent1" w:themeFillTint="33"/>
            <w:vAlign w:val="center"/>
          </w:tcPr>
          <w:p w14:paraId="12EF17E9" w14:textId="77777777" w:rsidR="00811D13" w:rsidRPr="00D13AF1" w:rsidRDefault="00811D13" w:rsidP="00811D13">
            <w:pPr>
              <w:pStyle w:val="Tablelastnote"/>
              <w:spacing w:after="0"/>
              <w:jc w:val="center"/>
              <w:rPr>
                <w:sz w:val="19"/>
                <w:szCs w:val="19"/>
              </w:rPr>
            </w:pPr>
            <w:r w:rsidRPr="00D13AF1">
              <w:rPr>
                <w:sz w:val="19"/>
                <w:szCs w:val="19"/>
              </w:rPr>
              <w:sym w:font="Wingdings 2" w:char="F050"/>
            </w:r>
          </w:p>
        </w:tc>
        <w:tc>
          <w:tcPr>
            <w:tcW w:w="850" w:type="dxa"/>
            <w:shd w:val="clear" w:color="auto" w:fill="E1D0EE" w:themeFill="accent1" w:themeFillTint="33"/>
            <w:vAlign w:val="center"/>
          </w:tcPr>
          <w:p w14:paraId="7974EF87" w14:textId="77777777" w:rsidR="00811D13" w:rsidRPr="00D13AF1" w:rsidRDefault="00811D13" w:rsidP="00811D13">
            <w:pPr>
              <w:pStyle w:val="Tablelastnote"/>
              <w:spacing w:after="0"/>
              <w:jc w:val="center"/>
              <w:rPr>
                <w:sz w:val="19"/>
                <w:szCs w:val="19"/>
              </w:rPr>
            </w:pPr>
          </w:p>
        </w:tc>
        <w:tc>
          <w:tcPr>
            <w:tcW w:w="1241" w:type="dxa"/>
            <w:shd w:val="clear" w:color="auto" w:fill="E1D0EE" w:themeFill="accent1" w:themeFillTint="33"/>
            <w:noWrap/>
            <w:vAlign w:val="center"/>
          </w:tcPr>
          <w:p w14:paraId="1615FC7D" w14:textId="77777777" w:rsidR="00811D13" w:rsidRPr="00D13AF1" w:rsidRDefault="00811D13" w:rsidP="00811D13">
            <w:pPr>
              <w:pStyle w:val="Tablelastnote"/>
              <w:spacing w:after="0"/>
              <w:jc w:val="center"/>
              <w:rPr>
                <w:sz w:val="19"/>
                <w:szCs w:val="19"/>
              </w:rPr>
            </w:pPr>
          </w:p>
        </w:tc>
      </w:tr>
      <w:tr w:rsidR="00811D13" w:rsidRPr="00D13AF1" w14:paraId="7309C73A" w14:textId="77777777" w:rsidTr="00CC035D">
        <w:trPr>
          <w:trHeight w:val="300"/>
        </w:trPr>
        <w:tc>
          <w:tcPr>
            <w:tcW w:w="1526" w:type="dxa"/>
            <w:shd w:val="clear" w:color="auto" w:fill="E1D0EE" w:themeFill="accent1" w:themeFillTint="33"/>
            <w:vAlign w:val="center"/>
          </w:tcPr>
          <w:p w14:paraId="3A80F6FE" w14:textId="77777777" w:rsidR="00811D13" w:rsidRPr="00D13AF1" w:rsidRDefault="00811D13" w:rsidP="00811D13">
            <w:pPr>
              <w:pStyle w:val="Tablelastnote"/>
              <w:spacing w:after="0"/>
              <w:jc w:val="left"/>
              <w:rPr>
                <w:b/>
                <w:bCs/>
                <w:sz w:val="19"/>
                <w:szCs w:val="19"/>
              </w:rPr>
            </w:pPr>
            <w:r w:rsidRPr="00D13AF1">
              <w:rPr>
                <w:b/>
                <w:bCs/>
                <w:sz w:val="19"/>
                <w:szCs w:val="19"/>
              </w:rPr>
              <w:t>Singapore</w:t>
            </w:r>
          </w:p>
        </w:tc>
        <w:tc>
          <w:tcPr>
            <w:tcW w:w="3685" w:type="dxa"/>
            <w:shd w:val="clear" w:color="auto" w:fill="auto"/>
            <w:noWrap/>
            <w:vAlign w:val="center"/>
            <w:hideMark/>
          </w:tcPr>
          <w:p w14:paraId="00904E8F" w14:textId="39CDE3A9" w:rsidR="00811D13" w:rsidRPr="00D13AF1" w:rsidRDefault="00811D13" w:rsidP="00811D13">
            <w:pPr>
              <w:pStyle w:val="Tablelastnote"/>
              <w:spacing w:after="0"/>
              <w:jc w:val="left"/>
              <w:rPr>
                <w:sz w:val="19"/>
                <w:szCs w:val="19"/>
              </w:rPr>
            </w:pPr>
            <w:r w:rsidRPr="00D13AF1">
              <w:rPr>
                <w:sz w:val="19"/>
                <w:szCs w:val="19"/>
              </w:rPr>
              <w:t>S</w:t>
            </w:r>
            <w:r w:rsidR="00A37FA1">
              <w:rPr>
                <w:sz w:val="19"/>
                <w:szCs w:val="19"/>
              </w:rPr>
              <w:t>ingapore Medical Council</w:t>
            </w:r>
          </w:p>
        </w:tc>
        <w:tc>
          <w:tcPr>
            <w:tcW w:w="1418" w:type="dxa"/>
            <w:shd w:val="clear" w:color="auto" w:fill="auto"/>
            <w:noWrap/>
            <w:vAlign w:val="center"/>
            <w:hideMark/>
          </w:tcPr>
          <w:p w14:paraId="3B228716" w14:textId="77777777" w:rsidR="00811D13" w:rsidRPr="00D13AF1" w:rsidRDefault="00811D13" w:rsidP="00811D13">
            <w:pPr>
              <w:pStyle w:val="Tablelastnote"/>
              <w:spacing w:after="0"/>
              <w:jc w:val="center"/>
              <w:rPr>
                <w:sz w:val="19"/>
                <w:szCs w:val="19"/>
              </w:rPr>
            </w:pPr>
            <w:r w:rsidRPr="00D13AF1">
              <w:rPr>
                <w:sz w:val="19"/>
                <w:szCs w:val="19"/>
              </w:rPr>
              <w:t>Yes</w:t>
            </w:r>
          </w:p>
        </w:tc>
        <w:tc>
          <w:tcPr>
            <w:tcW w:w="1134" w:type="dxa"/>
            <w:shd w:val="clear" w:color="auto" w:fill="auto"/>
            <w:vAlign w:val="center"/>
          </w:tcPr>
          <w:p w14:paraId="36A5273E" w14:textId="77777777" w:rsidR="00811D13" w:rsidRPr="00D13AF1" w:rsidRDefault="00811D13" w:rsidP="00811D13">
            <w:pPr>
              <w:pStyle w:val="Tablelastnote"/>
              <w:spacing w:after="0"/>
              <w:jc w:val="center"/>
              <w:rPr>
                <w:sz w:val="19"/>
                <w:szCs w:val="19"/>
              </w:rPr>
            </w:pPr>
            <w:r w:rsidRPr="00D13AF1">
              <w:rPr>
                <w:sz w:val="19"/>
                <w:szCs w:val="19"/>
              </w:rPr>
              <w:sym w:font="Wingdings 2" w:char="F050"/>
            </w:r>
          </w:p>
        </w:tc>
        <w:tc>
          <w:tcPr>
            <w:tcW w:w="850" w:type="dxa"/>
            <w:shd w:val="clear" w:color="auto" w:fill="auto"/>
            <w:vAlign w:val="center"/>
          </w:tcPr>
          <w:p w14:paraId="78DF4911" w14:textId="77777777" w:rsidR="00811D13" w:rsidRPr="00D13AF1" w:rsidRDefault="00811D13" w:rsidP="00811D13">
            <w:pPr>
              <w:pStyle w:val="Tablelastnote"/>
              <w:spacing w:after="0"/>
              <w:jc w:val="center"/>
              <w:rPr>
                <w:sz w:val="19"/>
                <w:szCs w:val="19"/>
              </w:rPr>
            </w:pPr>
            <w:r w:rsidRPr="00D13AF1">
              <w:rPr>
                <w:sz w:val="19"/>
                <w:szCs w:val="19"/>
              </w:rPr>
              <w:sym w:font="Wingdings 2" w:char="F050"/>
            </w:r>
          </w:p>
        </w:tc>
        <w:tc>
          <w:tcPr>
            <w:tcW w:w="1241" w:type="dxa"/>
            <w:shd w:val="clear" w:color="auto" w:fill="auto"/>
            <w:noWrap/>
            <w:vAlign w:val="center"/>
          </w:tcPr>
          <w:p w14:paraId="2902FF52" w14:textId="77777777" w:rsidR="00811D13" w:rsidRPr="00D13AF1" w:rsidRDefault="00811D13" w:rsidP="00811D13">
            <w:pPr>
              <w:pStyle w:val="Tablelastnote"/>
              <w:spacing w:after="0"/>
              <w:jc w:val="center"/>
              <w:rPr>
                <w:sz w:val="19"/>
                <w:szCs w:val="19"/>
              </w:rPr>
            </w:pPr>
          </w:p>
        </w:tc>
      </w:tr>
      <w:tr w:rsidR="00811D13" w:rsidRPr="00D13AF1" w14:paraId="50D314CF" w14:textId="77777777" w:rsidTr="00CC035D">
        <w:tblPrEx>
          <w:tblCellMar>
            <w:left w:w="85" w:type="dxa"/>
            <w:right w:w="85" w:type="dxa"/>
          </w:tblCellMar>
        </w:tblPrEx>
        <w:trPr>
          <w:trHeight w:val="300"/>
        </w:trPr>
        <w:tc>
          <w:tcPr>
            <w:tcW w:w="1526" w:type="dxa"/>
            <w:vMerge w:val="restart"/>
            <w:vAlign w:val="center"/>
          </w:tcPr>
          <w:p w14:paraId="592CDF20" w14:textId="77777777" w:rsidR="00811D13" w:rsidRPr="00D13AF1" w:rsidRDefault="00811D13" w:rsidP="00811D13">
            <w:pPr>
              <w:pStyle w:val="Tablelastnote"/>
              <w:spacing w:after="0"/>
              <w:jc w:val="left"/>
              <w:rPr>
                <w:b/>
                <w:bCs/>
                <w:sz w:val="19"/>
                <w:szCs w:val="19"/>
              </w:rPr>
            </w:pPr>
            <w:r w:rsidRPr="00D13AF1">
              <w:rPr>
                <w:b/>
                <w:bCs/>
                <w:sz w:val="19"/>
                <w:szCs w:val="19"/>
              </w:rPr>
              <w:t>UK</w:t>
            </w:r>
          </w:p>
        </w:tc>
        <w:tc>
          <w:tcPr>
            <w:tcW w:w="3685" w:type="dxa"/>
            <w:shd w:val="clear" w:color="auto" w:fill="E1D0EE" w:themeFill="accent1" w:themeFillTint="33"/>
            <w:noWrap/>
            <w:vAlign w:val="center"/>
            <w:hideMark/>
          </w:tcPr>
          <w:p w14:paraId="2978AD90" w14:textId="73326BB2" w:rsidR="00811D13" w:rsidRPr="00D13AF1" w:rsidRDefault="001C4C71" w:rsidP="00811D13">
            <w:pPr>
              <w:pStyle w:val="Tablelastnote"/>
              <w:spacing w:after="0"/>
              <w:jc w:val="left"/>
              <w:rPr>
                <w:sz w:val="19"/>
                <w:szCs w:val="19"/>
              </w:rPr>
            </w:pPr>
            <w:r>
              <w:rPr>
                <w:sz w:val="19"/>
                <w:szCs w:val="19"/>
              </w:rPr>
              <w:t>Care</w:t>
            </w:r>
            <w:r w:rsidR="007372B4">
              <w:rPr>
                <w:sz w:val="19"/>
                <w:szCs w:val="19"/>
              </w:rPr>
              <w:t xml:space="preserve"> Quality Commission</w:t>
            </w:r>
          </w:p>
        </w:tc>
        <w:tc>
          <w:tcPr>
            <w:tcW w:w="1418" w:type="dxa"/>
            <w:shd w:val="clear" w:color="auto" w:fill="E1D0EE" w:themeFill="accent1" w:themeFillTint="33"/>
            <w:noWrap/>
            <w:vAlign w:val="center"/>
            <w:hideMark/>
          </w:tcPr>
          <w:p w14:paraId="15A7261C" w14:textId="77777777" w:rsidR="00811D13" w:rsidRPr="00D13AF1" w:rsidRDefault="00811D13" w:rsidP="00811D13">
            <w:pPr>
              <w:pStyle w:val="Tablelastnote"/>
              <w:spacing w:after="0"/>
              <w:jc w:val="center"/>
              <w:rPr>
                <w:sz w:val="19"/>
                <w:szCs w:val="19"/>
              </w:rPr>
            </w:pPr>
            <w:r w:rsidRPr="00D13AF1">
              <w:rPr>
                <w:sz w:val="19"/>
                <w:szCs w:val="19"/>
              </w:rPr>
              <w:t>Yes</w:t>
            </w:r>
          </w:p>
        </w:tc>
        <w:tc>
          <w:tcPr>
            <w:tcW w:w="1134" w:type="dxa"/>
            <w:shd w:val="clear" w:color="auto" w:fill="E1D0EE" w:themeFill="accent1" w:themeFillTint="33"/>
            <w:vAlign w:val="center"/>
          </w:tcPr>
          <w:p w14:paraId="486DCDDF" w14:textId="77777777" w:rsidR="00811D13" w:rsidRPr="00D13AF1" w:rsidRDefault="00811D13" w:rsidP="00811D13">
            <w:pPr>
              <w:pStyle w:val="Tablelastnote"/>
              <w:spacing w:after="0"/>
              <w:jc w:val="center"/>
              <w:rPr>
                <w:sz w:val="19"/>
                <w:szCs w:val="19"/>
              </w:rPr>
            </w:pPr>
            <w:r w:rsidRPr="00D13AF1">
              <w:rPr>
                <w:sz w:val="19"/>
                <w:szCs w:val="19"/>
              </w:rPr>
              <w:sym w:font="Wingdings 2" w:char="F050"/>
            </w:r>
          </w:p>
        </w:tc>
        <w:tc>
          <w:tcPr>
            <w:tcW w:w="850" w:type="dxa"/>
            <w:shd w:val="clear" w:color="auto" w:fill="E1D0EE" w:themeFill="accent1" w:themeFillTint="33"/>
            <w:vAlign w:val="center"/>
          </w:tcPr>
          <w:p w14:paraId="377FCBB7" w14:textId="77777777" w:rsidR="00811D13" w:rsidRPr="00D13AF1" w:rsidRDefault="00811D13" w:rsidP="00811D13">
            <w:pPr>
              <w:pStyle w:val="Tablelastnote"/>
              <w:spacing w:after="0"/>
              <w:jc w:val="center"/>
              <w:rPr>
                <w:sz w:val="19"/>
                <w:szCs w:val="19"/>
              </w:rPr>
            </w:pPr>
          </w:p>
        </w:tc>
        <w:tc>
          <w:tcPr>
            <w:tcW w:w="1241" w:type="dxa"/>
            <w:shd w:val="clear" w:color="auto" w:fill="E1D0EE" w:themeFill="accent1" w:themeFillTint="33"/>
            <w:noWrap/>
            <w:vAlign w:val="center"/>
            <w:hideMark/>
          </w:tcPr>
          <w:p w14:paraId="3CB6EDF1" w14:textId="77777777" w:rsidR="00811D13" w:rsidRPr="00D13AF1" w:rsidRDefault="00811D13" w:rsidP="00811D13">
            <w:pPr>
              <w:pStyle w:val="Tablelastnote"/>
              <w:spacing w:after="0"/>
              <w:jc w:val="center"/>
              <w:rPr>
                <w:sz w:val="19"/>
                <w:szCs w:val="19"/>
              </w:rPr>
            </w:pPr>
            <w:r w:rsidRPr="00D13AF1">
              <w:rPr>
                <w:sz w:val="19"/>
                <w:szCs w:val="19"/>
              </w:rPr>
              <w:sym w:font="Wingdings 2" w:char="F050"/>
            </w:r>
          </w:p>
        </w:tc>
      </w:tr>
      <w:tr w:rsidR="00811D13" w:rsidRPr="00D13AF1" w14:paraId="1FEC3C13" w14:textId="77777777" w:rsidTr="00CC035D">
        <w:trPr>
          <w:trHeight w:val="300"/>
        </w:trPr>
        <w:tc>
          <w:tcPr>
            <w:tcW w:w="1526" w:type="dxa"/>
            <w:vMerge/>
            <w:vAlign w:val="center"/>
          </w:tcPr>
          <w:p w14:paraId="4CD2365F" w14:textId="77777777" w:rsidR="00811D13" w:rsidRPr="00D13AF1" w:rsidRDefault="00811D13" w:rsidP="00811D13">
            <w:pPr>
              <w:pStyle w:val="Tablelastnote"/>
              <w:spacing w:after="0"/>
              <w:jc w:val="left"/>
              <w:rPr>
                <w:b/>
                <w:bCs/>
                <w:sz w:val="19"/>
                <w:szCs w:val="19"/>
              </w:rPr>
            </w:pPr>
          </w:p>
        </w:tc>
        <w:tc>
          <w:tcPr>
            <w:tcW w:w="3685" w:type="dxa"/>
            <w:shd w:val="clear" w:color="auto" w:fill="auto"/>
            <w:noWrap/>
            <w:vAlign w:val="center"/>
          </w:tcPr>
          <w:p w14:paraId="377CA6F0" w14:textId="63E5F7B3" w:rsidR="00811D13" w:rsidRPr="00D13AF1" w:rsidRDefault="007372B4" w:rsidP="00811D13">
            <w:pPr>
              <w:pStyle w:val="Tablelastnote"/>
              <w:spacing w:after="0"/>
              <w:jc w:val="left"/>
              <w:rPr>
                <w:sz w:val="19"/>
                <w:szCs w:val="19"/>
              </w:rPr>
            </w:pPr>
            <w:r>
              <w:rPr>
                <w:sz w:val="19"/>
                <w:szCs w:val="19"/>
              </w:rPr>
              <w:t>Healthcare Inspectorate Wales</w:t>
            </w:r>
          </w:p>
        </w:tc>
        <w:tc>
          <w:tcPr>
            <w:tcW w:w="1418" w:type="dxa"/>
            <w:shd w:val="clear" w:color="auto" w:fill="auto"/>
            <w:noWrap/>
            <w:vAlign w:val="center"/>
          </w:tcPr>
          <w:p w14:paraId="441D2984" w14:textId="77777777" w:rsidR="00811D13" w:rsidRPr="00D13AF1" w:rsidRDefault="00811D13" w:rsidP="00811D13">
            <w:pPr>
              <w:pStyle w:val="Tablelastnote"/>
              <w:spacing w:after="0"/>
              <w:jc w:val="center"/>
              <w:rPr>
                <w:sz w:val="19"/>
                <w:szCs w:val="19"/>
              </w:rPr>
            </w:pPr>
            <w:r w:rsidRPr="00D13AF1">
              <w:rPr>
                <w:sz w:val="19"/>
                <w:szCs w:val="19"/>
              </w:rPr>
              <w:t>Yes</w:t>
            </w:r>
          </w:p>
        </w:tc>
        <w:tc>
          <w:tcPr>
            <w:tcW w:w="1134" w:type="dxa"/>
            <w:shd w:val="clear" w:color="auto" w:fill="auto"/>
            <w:vAlign w:val="center"/>
          </w:tcPr>
          <w:p w14:paraId="2DCE8F1C" w14:textId="2CBB9F86" w:rsidR="00811D13" w:rsidRPr="00D13AF1" w:rsidRDefault="00D3381E" w:rsidP="00811D13">
            <w:pPr>
              <w:pStyle w:val="Tablelastnote"/>
              <w:spacing w:after="0"/>
              <w:jc w:val="center"/>
              <w:rPr>
                <w:sz w:val="19"/>
                <w:szCs w:val="19"/>
              </w:rPr>
            </w:pPr>
            <w:r w:rsidRPr="00D13AF1">
              <w:rPr>
                <w:sz w:val="19"/>
                <w:szCs w:val="19"/>
              </w:rPr>
              <w:sym w:font="Wingdings 2" w:char="F050"/>
            </w:r>
          </w:p>
        </w:tc>
        <w:tc>
          <w:tcPr>
            <w:tcW w:w="850" w:type="dxa"/>
            <w:shd w:val="clear" w:color="auto" w:fill="auto"/>
            <w:vAlign w:val="center"/>
          </w:tcPr>
          <w:p w14:paraId="6854FD10" w14:textId="77777777" w:rsidR="00811D13" w:rsidRPr="00D13AF1" w:rsidRDefault="00811D13" w:rsidP="00811D13">
            <w:pPr>
              <w:pStyle w:val="Tablelastnote"/>
              <w:spacing w:after="0"/>
              <w:jc w:val="center"/>
              <w:rPr>
                <w:sz w:val="19"/>
                <w:szCs w:val="19"/>
              </w:rPr>
            </w:pPr>
          </w:p>
        </w:tc>
        <w:tc>
          <w:tcPr>
            <w:tcW w:w="1241" w:type="dxa"/>
            <w:shd w:val="clear" w:color="auto" w:fill="auto"/>
            <w:noWrap/>
            <w:vAlign w:val="center"/>
          </w:tcPr>
          <w:p w14:paraId="1F7D2B20" w14:textId="77777777" w:rsidR="00811D13" w:rsidRPr="00D13AF1" w:rsidRDefault="00811D13" w:rsidP="00811D13">
            <w:pPr>
              <w:pStyle w:val="Tablelastnote"/>
              <w:spacing w:after="0"/>
              <w:jc w:val="center"/>
              <w:rPr>
                <w:sz w:val="19"/>
                <w:szCs w:val="19"/>
              </w:rPr>
            </w:pPr>
            <w:r w:rsidRPr="00D13AF1">
              <w:rPr>
                <w:sz w:val="19"/>
                <w:szCs w:val="19"/>
              </w:rPr>
              <w:sym w:font="Wingdings 2" w:char="F050"/>
            </w:r>
          </w:p>
        </w:tc>
      </w:tr>
      <w:tr w:rsidR="00811D13" w:rsidRPr="00D13AF1" w14:paraId="5516DCC8" w14:textId="77777777" w:rsidTr="00CC035D">
        <w:tblPrEx>
          <w:tblCellMar>
            <w:left w:w="85" w:type="dxa"/>
            <w:right w:w="85" w:type="dxa"/>
          </w:tblCellMar>
        </w:tblPrEx>
        <w:trPr>
          <w:trHeight w:val="300"/>
        </w:trPr>
        <w:tc>
          <w:tcPr>
            <w:tcW w:w="1526" w:type="dxa"/>
            <w:vMerge/>
            <w:vAlign w:val="center"/>
          </w:tcPr>
          <w:p w14:paraId="44C96963" w14:textId="77777777" w:rsidR="00811D13" w:rsidRPr="00D13AF1" w:rsidRDefault="00811D13" w:rsidP="00811D13">
            <w:pPr>
              <w:pStyle w:val="Tablelastnote"/>
              <w:spacing w:after="0"/>
              <w:jc w:val="left"/>
              <w:rPr>
                <w:b/>
                <w:bCs/>
                <w:sz w:val="19"/>
                <w:szCs w:val="19"/>
              </w:rPr>
            </w:pPr>
          </w:p>
        </w:tc>
        <w:tc>
          <w:tcPr>
            <w:tcW w:w="3685" w:type="dxa"/>
            <w:shd w:val="clear" w:color="auto" w:fill="E1D0EE" w:themeFill="accent1" w:themeFillTint="33"/>
            <w:noWrap/>
            <w:vAlign w:val="center"/>
            <w:hideMark/>
          </w:tcPr>
          <w:p w14:paraId="7DDCD58D" w14:textId="085C700A" w:rsidR="00811D13" w:rsidRPr="00D13AF1" w:rsidRDefault="007372B4" w:rsidP="00811D13">
            <w:pPr>
              <w:pStyle w:val="Tablelastnote"/>
              <w:spacing w:after="0"/>
              <w:jc w:val="left"/>
              <w:rPr>
                <w:sz w:val="19"/>
                <w:szCs w:val="19"/>
              </w:rPr>
            </w:pPr>
            <w:r w:rsidRPr="007372B4">
              <w:rPr>
                <w:sz w:val="19"/>
                <w:szCs w:val="19"/>
              </w:rPr>
              <w:t>British Medical Association</w:t>
            </w:r>
          </w:p>
        </w:tc>
        <w:tc>
          <w:tcPr>
            <w:tcW w:w="1418" w:type="dxa"/>
            <w:shd w:val="clear" w:color="auto" w:fill="E1D0EE" w:themeFill="accent1" w:themeFillTint="33"/>
            <w:noWrap/>
            <w:vAlign w:val="center"/>
            <w:hideMark/>
          </w:tcPr>
          <w:p w14:paraId="1BF97338" w14:textId="77777777" w:rsidR="00811D13" w:rsidRPr="00D13AF1" w:rsidRDefault="00811D13" w:rsidP="00811D13">
            <w:pPr>
              <w:pStyle w:val="Tablelastnote"/>
              <w:spacing w:after="0"/>
              <w:jc w:val="center"/>
              <w:rPr>
                <w:sz w:val="19"/>
                <w:szCs w:val="19"/>
              </w:rPr>
            </w:pPr>
            <w:r w:rsidRPr="00D13AF1">
              <w:rPr>
                <w:sz w:val="19"/>
                <w:szCs w:val="19"/>
              </w:rPr>
              <w:t>No</w:t>
            </w:r>
          </w:p>
        </w:tc>
        <w:tc>
          <w:tcPr>
            <w:tcW w:w="1134" w:type="dxa"/>
            <w:shd w:val="clear" w:color="auto" w:fill="E1D0EE" w:themeFill="accent1" w:themeFillTint="33"/>
            <w:vAlign w:val="center"/>
          </w:tcPr>
          <w:p w14:paraId="4BC5DB86" w14:textId="77777777" w:rsidR="00811D13" w:rsidRPr="00D13AF1" w:rsidRDefault="00811D13" w:rsidP="00811D13">
            <w:pPr>
              <w:pStyle w:val="Tablelastnote"/>
              <w:spacing w:after="0"/>
              <w:jc w:val="center"/>
              <w:rPr>
                <w:sz w:val="19"/>
                <w:szCs w:val="19"/>
              </w:rPr>
            </w:pPr>
            <w:r w:rsidRPr="00D13AF1">
              <w:rPr>
                <w:sz w:val="19"/>
                <w:szCs w:val="19"/>
              </w:rPr>
              <w:sym w:font="Wingdings 2" w:char="F050"/>
            </w:r>
          </w:p>
        </w:tc>
        <w:tc>
          <w:tcPr>
            <w:tcW w:w="850" w:type="dxa"/>
            <w:shd w:val="clear" w:color="auto" w:fill="E1D0EE" w:themeFill="accent1" w:themeFillTint="33"/>
            <w:vAlign w:val="center"/>
          </w:tcPr>
          <w:p w14:paraId="008375A8" w14:textId="77777777" w:rsidR="00811D13" w:rsidRPr="00D13AF1" w:rsidRDefault="00811D13" w:rsidP="00811D13">
            <w:pPr>
              <w:pStyle w:val="Tablelastnote"/>
              <w:spacing w:after="0"/>
              <w:jc w:val="center"/>
              <w:rPr>
                <w:sz w:val="19"/>
                <w:szCs w:val="19"/>
              </w:rPr>
            </w:pPr>
          </w:p>
        </w:tc>
        <w:tc>
          <w:tcPr>
            <w:tcW w:w="1241" w:type="dxa"/>
            <w:shd w:val="clear" w:color="auto" w:fill="E1D0EE" w:themeFill="accent1" w:themeFillTint="33"/>
            <w:noWrap/>
            <w:vAlign w:val="center"/>
          </w:tcPr>
          <w:p w14:paraId="4E455691" w14:textId="77777777" w:rsidR="00811D13" w:rsidRPr="00D13AF1" w:rsidRDefault="00811D13" w:rsidP="00811D13">
            <w:pPr>
              <w:pStyle w:val="Tablelastnote"/>
              <w:spacing w:after="0"/>
              <w:jc w:val="center"/>
              <w:rPr>
                <w:sz w:val="19"/>
                <w:szCs w:val="19"/>
              </w:rPr>
            </w:pPr>
          </w:p>
        </w:tc>
      </w:tr>
      <w:tr w:rsidR="00811D13" w:rsidRPr="00D13AF1" w14:paraId="00909056" w14:textId="77777777" w:rsidTr="00CC035D">
        <w:tblPrEx>
          <w:tblCellMar>
            <w:left w:w="85" w:type="dxa"/>
            <w:right w:w="85" w:type="dxa"/>
          </w:tblCellMar>
        </w:tblPrEx>
        <w:trPr>
          <w:trHeight w:val="300"/>
        </w:trPr>
        <w:tc>
          <w:tcPr>
            <w:tcW w:w="1526" w:type="dxa"/>
            <w:vMerge/>
            <w:vAlign w:val="center"/>
          </w:tcPr>
          <w:p w14:paraId="6920BD5F" w14:textId="77777777" w:rsidR="00811D13" w:rsidRPr="00D13AF1" w:rsidRDefault="00811D13" w:rsidP="00811D13">
            <w:pPr>
              <w:pStyle w:val="Tablelastnote"/>
              <w:spacing w:after="0"/>
              <w:jc w:val="left"/>
              <w:rPr>
                <w:b/>
                <w:bCs/>
                <w:sz w:val="19"/>
                <w:szCs w:val="19"/>
              </w:rPr>
            </w:pPr>
          </w:p>
        </w:tc>
        <w:tc>
          <w:tcPr>
            <w:tcW w:w="3685" w:type="dxa"/>
            <w:shd w:val="clear" w:color="auto" w:fill="auto"/>
            <w:noWrap/>
            <w:vAlign w:val="center"/>
            <w:hideMark/>
          </w:tcPr>
          <w:p w14:paraId="280DC1C0" w14:textId="5D42D339" w:rsidR="00811D13" w:rsidRPr="00D13AF1" w:rsidRDefault="007372B4" w:rsidP="00811D13">
            <w:pPr>
              <w:pStyle w:val="Tablelastnote"/>
              <w:spacing w:after="0"/>
              <w:jc w:val="left"/>
              <w:rPr>
                <w:sz w:val="19"/>
                <w:szCs w:val="19"/>
              </w:rPr>
            </w:pPr>
            <w:r w:rsidRPr="007372B4">
              <w:rPr>
                <w:sz w:val="19"/>
                <w:szCs w:val="19"/>
              </w:rPr>
              <w:t>General Pharmaceutical Council</w:t>
            </w:r>
          </w:p>
        </w:tc>
        <w:tc>
          <w:tcPr>
            <w:tcW w:w="1418" w:type="dxa"/>
            <w:shd w:val="clear" w:color="auto" w:fill="auto"/>
            <w:noWrap/>
            <w:vAlign w:val="center"/>
            <w:hideMark/>
          </w:tcPr>
          <w:p w14:paraId="32CEAD3B" w14:textId="77777777" w:rsidR="00811D13" w:rsidRPr="00D13AF1" w:rsidRDefault="00811D13" w:rsidP="00811D13">
            <w:pPr>
              <w:pStyle w:val="Tablelastnote"/>
              <w:spacing w:after="0"/>
              <w:jc w:val="center"/>
              <w:rPr>
                <w:sz w:val="19"/>
                <w:szCs w:val="19"/>
              </w:rPr>
            </w:pPr>
            <w:r w:rsidRPr="00D13AF1">
              <w:rPr>
                <w:sz w:val="19"/>
                <w:szCs w:val="19"/>
              </w:rPr>
              <w:t>Yes</w:t>
            </w:r>
          </w:p>
        </w:tc>
        <w:tc>
          <w:tcPr>
            <w:tcW w:w="1134" w:type="dxa"/>
            <w:shd w:val="clear" w:color="auto" w:fill="auto"/>
            <w:vAlign w:val="center"/>
          </w:tcPr>
          <w:p w14:paraId="3DD8790A" w14:textId="77777777" w:rsidR="00811D13" w:rsidRPr="00D13AF1" w:rsidRDefault="00811D13" w:rsidP="00811D13">
            <w:pPr>
              <w:pStyle w:val="Tablelastnote"/>
              <w:spacing w:after="0"/>
              <w:jc w:val="center"/>
              <w:rPr>
                <w:sz w:val="19"/>
                <w:szCs w:val="19"/>
              </w:rPr>
            </w:pPr>
            <w:r w:rsidRPr="00D13AF1">
              <w:rPr>
                <w:sz w:val="19"/>
                <w:szCs w:val="19"/>
              </w:rPr>
              <w:sym w:font="Wingdings 2" w:char="F050"/>
            </w:r>
          </w:p>
        </w:tc>
        <w:tc>
          <w:tcPr>
            <w:tcW w:w="850" w:type="dxa"/>
            <w:shd w:val="clear" w:color="auto" w:fill="auto"/>
            <w:vAlign w:val="center"/>
          </w:tcPr>
          <w:p w14:paraId="34A84ED9" w14:textId="77777777" w:rsidR="00811D13" w:rsidRPr="00D13AF1" w:rsidRDefault="00811D13" w:rsidP="00811D13">
            <w:pPr>
              <w:pStyle w:val="Tablelastnote"/>
              <w:spacing w:after="0"/>
              <w:jc w:val="center"/>
              <w:rPr>
                <w:sz w:val="19"/>
                <w:szCs w:val="19"/>
              </w:rPr>
            </w:pPr>
            <w:r w:rsidRPr="00D13AF1">
              <w:rPr>
                <w:sz w:val="19"/>
                <w:szCs w:val="19"/>
              </w:rPr>
              <w:sym w:font="Wingdings 2" w:char="F050"/>
            </w:r>
          </w:p>
        </w:tc>
        <w:tc>
          <w:tcPr>
            <w:tcW w:w="1241" w:type="dxa"/>
            <w:shd w:val="clear" w:color="auto" w:fill="auto"/>
            <w:noWrap/>
            <w:vAlign w:val="center"/>
            <w:hideMark/>
          </w:tcPr>
          <w:p w14:paraId="37E5A8FC" w14:textId="77777777" w:rsidR="00811D13" w:rsidRPr="00D13AF1" w:rsidRDefault="00811D13" w:rsidP="00811D13">
            <w:pPr>
              <w:pStyle w:val="Tablelastnote"/>
              <w:spacing w:after="0"/>
              <w:jc w:val="center"/>
              <w:rPr>
                <w:sz w:val="19"/>
                <w:szCs w:val="19"/>
              </w:rPr>
            </w:pPr>
            <w:r w:rsidRPr="00D13AF1">
              <w:rPr>
                <w:sz w:val="19"/>
                <w:szCs w:val="19"/>
              </w:rPr>
              <w:sym w:font="Wingdings 2" w:char="F050"/>
            </w:r>
          </w:p>
        </w:tc>
      </w:tr>
      <w:tr w:rsidR="00811D13" w:rsidRPr="00D13AF1" w14:paraId="27433398" w14:textId="77777777" w:rsidTr="00CC035D">
        <w:tblPrEx>
          <w:tblCellMar>
            <w:left w:w="85" w:type="dxa"/>
            <w:right w:w="85" w:type="dxa"/>
          </w:tblCellMar>
        </w:tblPrEx>
        <w:trPr>
          <w:trHeight w:val="300"/>
        </w:trPr>
        <w:tc>
          <w:tcPr>
            <w:tcW w:w="1526" w:type="dxa"/>
            <w:vMerge w:val="restart"/>
            <w:shd w:val="clear" w:color="auto" w:fill="E1D0EE" w:themeFill="accent1" w:themeFillTint="33"/>
            <w:vAlign w:val="center"/>
          </w:tcPr>
          <w:p w14:paraId="44FDDCFA" w14:textId="6879A44D" w:rsidR="00811D13" w:rsidRPr="00D13AF1" w:rsidRDefault="00996726" w:rsidP="00811D13">
            <w:pPr>
              <w:pStyle w:val="Tablelastnote"/>
              <w:keepNext/>
              <w:spacing w:after="0"/>
              <w:jc w:val="left"/>
              <w:rPr>
                <w:b/>
                <w:bCs/>
                <w:sz w:val="19"/>
                <w:szCs w:val="19"/>
              </w:rPr>
            </w:pPr>
            <w:r>
              <w:rPr>
                <w:b/>
                <w:bCs/>
                <w:sz w:val="19"/>
                <w:szCs w:val="19"/>
              </w:rPr>
              <w:lastRenderedPageBreak/>
              <w:t>USA</w:t>
            </w:r>
          </w:p>
        </w:tc>
        <w:tc>
          <w:tcPr>
            <w:tcW w:w="3685" w:type="dxa"/>
            <w:shd w:val="clear" w:color="auto" w:fill="E1D0EE" w:themeFill="accent1" w:themeFillTint="33"/>
            <w:noWrap/>
            <w:vAlign w:val="center"/>
            <w:hideMark/>
          </w:tcPr>
          <w:p w14:paraId="5A134354" w14:textId="67AE1642" w:rsidR="00811D13" w:rsidRPr="00D13AF1" w:rsidRDefault="007C7CED" w:rsidP="00811D13">
            <w:pPr>
              <w:pStyle w:val="Tablelastnote"/>
              <w:keepNext/>
              <w:spacing w:after="0"/>
              <w:jc w:val="left"/>
              <w:rPr>
                <w:sz w:val="19"/>
                <w:szCs w:val="19"/>
              </w:rPr>
            </w:pPr>
            <w:r w:rsidRPr="007C7CED">
              <w:rPr>
                <w:sz w:val="19"/>
                <w:szCs w:val="19"/>
              </w:rPr>
              <w:t>Federation of State Medical Boards</w:t>
            </w:r>
          </w:p>
        </w:tc>
        <w:tc>
          <w:tcPr>
            <w:tcW w:w="1418" w:type="dxa"/>
            <w:shd w:val="clear" w:color="auto" w:fill="E1D0EE" w:themeFill="accent1" w:themeFillTint="33"/>
            <w:noWrap/>
            <w:vAlign w:val="center"/>
            <w:hideMark/>
          </w:tcPr>
          <w:p w14:paraId="300AD106" w14:textId="77777777" w:rsidR="00811D13" w:rsidRPr="00D13AF1" w:rsidRDefault="00811D13" w:rsidP="00811D13">
            <w:pPr>
              <w:pStyle w:val="Tablelastnote"/>
              <w:keepNext/>
              <w:spacing w:after="0"/>
              <w:jc w:val="center"/>
              <w:rPr>
                <w:sz w:val="19"/>
                <w:szCs w:val="19"/>
              </w:rPr>
            </w:pPr>
            <w:r w:rsidRPr="00D13AF1">
              <w:rPr>
                <w:sz w:val="19"/>
                <w:szCs w:val="19"/>
              </w:rPr>
              <w:t>Not directly</w:t>
            </w:r>
          </w:p>
        </w:tc>
        <w:tc>
          <w:tcPr>
            <w:tcW w:w="1134" w:type="dxa"/>
            <w:shd w:val="clear" w:color="auto" w:fill="E1D0EE" w:themeFill="accent1" w:themeFillTint="33"/>
            <w:vAlign w:val="center"/>
          </w:tcPr>
          <w:p w14:paraId="2A018F0D" w14:textId="77777777" w:rsidR="00811D13" w:rsidRPr="00D13AF1" w:rsidRDefault="00811D13" w:rsidP="00811D13">
            <w:pPr>
              <w:pStyle w:val="Tablelastnote"/>
              <w:keepNext/>
              <w:spacing w:after="0"/>
              <w:jc w:val="center"/>
              <w:rPr>
                <w:sz w:val="19"/>
                <w:szCs w:val="19"/>
              </w:rPr>
            </w:pPr>
            <w:r w:rsidRPr="00D13AF1">
              <w:rPr>
                <w:sz w:val="19"/>
                <w:szCs w:val="19"/>
              </w:rPr>
              <w:sym w:font="Wingdings 2" w:char="F050"/>
            </w:r>
          </w:p>
        </w:tc>
        <w:tc>
          <w:tcPr>
            <w:tcW w:w="850" w:type="dxa"/>
            <w:shd w:val="clear" w:color="auto" w:fill="E1D0EE" w:themeFill="accent1" w:themeFillTint="33"/>
            <w:vAlign w:val="center"/>
          </w:tcPr>
          <w:p w14:paraId="18D99E39" w14:textId="77777777" w:rsidR="00811D13" w:rsidRPr="00D13AF1" w:rsidRDefault="00811D13" w:rsidP="00811D13">
            <w:pPr>
              <w:pStyle w:val="Tablelastnote"/>
              <w:keepNext/>
              <w:spacing w:after="0"/>
              <w:jc w:val="center"/>
              <w:rPr>
                <w:sz w:val="19"/>
                <w:szCs w:val="19"/>
              </w:rPr>
            </w:pPr>
            <w:r w:rsidRPr="00D13AF1">
              <w:rPr>
                <w:sz w:val="19"/>
                <w:szCs w:val="19"/>
              </w:rPr>
              <w:sym w:font="Wingdings 2" w:char="F050"/>
            </w:r>
          </w:p>
        </w:tc>
        <w:tc>
          <w:tcPr>
            <w:tcW w:w="1241" w:type="dxa"/>
            <w:shd w:val="clear" w:color="auto" w:fill="E1D0EE" w:themeFill="accent1" w:themeFillTint="33"/>
            <w:noWrap/>
            <w:vAlign w:val="center"/>
            <w:hideMark/>
          </w:tcPr>
          <w:p w14:paraId="6F97A288" w14:textId="77777777" w:rsidR="00811D13" w:rsidRPr="00D13AF1" w:rsidRDefault="00811D13" w:rsidP="00811D13">
            <w:pPr>
              <w:pStyle w:val="Tablelastnote"/>
              <w:keepNext/>
              <w:spacing w:after="0"/>
              <w:jc w:val="center"/>
              <w:rPr>
                <w:sz w:val="19"/>
                <w:szCs w:val="19"/>
              </w:rPr>
            </w:pPr>
            <w:r w:rsidRPr="00D13AF1">
              <w:rPr>
                <w:sz w:val="19"/>
                <w:szCs w:val="19"/>
              </w:rPr>
              <w:sym w:font="Wingdings 2" w:char="F050"/>
            </w:r>
          </w:p>
        </w:tc>
      </w:tr>
      <w:tr w:rsidR="00811D13" w:rsidRPr="00D13AF1" w14:paraId="3C4BEE95" w14:textId="77777777" w:rsidTr="00CC035D">
        <w:trPr>
          <w:trHeight w:val="300"/>
        </w:trPr>
        <w:tc>
          <w:tcPr>
            <w:tcW w:w="1526" w:type="dxa"/>
            <w:vMerge/>
            <w:shd w:val="clear" w:color="auto" w:fill="E1D0EE" w:themeFill="accent1" w:themeFillTint="33"/>
            <w:vAlign w:val="center"/>
          </w:tcPr>
          <w:p w14:paraId="581F0F2E" w14:textId="77777777" w:rsidR="00811D13" w:rsidRPr="00D13AF1" w:rsidRDefault="00811D13" w:rsidP="00811D13">
            <w:pPr>
              <w:pStyle w:val="Tablelastnote"/>
              <w:keepNext/>
              <w:spacing w:after="0"/>
              <w:jc w:val="left"/>
              <w:rPr>
                <w:b/>
                <w:bCs/>
                <w:sz w:val="19"/>
                <w:szCs w:val="19"/>
              </w:rPr>
            </w:pPr>
          </w:p>
        </w:tc>
        <w:tc>
          <w:tcPr>
            <w:tcW w:w="3685" w:type="dxa"/>
            <w:shd w:val="clear" w:color="auto" w:fill="auto"/>
            <w:noWrap/>
            <w:vAlign w:val="center"/>
            <w:hideMark/>
          </w:tcPr>
          <w:p w14:paraId="3A96440F" w14:textId="1C98D90A" w:rsidR="00811D13" w:rsidRPr="00D13AF1" w:rsidRDefault="007C7CED" w:rsidP="00811D13">
            <w:pPr>
              <w:pStyle w:val="Tablelastnote"/>
              <w:keepNext/>
              <w:spacing w:after="0"/>
              <w:jc w:val="left"/>
              <w:rPr>
                <w:sz w:val="19"/>
                <w:szCs w:val="19"/>
              </w:rPr>
            </w:pPr>
            <w:r>
              <w:rPr>
                <w:sz w:val="19"/>
                <w:szCs w:val="19"/>
              </w:rPr>
              <w:t>American Telemedicine Association</w:t>
            </w:r>
          </w:p>
        </w:tc>
        <w:tc>
          <w:tcPr>
            <w:tcW w:w="1418" w:type="dxa"/>
            <w:shd w:val="clear" w:color="auto" w:fill="auto"/>
            <w:noWrap/>
            <w:vAlign w:val="center"/>
            <w:hideMark/>
          </w:tcPr>
          <w:p w14:paraId="31BDBFF4" w14:textId="77777777" w:rsidR="00811D13" w:rsidRPr="00D13AF1" w:rsidRDefault="00811D13" w:rsidP="00811D13">
            <w:pPr>
              <w:pStyle w:val="Tablelastnote"/>
              <w:keepNext/>
              <w:spacing w:after="0"/>
              <w:jc w:val="center"/>
              <w:rPr>
                <w:sz w:val="19"/>
                <w:szCs w:val="19"/>
              </w:rPr>
            </w:pPr>
            <w:r w:rsidRPr="00D13AF1">
              <w:rPr>
                <w:sz w:val="19"/>
                <w:szCs w:val="19"/>
              </w:rPr>
              <w:t>No</w:t>
            </w:r>
          </w:p>
        </w:tc>
        <w:tc>
          <w:tcPr>
            <w:tcW w:w="1134" w:type="dxa"/>
            <w:shd w:val="clear" w:color="auto" w:fill="auto"/>
            <w:vAlign w:val="center"/>
          </w:tcPr>
          <w:p w14:paraId="5779B893" w14:textId="77777777" w:rsidR="00811D13" w:rsidRPr="00D13AF1" w:rsidRDefault="00811D13" w:rsidP="00811D13">
            <w:pPr>
              <w:pStyle w:val="Tablelastnote"/>
              <w:keepNext/>
              <w:spacing w:after="0"/>
              <w:jc w:val="center"/>
              <w:rPr>
                <w:sz w:val="19"/>
                <w:szCs w:val="19"/>
              </w:rPr>
            </w:pPr>
            <w:r w:rsidRPr="00D13AF1">
              <w:rPr>
                <w:sz w:val="19"/>
                <w:szCs w:val="19"/>
              </w:rPr>
              <w:sym w:font="Wingdings 2" w:char="F050"/>
            </w:r>
          </w:p>
        </w:tc>
        <w:tc>
          <w:tcPr>
            <w:tcW w:w="850" w:type="dxa"/>
            <w:shd w:val="clear" w:color="auto" w:fill="auto"/>
            <w:vAlign w:val="center"/>
          </w:tcPr>
          <w:p w14:paraId="73AABD6F" w14:textId="77777777" w:rsidR="00811D13" w:rsidRPr="00D13AF1" w:rsidRDefault="00811D13" w:rsidP="00811D13">
            <w:pPr>
              <w:pStyle w:val="Tablelastnote"/>
              <w:keepNext/>
              <w:spacing w:after="0"/>
              <w:jc w:val="center"/>
              <w:rPr>
                <w:sz w:val="19"/>
                <w:szCs w:val="19"/>
              </w:rPr>
            </w:pPr>
          </w:p>
        </w:tc>
        <w:tc>
          <w:tcPr>
            <w:tcW w:w="1241" w:type="dxa"/>
            <w:shd w:val="clear" w:color="auto" w:fill="auto"/>
            <w:noWrap/>
            <w:vAlign w:val="center"/>
          </w:tcPr>
          <w:p w14:paraId="783249F3" w14:textId="77777777" w:rsidR="00811D13" w:rsidRPr="00D13AF1" w:rsidRDefault="00811D13" w:rsidP="00811D13">
            <w:pPr>
              <w:pStyle w:val="Tablelastnote"/>
              <w:keepNext/>
              <w:spacing w:after="0"/>
              <w:jc w:val="center"/>
              <w:rPr>
                <w:sz w:val="19"/>
                <w:szCs w:val="19"/>
              </w:rPr>
            </w:pPr>
          </w:p>
        </w:tc>
      </w:tr>
      <w:tr w:rsidR="00811D13" w:rsidRPr="00D13AF1" w14:paraId="21EA6C93" w14:textId="77777777" w:rsidTr="00CC035D">
        <w:tblPrEx>
          <w:tblCellMar>
            <w:left w:w="85" w:type="dxa"/>
            <w:right w:w="85" w:type="dxa"/>
          </w:tblCellMar>
        </w:tblPrEx>
        <w:trPr>
          <w:trHeight w:val="300"/>
        </w:trPr>
        <w:tc>
          <w:tcPr>
            <w:tcW w:w="1526" w:type="dxa"/>
            <w:vMerge/>
            <w:shd w:val="clear" w:color="auto" w:fill="E1D0EE" w:themeFill="accent1" w:themeFillTint="33"/>
            <w:vAlign w:val="center"/>
          </w:tcPr>
          <w:p w14:paraId="480C94FB" w14:textId="77777777" w:rsidR="00811D13" w:rsidRPr="00D13AF1" w:rsidRDefault="00811D13" w:rsidP="00811D13">
            <w:pPr>
              <w:pStyle w:val="Tablelastnote"/>
              <w:keepNext/>
              <w:spacing w:after="0"/>
              <w:jc w:val="left"/>
              <w:rPr>
                <w:b/>
                <w:bCs/>
                <w:sz w:val="19"/>
                <w:szCs w:val="19"/>
              </w:rPr>
            </w:pPr>
          </w:p>
        </w:tc>
        <w:tc>
          <w:tcPr>
            <w:tcW w:w="3685" w:type="dxa"/>
            <w:shd w:val="clear" w:color="auto" w:fill="E1D0EE" w:themeFill="accent1" w:themeFillTint="33"/>
            <w:noWrap/>
            <w:vAlign w:val="center"/>
            <w:hideMark/>
          </w:tcPr>
          <w:p w14:paraId="25BC4CA2" w14:textId="77777777" w:rsidR="00811D13" w:rsidRPr="00D13AF1" w:rsidRDefault="00811D13" w:rsidP="00811D13">
            <w:pPr>
              <w:pStyle w:val="Tablelastnote"/>
              <w:keepNext/>
              <w:spacing w:after="0"/>
              <w:jc w:val="left"/>
              <w:rPr>
                <w:sz w:val="19"/>
                <w:szCs w:val="19"/>
              </w:rPr>
            </w:pPr>
            <w:r w:rsidRPr="00D13AF1">
              <w:rPr>
                <w:sz w:val="19"/>
                <w:szCs w:val="19"/>
              </w:rPr>
              <w:t>American Academy of Family Physicians</w:t>
            </w:r>
          </w:p>
        </w:tc>
        <w:tc>
          <w:tcPr>
            <w:tcW w:w="1418" w:type="dxa"/>
            <w:shd w:val="clear" w:color="auto" w:fill="E1D0EE" w:themeFill="accent1" w:themeFillTint="33"/>
            <w:noWrap/>
            <w:vAlign w:val="center"/>
            <w:hideMark/>
          </w:tcPr>
          <w:p w14:paraId="43D4A876" w14:textId="77777777" w:rsidR="00811D13" w:rsidRPr="00D13AF1" w:rsidRDefault="00811D13" w:rsidP="00811D13">
            <w:pPr>
              <w:pStyle w:val="Tablelastnote"/>
              <w:keepNext/>
              <w:spacing w:after="0"/>
              <w:jc w:val="center"/>
              <w:rPr>
                <w:sz w:val="19"/>
                <w:szCs w:val="19"/>
              </w:rPr>
            </w:pPr>
            <w:r w:rsidRPr="00D13AF1">
              <w:rPr>
                <w:sz w:val="19"/>
                <w:szCs w:val="19"/>
              </w:rPr>
              <w:t>No</w:t>
            </w:r>
          </w:p>
        </w:tc>
        <w:tc>
          <w:tcPr>
            <w:tcW w:w="1134" w:type="dxa"/>
            <w:shd w:val="clear" w:color="auto" w:fill="E1D0EE" w:themeFill="accent1" w:themeFillTint="33"/>
            <w:vAlign w:val="center"/>
          </w:tcPr>
          <w:p w14:paraId="504F86E4" w14:textId="77777777" w:rsidR="00811D13" w:rsidRPr="00D13AF1" w:rsidRDefault="00811D13" w:rsidP="00811D13">
            <w:pPr>
              <w:pStyle w:val="Tablelastnote"/>
              <w:keepNext/>
              <w:spacing w:after="0"/>
              <w:jc w:val="center"/>
              <w:rPr>
                <w:sz w:val="19"/>
                <w:szCs w:val="19"/>
              </w:rPr>
            </w:pPr>
            <w:r w:rsidRPr="00D13AF1">
              <w:rPr>
                <w:sz w:val="19"/>
                <w:szCs w:val="19"/>
              </w:rPr>
              <w:sym w:font="Wingdings 2" w:char="F050"/>
            </w:r>
          </w:p>
        </w:tc>
        <w:tc>
          <w:tcPr>
            <w:tcW w:w="850" w:type="dxa"/>
            <w:shd w:val="clear" w:color="auto" w:fill="E1D0EE" w:themeFill="accent1" w:themeFillTint="33"/>
            <w:vAlign w:val="center"/>
          </w:tcPr>
          <w:p w14:paraId="15F6B25F" w14:textId="77777777" w:rsidR="00811D13" w:rsidRPr="00D13AF1" w:rsidRDefault="00811D13" w:rsidP="00811D13">
            <w:pPr>
              <w:pStyle w:val="Tablelastnote"/>
              <w:keepNext/>
              <w:spacing w:after="0"/>
              <w:jc w:val="center"/>
              <w:rPr>
                <w:sz w:val="19"/>
                <w:szCs w:val="19"/>
              </w:rPr>
            </w:pPr>
            <w:r w:rsidRPr="00D13AF1">
              <w:rPr>
                <w:sz w:val="19"/>
                <w:szCs w:val="19"/>
              </w:rPr>
              <w:sym w:font="Wingdings 2" w:char="F050"/>
            </w:r>
          </w:p>
        </w:tc>
        <w:tc>
          <w:tcPr>
            <w:tcW w:w="1241" w:type="dxa"/>
            <w:shd w:val="clear" w:color="auto" w:fill="E1D0EE" w:themeFill="accent1" w:themeFillTint="33"/>
            <w:noWrap/>
            <w:vAlign w:val="center"/>
          </w:tcPr>
          <w:p w14:paraId="34259C50" w14:textId="77777777" w:rsidR="00811D13" w:rsidRPr="00D13AF1" w:rsidRDefault="00811D13" w:rsidP="00811D13">
            <w:pPr>
              <w:pStyle w:val="Tablelastnote"/>
              <w:keepNext/>
              <w:spacing w:after="0"/>
              <w:jc w:val="center"/>
              <w:rPr>
                <w:sz w:val="19"/>
                <w:szCs w:val="19"/>
              </w:rPr>
            </w:pPr>
          </w:p>
        </w:tc>
      </w:tr>
      <w:tr w:rsidR="00811D13" w:rsidRPr="00D13AF1" w14:paraId="12D2E846" w14:textId="77777777" w:rsidTr="00CC035D">
        <w:trPr>
          <w:trHeight w:val="300"/>
        </w:trPr>
        <w:tc>
          <w:tcPr>
            <w:tcW w:w="1526" w:type="dxa"/>
            <w:vMerge/>
            <w:shd w:val="clear" w:color="auto" w:fill="E1D0EE" w:themeFill="accent1" w:themeFillTint="33"/>
            <w:vAlign w:val="center"/>
          </w:tcPr>
          <w:p w14:paraId="39541021" w14:textId="77777777" w:rsidR="00811D13" w:rsidRPr="00D13AF1" w:rsidRDefault="00811D13" w:rsidP="00811D13">
            <w:pPr>
              <w:pStyle w:val="Tablelastnote"/>
              <w:keepNext/>
              <w:spacing w:after="0"/>
              <w:jc w:val="left"/>
              <w:rPr>
                <w:b/>
                <w:bCs/>
                <w:sz w:val="19"/>
                <w:szCs w:val="19"/>
              </w:rPr>
            </w:pPr>
          </w:p>
        </w:tc>
        <w:tc>
          <w:tcPr>
            <w:tcW w:w="3685" w:type="dxa"/>
            <w:shd w:val="clear" w:color="auto" w:fill="auto"/>
            <w:noWrap/>
            <w:vAlign w:val="center"/>
          </w:tcPr>
          <w:p w14:paraId="68FB9BD3" w14:textId="77777777" w:rsidR="00811D13" w:rsidRPr="00D13AF1" w:rsidRDefault="00811D13" w:rsidP="00811D13">
            <w:pPr>
              <w:pStyle w:val="Tablelastnote"/>
              <w:keepNext/>
              <w:spacing w:after="0"/>
              <w:jc w:val="left"/>
              <w:rPr>
                <w:sz w:val="19"/>
                <w:szCs w:val="19"/>
              </w:rPr>
            </w:pPr>
            <w:r w:rsidRPr="00D13AF1">
              <w:rPr>
                <w:sz w:val="19"/>
                <w:szCs w:val="19"/>
              </w:rPr>
              <w:t>National Board of Examiners</w:t>
            </w:r>
          </w:p>
        </w:tc>
        <w:tc>
          <w:tcPr>
            <w:tcW w:w="1418" w:type="dxa"/>
            <w:shd w:val="clear" w:color="auto" w:fill="auto"/>
            <w:noWrap/>
            <w:vAlign w:val="center"/>
          </w:tcPr>
          <w:p w14:paraId="1795E5B1" w14:textId="77777777" w:rsidR="00811D13" w:rsidRPr="00D13AF1" w:rsidRDefault="00811D13" w:rsidP="00811D13">
            <w:pPr>
              <w:pStyle w:val="Tablelastnote"/>
              <w:keepNext/>
              <w:spacing w:after="0"/>
              <w:jc w:val="center"/>
              <w:rPr>
                <w:sz w:val="19"/>
                <w:szCs w:val="19"/>
              </w:rPr>
            </w:pPr>
            <w:r w:rsidRPr="00D13AF1">
              <w:rPr>
                <w:sz w:val="19"/>
                <w:szCs w:val="19"/>
              </w:rPr>
              <w:t>No</w:t>
            </w:r>
          </w:p>
        </w:tc>
        <w:tc>
          <w:tcPr>
            <w:tcW w:w="1134" w:type="dxa"/>
            <w:shd w:val="clear" w:color="auto" w:fill="auto"/>
            <w:vAlign w:val="center"/>
          </w:tcPr>
          <w:p w14:paraId="6C996A53" w14:textId="77777777" w:rsidR="00811D13" w:rsidRPr="00D13AF1" w:rsidRDefault="00811D13" w:rsidP="00811D13">
            <w:pPr>
              <w:pStyle w:val="Tablelastnote"/>
              <w:keepNext/>
              <w:spacing w:after="0"/>
              <w:jc w:val="center"/>
              <w:rPr>
                <w:sz w:val="19"/>
                <w:szCs w:val="19"/>
              </w:rPr>
            </w:pPr>
          </w:p>
        </w:tc>
        <w:tc>
          <w:tcPr>
            <w:tcW w:w="850" w:type="dxa"/>
            <w:shd w:val="clear" w:color="auto" w:fill="auto"/>
            <w:vAlign w:val="center"/>
          </w:tcPr>
          <w:p w14:paraId="5490E6BD" w14:textId="77777777" w:rsidR="00811D13" w:rsidRPr="00D13AF1" w:rsidRDefault="00811D13" w:rsidP="00811D13">
            <w:pPr>
              <w:pStyle w:val="Tablelastnote"/>
              <w:keepNext/>
              <w:spacing w:after="0"/>
              <w:jc w:val="center"/>
              <w:rPr>
                <w:sz w:val="19"/>
                <w:szCs w:val="19"/>
              </w:rPr>
            </w:pPr>
            <w:r w:rsidRPr="00D13AF1">
              <w:rPr>
                <w:sz w:val="19"/>
                <w:szCs w:val="19"/>
              </w:rPr>
              <w:sym w:font="Wingdings 2" w:char="F050"/>
            </w:r>
          </w:p>
        </w:tc>
        <w:tc>
          <w:tcPr>
            <w:tcW w:w="1241" w:type="dxa"/>
            <w:shd w:val="clear" w:color="auto" w:fill="auto"/>
            <w:noWrap/>
            <w:vAlign w:val="center"/>
          </w:tcPr>
          <w:p w14:paraId="55F0D2C6" w14:textId="77777777" w:rsidR="00811D13" w:rsidRPr="00D13AF1" w:rsidRDefault="00811D13" w:rsidP="00811D13">
            <w:pPr>
              <w:pStyle w:val="Tablelastnote"/>
              <w:keepNext/>
              <w:spacing w:after="0"/>
              <w:jc w:val="center"/>
              <w:rPr>
                <w:sz w:val="19"/>
                <w:szCs w:val="19"/>
              </w:rPr>
            </w:pPr>
          </w:p>
        </w:tc>
      </w:tr>
      <w:tr w:rsidR="00811D13" w:rsidRPr="00D13AF1" w14:paraId="472B35A0" w14:textId="77777777" w:rsidTr="00CC035D">
        <w:tblPrEx>
          <w:tblCellMar>
            <w:left w:w="85" w:type="dxa"/>
            <w:right w:w="85" w:type="dxa"/>
          </w:tblCellMar>
        </w:tblPrEx>
        <w:trPr>
          <w:trHeight w:val="300"/>
        </w:trPr>
        <w:tc>
          <w:tcPr>
            <w:tcW w:w="1526" w:type="dxa"/>
            <w:vMerge/>
            <w:shd w:val="clear" w:color="auto" w:fill="E1D0EE" w:themeFill="accent1" w:themeFillTint="33"/>
            <w:vAlign w:val="center"/>
          </w:tcPr>
          <w:p w14:paraId="40257FF3" w14:textId="77777777" w:rsidR="00811D13" w:rsidRPr="00D13AF1" w:rsidRDefault="00811D13" w:rsidP="00811D13">
            <w:pPr>
              <w:pStyle w:val="Tablelastnote"/>
              <w:keepNext/>
              <w:spacing w:after="0"/>
              <w:jc w:val="left"/>
              <w:rPr>
                <w:b/>
                <w:bCs/>
                <w:sz w:val="19"/>
                <w:szCs w:val="19"/>
              </w:rPr>
            </w:pPr>
          </w:p>
        </w:tc>
        <w:tc>
          <w:tcPr>
            <w:tcW w:w="3685" w:type="dxa"/>
            <w:shd w:val="clear" w:color="auto" w:fill="E1D0EE" w:themeFill="accent1" w:themeFillTint="33"/>
            <w:noWrap/>
            <w:vAlign w:val="center"/>
            <w:hideMark/>
          </w:tcPr>
          <w:p w14:paraId="79AA61CB" w14:textId="2ECB2029" w:rsidR="00811D13" w:rsidRPr="00D13AF1" w:rsidRDefault="007C7CED" w:rsidP="00811D13">
            <w:pPr>
              <w:pStyle w:val="Tablelastnote"/>
              <w:keepNext/>
              <w:spacing w:after="0"/>
              <w:jc w:val="left"/>
              <w:rPr>
                <w:sz w:val="19"/>
                <w:szCs w:val="19"/>
              </w:rPr>
            </w:pPr>
            <w:r w:rsidRPr="007C7CED">
              <w:rPr>
                <w:sz w:val="19"/>
                <w:szCs w:val="19"/>
              </w:rPr>
              <w:t>Medical Board of California</w:t>
            </w:r>
          </w:p>
        </w:tc>
        <w:tc>
          <w:tcPr>
            <w:tcW w:w="1418" w:type="dxa"/>
            <w:shd w:val="clear" w:color="auto" w:fill="E1D0EE" w:themeFill="accent1" w:themeFillTint="33"/>
            <w:noWrap/>
            <w:vAlign w:val="center"/>
            <w:hideMark/>
          </w:tcPr>
          <w:p w14:paraId="1876A4C1" w14:textId="77777777" w:rsidR="00811D13" w:rsidRPr="00D13AF1" w:rsidRDefault="00811D13" w:rsidP="00811D13">
            <w:pPr>
              <w:pStyle w:val="Tablelastnote"/>
              <w:keepNext/>
              <w:spacing w:after="0"/>
              <w:jc w:val="center"/>
              <w:rPr>
                <w:sz w:val="19"/>
                <w:szCs w:val="19"/>
              </w:rPr>
            </w:pPr>
            <w:r w:rsidRPr="00D13AF1">
              <w:rPr>
                <w:sz w:val="19"/>
                <w:szCs w:val="19"/>
              </w:rPr>
              <w:t>Yes</w:t>
            </w:r>
          </w:p>
        </w:tc>
        <w:tc>
          <w:tcPr>
            <w:tcW w:w="1134" w:type="dxa"/>
            <w:shd w:val="clear" w:color="auto" w:fill="E1D0EE" w:themeFill="accent1" w:themeFillTint="33"/>
            <w:vAlign w:val="center"/>
          </w:tcPr>
          <w:p w14:paraId="1A9B4B45" w14:textId="77777777" w:rsidR="00811D13" w:rsidRPr="00D13AF1" w:rsidRDefault="00811D13" w:rsidP="00811D13">
            <w:pPr>
              <w:pStyle w:val="Tablelastnote"/>
              <w:keepNext/>
              <w:spacing w:after="0"/>
              <w:jc w:val="center"/>
              <w:rPr>
                <w:sz w:val="19"/>
                <w:szCs w:val="19"/>
              </w:rPr>
            </w:pPr>
            <w:r w:rsidRPr="00D13AF1">
              <w:rPr>
                <w:sz w:val="19"/>
                <w:szCs w:val="19"/>
              </w:rPr>
              <w:sym w:font="Wingdings 2" w:char="F050"/>
            </w:r>
          </w:p>
        </w:tc>
        <w:tc>
          <w:tcPr>
            <w:tcW w:w="850" w:type="dxa"/>
            <w:shd w:val="clear" w:color="auto" w:fill="E1D0EE" w:themeFill="accent1" w:themeFillTint="33"/>
            <w:vAlign w:val="center"/>
          </w:tcPr>
          <w:p w14:paraId="52A350A9" w14:textId="77777777" w:rsidR="00811D13" w:rsidRPr="00D13AF1" w:rsidRDefault="00811D13" w:rsidP="00811D13">
            <w:pPr>
              <w:pStyle w:val="Tablelastnote"/>
              <w:keepNext/>
              <w:spacing w:after="0"/>
              <w:jc w:val="center"/>
              <w:rPr>
                <w:sz w:val="19"/>
                <w:szCs w:val="19"/>
              </w:rPr>
            </w:pPr>
            <w:r w:rsidRPr="00D13AF1">
              <w:rPr>
                <w:sz w:val="19"/>
                <w:szCs w:val="19"/>
              </w:rPr>
              <w:sym w:font="Wingdings 2" w:char="F050"/>
            </w:r>
          </w:p>
        </w:tc>
        <w:tc>
          <w:tcPr>
            <w:tcW w:w="1241" w:type="dxa"/>
            <w:shd w:val="clear" w:color="auto" w:fill="E1D0EE" w:themeFill="accent1" w:themeFillTint="33"/>
            <w:noWrap/>
            <w:vAlign w:val="center"/>
          </w:tcPr>
          <w:p w14:paraId="5E5A3EE1" w14:textId="77777777" w:rsidR="00811D13" w:rsidRPr="00D13AF1" w:rsidRDefault="00811D13" w:rsidP="00811D13">
            <w:pPr>
              <w:pStyle w:val="Tablelastnote"/>
              <w:keepNext/>
              <w:spacing w:after="0"/>
              <w:jc w:val="center"/>
              <w:rPr>
                <w:sz w:val="19"/>
                <w:szCs w:val="19"/>
              </w:rPr>
            </w:pPr>
          </w:p>
        </w:tc>
      </w:tr>
      <w:tr w:rsidR="00811D13" w:rsidRPr="00D13AF1" w14:paraId="0E4DA6B7" w14:textId="77777777" w:rsidTr="00CC035D">
        <w:trPr>
          <w:trHeight w:val="300"/>
        </w:trPr>
        <w:tc>
          <w:tcPr>
            <w:tcW w:w="1526" w:type="dxa"/>
            <w:vMerge/>
            <w:shd w:val="clear" w:color="auto" w:fill="E1D0EE" w:themeFill="accent1" w:themeFillTint="33"/>
            <w:vAlign w:val="center"/>
          </w:tcPr>
          <w:p w14:paraId="5FB50694" w14:textId="77777777" w:rsidR="00811D13" w:rsidRPr="00D13AF1" w:rsidRDefault="00811D13" w:rsidP="00811D13">
            <w:pPr>
              <w:pStyle w:val="Tablelastnote"/>
              <w:keepNext/>
              <w:spacing w:after="0"/>
              <w:jc w:val="left"/>
              <w:rPr>
                <w:b/>
                <w:bCs/>
                <w:sz w:val="19"/>
                <w:szCs w:val="19"/>
              </w:rPr>
            </w:pPr>
          </w:p>
        </w:tc>
        <w:tc>
          <w:tcPr>
            <w:tcW w:w="3685" w:type="dxa"/>
            <w:shd w:val="clear" w:color="auto" w:fill="auto"/>
            <w:noWrap/>
            <w:vAlign w:val="center"/>
            <w:hideMark/>
          </w:tcPr>
          <w:p w14:paraId="3ECA323C" w14:textId="419DA255" w:rsidR="00811D13" w:rsidRPr="00D13AF1" w:rsidRDefault="007C7CED" w:rsidP="00811D13">
            <w:pPr>
              <w:pStyle w:val="Tablelastnote"/>
              <w:keepNext/>
              <w:spacing w:after="0"/>
              <w:jc w:val="left"/>
              <w:rPr>
                <w:sz w:val="19"/>
                <w:szCs w:val="19"/>
              </w:rPr>
            </w:pPr>
            <w:r w:rsidRPr="007C7CED">
              <w:rPr>
                <w:sz w:val="19"/>
                <w:szCs w:val="19"/>
              </w:rPr>
              <w:t>State of Maine Board of Licensure in Medicine</w:t>
            </w:r>
          </w:p>
        </w:tc>
        <w:tc>
          <w:tcPr>
            <w:tcW w:w="1418" w:type="dxa"/>
            <w:shd w:val="clear" w:color="auto" w:fill="auto"/>
            <w:noWrap/>
            <w:vAlign w:val="center"/>
            <w:hideMark/>
          </w:tcPr>
          <w:p w14:paraId="6DF5F2CC" w14:textId="77777777" w:rsidR="00811D13" w:rsidRPr="00D13AF1" w:rsidRDefault="00811D13" w:rsidP="00811D13">
            <w:pPr>
              <w:pStyle w:val="Tablelastnote"/>
              <w:keepNext/>
              <w:spacing w:after="0"/>
              <w:jc w:val="center"/>
              <w:rPr>
                <w:sz w:val="19"/>
                <w:szCs w:val="19"/>
              </w:rPr>
            </w:pPr>
            <w:r w:rsidRPr="00D13AF1">
              <w:rPr>
                <w:sz w:val="19"/>
                <w:szCs w:val="19"/>
              </w:rPr>
              <w:t>Yes</w:t>
            </w:r>
          </w:p>
        </w:tc>
        <w:tc>
          <w:tcPr>
            <w:tcW w:w="1134" w:type="dxa"/>
            <w:shd w:val="clear" w:color="auto" w:fill="auto"/>
            <w:vAlign w:val="center"/>
          </w:tcPr>
          <w:p w14:paraId="0F70757F" w14:textId="77777777" w:rsidR="00811D13" w:rsidRPr="00D13AF1" w:rsidRDefault="00811D13" w:rsidP="00811D13">
            <w:pPr>
              <w:pStyle w:val="Tablelastnote"/>
              <w:keepNext/>
              <w:spacing w:after="0"/>
              <w:jc w:val="center"/>
              <w:rPr>
                <w:sz w:val="19"/>
                <w:szCs w:val="19"/>
              </w:rPr>
            </w:pPr>
            <w:r w:rsidRPr="00D13AF1">
              <w:rPr>
                <w:sz w:val="19"/>
                <w:szCs w:val="19"/>
              </w:rPr>
              <w:sym w:font="Wingdings 2" w:char="F050"/>
            </w:r>
          </w:p>
        </w:tc>
        <w:tc>
          <w:tcPr>
            <w:tcW w:w="850" w:type="dxa"/>
            <w:shd w:val="clear" w:color="auto" w:fill="auto"/>
            <w:vAlign w:val="center"/>
          </w:tcPr>
          <w:p w14:paraId="68584680" w14:textId="77777777" w:rsidR="00811D13" w:rsidRPr="00D13AF1" w:rsidRDefault="00811D13" w:rsidP="00811D13">
            <w:pPr>
              <w:pStyle w:val="Tablelastnote"/>
              <w:keepNext/>
              <w:spacing w:after="0"/>
              <w:jc w:val="center"/>
              <w:rPr>
                <w:sz w:val="19"/>
                <w:szCs w:val="19"/>
              </w:rPr>
            </w:pPr>
            <w:r w:rsidRPr="00D13AF1">
              <w:rPr>
                <w:sz w:val="19"/>
                <w:szCs w:val="19"/>
              </w:rPr>
              <w:sym w:font="Wingdings 2" w:char="F050"/>
            </w:r>
          </w:p>
        </w:tc>
        <w:tc>
          <w:tcPr>
            <w:tcW w:w="1241" w:type="dxa"/>
            <w:shd w:val="clear" w:color="auto" w:fill="auto"/>
            <w:noWrap/>
            <w:vAlign w:val="center"/>
          </w:tcPr>
          <w:p w14:paraId="1D9593A3" w14:textId="77777777" w:rsidR="00811D13" w:rsidRPr="00D13AF1" w:rsidRDefault="00811D13" w:rsidP="00811D13">
            <w:pPr>
              <w:pStyle w:val="Tablelastnote"/>
              <w:keepNext/>
              <w:spacing w:after="0"/>
              <w:jc w:val="center"/>
              <w:rPr>
                <w:sz w:val="19"/>
                <w:szCs w:val="19"/>
              </w:rPr>
            </w:pPr>
          </w:p>
        </w:tc>
      </w:tr>
      <w:tr w:rsidR="00811D13" w:rsidRPr="00D13AF1" w14:paraId="08059418" w14:textId="77777777" w:rsidTr="00CC035D">
        <w:tblPrEx>
          <w:tblCellMar>
            <w:left w:w="85" w:type="dxa"/>
            <w:right w:w="85" w:type="dxa"/>
          </w:tblCellMar>
        </w:tblPrEx>
        <w:trPr>
          <w:trHeight w:val="300"/>
        </w:trPr>
        <w:tc>
          <w:tcPr>
            <w:tcW w:w="1526" w:type="dxa"/>
            <w:vMerge/>
            <w:shd w:val="clear" w:color="auto" w:fill="E1D0EE" w:themeFill="accent1" w:themeFillTint="33"/>
            <w:vAlign w:val="center"/>
          </w:tcPr>
          <w:p w14:paraId="54016D6E" w14:textId="77777777" w:rsidR="00811D13" w:rsidRPr="00D13AF1" w:rsidRDefault="00811D13" w:rsidP="00811D13">
            <w:pPr>
              <w:pStyle w:val="Tablelastnote"/>
              <w:keepNext/>
              <w:spacing w:after="0"/>
              <w:jc w:val="left"/>
              <w:rPr>
                <w:b/>
                <w:bCs/>
                <w:sz w:val="19"/>
                <w:szCs w:val="19"/>
              </w:rPr>
            </w:pPr>
          </w:p>
        </w:tc>
        <w:tc>
          <w:tcPr>
            <w:tcW w:w="3685" w:type="dxa"/>
            <w:shd w:val="clear" w:color="auto" w:fill="E1D0EE" w:themeFill="accent1" w:themeFillTint="33"/>
            <w:noWrap/>
            <w:vAlign w:val="center"/>
            <w:hideMark/>
          </w:tcPr>
          <w:p w14:paraId="55D00294" w14:textId="57695DC3" w:rsidR="00811D13" w:rsidRPr="00D13AF1" w:rsidRDefault="007C7CED" w:rsidP="00811D13">
            <w:pPr>
              <w:pStyle w:val="Tablelastnote"/>
              <w:keepNext/>
              <w:spacing w:after="0"/>
              <w:jc w:val="left"/>
              <w:rPr>
                <w:sz w:val="19"/>
                <w:szCs w:val="19"/>
              </w:rPr>
            </w:pPr>
            <w:r w:rsidRPr="007C7CED">
              <w:rPr>
                <w:sz w:val="19"/>
                <w:szCs w:val="19"/>
              </w:rPr>
              <w:t>North Carolina Medical Board</w:t>
            </w:r>
          </w:p>
        </w:tc>
        <w:tc>
          <w:tcPr>
            <w:tcW w:w="1418" w:type="dxa"/>
            <w:shd w:val="clear" w:color="auto" w:fill="E1D0EE" w:themeFill="accent1" w:themeFillTint="33"/>
            <w:noWrap/>
            <w:vAlign w:val="center"/>
            <w:hideMark/>
          </w:tcPr>
          <w:p w14:paraId="27FFDE01" w14:textId="77777777" w:rsidR="00811D13" w:rsidRPr="00D13AF1" w:rsidRDefault="00811D13" w:rsidP="00811D13">
            <w:pPr>
              <w:pStyle w:val="Tablelastnote"/>
              <w:keepNext/>
              <w:spacing w:after="0"/>
              <w:jc w:val="center"/>
              <w:rPr>
                <w:sz w:val="19"/>
                <w:szCs w:val="19"/>
              </w:rPr>
            </w:pPr>
            <w:r w:rsidRPr="00D13AF1">
              <w:rPr>
                <w:sz w:val="19"/>
                <w:szCs w:val="19"/>
              </w:rPr>
              <w:t>Yes</w:t>
            </w:r>
          </w:p>
        </w:tc>
        <w:tc>
          <w:tcPr>
            <w:tcW w:w="1134" w:type="dxa"/>
            <w:shd w:val="clear" w:color="auto" w:fill="E1D0EE" w:themeFill="accent1" w:themeFillTint="33"/>
            <w:vAlign w:val="center"/>
          </w:tcPr>
          <w:p w14:paraId="1DF497F8" w14:textId="77777777" w:rsidR="00811D13" w:rsidRPr="00D13AF1" w:rsidRDefault="00811D13" w:rsidP="00811D13">
            <w:pPr>
              <w:pStyle w:val="Tablelastnote"/>
              <w:keepNext/>
              <w:spacing w:after="0"/>
              <w:jc w:val="center"/>
              <w:rPr>
                <w:sz w:val="19"/>
                <w:szCs w:val="19"/>
              </w:rPr>
            </w:pPr>
            <w:r w:rsidRPr="00D13AF1">
              <w:rPr>
                <w:sz w:val="19"/>
                <w:szCs w:val="19"/>
              </w:rPr>
              <w:sym w:font="Wingdings 2" w:char="F050"/>
            </w:r>
          </w:p>
        </w:tc>
        <w:tc>
          <w:tcPr>
            <w:tcW w:w="850" w:type="dxa"/>
            <w:shd w:val="clear" w:color="auto" w:fill="E1D0EE" w:themeFill="accent1" w:themeFillTint="33"/>
            <w:vAlign w:val="center"/>
          </w:tcPr>
          <w:p w14:paraId="4B76C322" w14:textId="77777777" w:rsidR="00811D13" w:rsidRPr="00D13AF1" w:rsidRDefault="00811D13" w:rsidP="00811D13">
            <w:pPr>
              <w:pStyle w:val="Tablelastnote"/>
              <w:keepNext/>
              <w:spacing w:after="0"/>
              <w:jc w:val="center"/>
              <w:rPr>
                <w:sz w:val="19"/>
                <w:szCs w:val="19"/>
              </w:rPr>
            </w:pPr>
            <w:r w:rsidRPr="00D13AF1">
              <w:rPr>
                <w:sz w:val="19"/>
                <w:szCs w:val="19"/>
              </w:rPr>
              <w:sym w:font="Wingdings 2" w:char="F050"/>
            </w:r>
          </w:p>
        </w:tc>
        <w:tc>
          <w:tcPr>
            <w:tcW w:w="1241" w:type="dxa"/>
            <w:shd w:val="clear" w:color="auto" w:fill="E1D0EE" w:themeFill="accent1" w:themeFillTint="33"/>
            <w:noWrap/>
            <w:vAlign w:val="center"/>
            <w:hideMark/>
          </w:tcPr>
          <w:p w14:paraId="2628D87A" w14:textId="77777777" w:rsidR="00811D13" w:rsidRPr="00D13AF1" w:rsidRDefault="00811D13" w:rsidP="00811D13">
            <w:pPr>
              <w:pStyle w:val="Tablelastnote"/>
              <w:keepNext/>
              <w:spacing w:after="0"/>
              <w:jc w:val="center"/>
              <w:rPr>
                <w:sz w:val="19"/>
                <w:szCs w:val="19"/>
              </w:rPr>
            </w:pPr>
            <w:r w:rsidRPr="00D13AF1">
              <w:rPr>
                <w:sz w:val="19"/>
                <w:szCs w:val="19"/>
              </w:rPr>
              <w:sym w:font="Wingdings 2" w:char="F050"/>
            </w:r>
          </w:p>
        </w:tc>
      </w:tr>
      <w:tr w:rsidR="00811D13" w:rsidRPr="00D13AF1" w14:paraId="2282C300" w14:textId="77777777" w:rsidTr="00CC035D">
        <w:trPr>
          <w:trHeight w:val="300"/>
        </w:trPr>
        <w:tc>
          <w:tcPr>
            <w:tcW w:w="1526" w:type="dxa"/>
            <w:vMerge/>
            <w:shd w:val="clear" w:color="auto" w:fill="E1D0EE" w:themeFill="accent1" w:themeFillTint="33"/>
            <w:vAlign w:val="center"/>
          </w:tcPr>
          <w:p w14:paraId="590F130A" w14:textId="77777777" w:rsidR="00811D13" w:rsidRPr="00D13AF1" w:rsidRDefault="00811D13" w:rsidP="00811D13">
            <w:pPr>
              <w:pStyle w:val="Tablelastnote"/>
              <w:keepNext/>
              <w:spacing w:after="0"/>
              <w:jc w:val="left"/>
              <w:rPr>
                <w:b/>
                <w:bCs/>
                <w:sz w:val="19"/>
                <w:szCs w:val="19"/>
              </w:rPr>
            </w:pPr>
          </w:p>
        </w:tc>
        <w:tc>
          <w:tcPr>
            <w:tcW w:w="3685" w:type="dxa"/>
            <w:shd w:val="clear" w:color="auto" w:fill="auto"/>
            <w:noWrap/>
            <w:vAlign w:val="center"/>
            <w:hideMark/>
          </w:tcPr>
          <w:p w14:paraId="325A5AEC" w14:textId="003ED53D" w:rsidR="00811D13" w:rsidRPr="00D13AF1" w:rsidRDefault="007C7CED" w:rsidP="00811D13">
            <w:pPr>
              <w:pStyle w:val="Tablelastnote"/>
              <w:keepNext/>
              <w:spacing w:after="0"/>
              <w:jc w:val="left"/>
              <w:rPr>
                <w:sz w:val="19"/>
                <w:szCs w:val="19"/>
              </w:rPr>
            </w:pPr>
            <w:r w:rsidRPr="007C7CED">
              <w:rPr>
                <w:sz w:val="19"/>
                <w:szCs w:val="19"/>
              </w:rPr>
              <w:t>Oklahoma State Board of Medical Licensure and Supervision</w:t>
            </w:r>
          </w:p>
        </w:tc>
        <w:tc>
          <w:tcPr>
            <w:tcW w:w="1418" w:type="dxa"/>
            <w:shd w:val="clear" w:color="auto" w:fill="auto"/>
            <w:noWrap/>
            <w:vAlign w:val="center"/>
            <w:hideMark/>
          </w:tcPr>
          <w:p w14:paraId="4F5EE5FA" w14:textId="77777777" w:rsidR="00811D13" w:rsidRPr="00D13AF1" w:rsidRDefault="00811D13" w:rsidP="00811D13">
            <w:pPr>
              <w:pStyle w:val="Tablelastnote"/>
              <w:keepNext/>
              <w:spacing w:after="0"/>
              <w:jc w:val="center"/>
              <w:rPr>
                <w:sz w:val="19"/>
                <w:szCs w:val="19"/>
              </w:rPr>
            </w:pPr>
            <w:r w:rsidRPr="00D13AF1">
              <w:rPr>
                <w:sz w:val="19"/>
                <w:szCs w:val="19"/>
              </w:rPr>
              <w:t>Yes</w:t>
            </w:r>
          </w:p>
        </w:tc>
        <w:tc>
          <w:tcPr>
            <w:tcW w:w="1134" w:type="dxa"/>
            <w:shd w:val="clear" w:color="auto" w:fill="auto"/>
            <w:vAlign w:val="center"/>
          </w:tcPr>
          <w:p w14:paraId="06A98449" w14:textId="77777777" w:rsidR="00811D13" w:rsidRPr="00D13AF1" w:rsidRDefault="00811D13" w:rsidP="00811D13">
            <w:pPr>
              <w:pStyle w:val="Tablelastnote"/>
              <w:keepNext/>
              <w:spacing w:after="0"/>
              <w:jc w:val="center"/>
              <w:rPr>
                <w:sz w:val="19"/>
                <w:szCs w:val="19"/>
              </w:rPr>
            </w:pPr>
            <w:r w:rsidRPr="00D13AF1">
              <w:rPr>
                <w:sz w:val="19"/>
                <w:szCs w:val="19"/>
              </w:rPr>
              <w:sym w:font="Wingdings 2" w:char="F050"/>
            </w:r>
          </w:p>
        </w:tc>
        <w:tc>
          <w:tcPr>
            <w:tcW w:w="850" w:type="dxa"/>
            <w:shd w:val="clear" w:color="auto" w:fill="auto"/>
            <w:vAlign w:val="center"/>
          </w:tcPr>
          <w:p w14:paraId="30449D8B" w14:textId="77777777" w:rsidR="00811D13" w:rsidRPr="00D13AF1" w:rsidRDefault="00811D13" w:rsidP="00811D13">
            <w:pPr>
              <w:pStyle w:val="Tablelastnote"/>
              <w:keepNext/>
              <w:spacing w:after="0"/>
              <w:jc w:val="center"/>
              <w:rPr>
                <w:sz w:val="19"/>
                <w:szCs w:val="19"/>
              </w:rPr>
            </w:pPr>
            <w:r w:rsidRPr="00D13AF1">
              <w:rPr>
                <w:sz w:val="19"/>
                <w:szCs w:val="19"/>
              </w:rPr>
              <w:sym w:font="Wingdings 2" w:char="F050"/>
            </w:r>
          </w:p>
        </w:tc>
        <w:tc>
          <w:tcPr>
            <w:tcW w:w="1241" w:type="dxa"/>
            <w:shd w:val="clear" w:color="auto" w:fill="auto"/>
            <w:noWrap/>
            <w:vAlign w:val="center"/>
            <w:hideMark/>
          </w:tcPr>
          <w:p w14:paraId="535C99BD" w14:textId="77777777" w:rsidR="00811D13" w:rsidRPr="00D13AF1" w:rsidRDefault="00811D13" w:rsidP="00811D13">
            <w:pPr>
              <w:pStyle w:val="Tablelastnote"/>
              <w:keepNext/>
              <w:spacing w:after="0"/>
              <w:jc w:val="center"/>
              <w:rPr>
                <w:sz w:val="19"/>
                <w:szCs w:val="19"/>
              </w:rPr>
            </w:pPr>
            <w:r w:rsidRPr="00D13AF1">
              <w:rPr>
                <w:sz w:val="19"/>
                <w:szCs w:val="19"/>
              </w:rPr>
              <w:sym w:font="Wingdings 2" w:char="F050"/>
            </w:r>
          </w:p>
        </w:tc>
      </w:tr>
      <w:tr w:rsidR="00811D13" w:rsidRPr="00D13AF1" w14:paraId="259A0F5F" w14:textId="77777777" w:rsidTr="00CC035D">
        <w:tblPrEx>
          <w:tblCellMar>
            <w:left w:w="85" w:type="dxa"/>
            <w:right w:w="85" w:type="dxa"/>
          </w:tblCellMar>
        </w:tblPrEx>
        <w:trPr>
          <w:trHeight w:val="300"/>
        </w:trPr>
        <w:tc>
          <w:tcPr>
            <w:tcW w:w="1526" w:type="dxa"/>
            <w:vMerge/>
            <w:shd w:val="clear" w:color="auto" w:fill="E1D0EE" w:themeFill="accent1" w:themeFillTint="33"/>
            <w:vAlign w:val="center"/>
          </w:tcPr>
          <w:p w14:paraId="0D7F9A97" w14:textId="77777777" w:rsidR="00811D13" w:rsidRPr="00D13AF1" w:rsidRDefault="00811D13" w:rsidP="00811D13">
            <w:pPr>
              <w:pStyle w:val="Tablelastnote"/>
              <w:keepNext/>
              <w:spacing w:after="0"/>
              <w:jc w:val="left"/>
              <w:rPr>
                <w:b/>
                <w:bCs/>
                <w:sz w:val="19"/>
                <w:szCs w:val="19"/>
              </w:rPr>
            </w:pPr>
          </w:p>
        </w:tc>
        <w:tc>
          <w:tcPr>
            <w:tcW w:w="3685" w:type="dxa"/>
            <w:shd w:val="clear" w:color="auto" w:fill="E1D0EE" w:themeFill="accent1" w:themeFillTint="33"/>
            <w:noWrap/>
            <w:vAlign w:val="center"/>
            <w:hideMark/>
          </w:tcPr>
          <w:p w14:paraId="735A402F" w14:textId="05873F02" w:rsidR="00811D13" w:rsidRPr="00D13AF1" w:rsidRDefault="007C7CED" w:rsidP="00811D13">
            <w:pPr>
              <w:pStyle w:val="Tablelastnote"/>
              <w:keepNext/>
              <w:spacing w:after="0"/>
              <w:jc w:val="left"/>
              <w:rPr>
                <w:sz w:val="19"/>
                <w:szCs w:val="19"/>
              </w:rPr>
            </w:pPr>
            <w:r w:rsidRPr="007C7CED">
              <w:rPr>
                <w:sz w:val="19"/>
                <w:szCs w:val="19"/>
              </w:rPr>
              <w:t>Oregon Medical</w:t>
            </w:r>
            <w:r>
              <w:rPr>
                <w:sz w:val="19"/>
                <w:szCs w:val="19"/>
              </w:rPr>
              <w:t xml:space="preserve"> </w:t>
            </w:r>
            <w:r w:rsidRPr="007C7CED">
              <w:rPr>
                <w:sz w:val="19"/>
                <w:szCs w:val="19"/>
              </w:rPr>
              <w:t>Board</w:t>
            </w:r>
            <w:r w:rsidRPr="007C7CED" w:rsidDel="007C7CED">
              <w:rPr>
                <w:sz w:val="19"/>
                <w:szCs w:val="19"/>
              </w:rPr>
              <w:t xml:space="preserve"> </w:t>
            </w:r>
          </w:p>
        </w:tc>
        <w:tc>
          <w:tcPr>
            <w:tcW w:w="1418" w:type="dxa"/>
            <w:shd w:val="clear" w:color="auto" w:fill="E1D0EE" w:themeFill="accent1" w:themeFillTint="33"/>
            <w:noWrap/>
            <w:vAlign w:val="center"/>
            <w:hideMark/>
          </w:tcPr>
          <w:p w14:paraId="685D4727" w14:textId="77777777" w:rsidR="00811D13" w:rsidRPr="00D13AF1" w:rsidRDefault="00811D13" w:rsidP="00811D13">
            <w:pPr>
              <w:pStyle w:val="Tablelastnote"/>
              <w:keepNext/>
              <w:spacing w:after="0"/>
              <w:jc w:val="center"/>
              <w:rPr>
                <w:sz w:val="19"/>
                <w:szCs w:val="19"/>
              </w:rPr>
            </w:pPr>
            <w:r w:rsidRPr="00D13AF1">
              <w:rPr>
                <w:sz w:val="19"/>
                <w:szCs w:val="19"/>
              </w:rPr>
              <w:t>Yes</w:t>
            </w:r>
          </w:p>
        </w:tc>
        <w:tc>
          <w:tcPr>
            <w:tcW w:w="1134" w:type="dxa"/>
            <w:shd w:val="clear" w:color="auto" w:fill="E1D0EE" w:themeFill="accent1" w:themeFillTint="33"/>
            <w:vAlign w:val="center"/>
          </w:tcPr>
          <w:p w14:paraId="5D7F9B94" w14:textId="77777777" w:rsidR="00811D13" w:rsidRPr="00D13AF1" w:rsidRDefault="00811D13" w:rsidP="00811D13">
            <w:pPr>
              <w:pStyle w:val="Tablelastnote"/>
              <w:keepNext/>
              <w:spacing w:after="0"/>
              <w:jc w:val="center"/>
              <w:rPr>
                <w:sz w:val="19"/>
                <w:szCs w:val="19"/>
              </w:rPr>
            </w:pPr>
            <w:r w:rsidRPr="00D13AF1">
              <w:rPr>
                <w:sz w:val="19"/>
                <w:szCs w:val="19"/>
              </w:rPr>
              <w:sym w:font="Wingdings 2" w:char="F050"/>
            </w:r>
          </w:p>
        </w:tc>
        <w:tc>
          <w:tcPr>
            <w:tcW w:w="850" w:type="dxa"/>
            <w:shd w:val="clear" w:color="auto" w:fill="E1D0EE" w:themeFill="accent1" w:themeFillTint="33"/>
            <w:vAlign w:val="center"/>
          </w:tcPr>
          <w:p w14:paraId="038052A3" w14:textId="77777777" w:rsidR="00811D13" w:rsidRPr="00D13AF1" w:rsidRDefault="00811D13" w:rsidP="00811D13">
            <w:pPr>
              <w:pStyle w:val="Tablelastnote"/>
              <w:keepNext/>
              <w:spacing w:after="0"/>
              <w:jc w:val="center"/>
              <w:rPr>
                <w:sz w:val="19"/>
                <w:szCs w:val="19"/>
              </w:rPr>
            </w:pPr>
            <w:r w:rsidRPr="00D13AF1">
              <w:rPr>
                <w:sz w:val="19"/>
                <w:szCs w:val="19"/>
              </w:rPr>
              <w:sym w:font="Wingdings 2" w:char="F050"/>
            </w:r>
          </w:p>
        </w:tc>
        <w:tc>
          <w:tcPr>
            <w:tcW w:w="1241" w:type="dxa"/>
            <w:shd w:val="clear" w:color="auto" w:fill="E1D0EE" w:themeFill="accent1" w:themeFillTint="33"/>
            <w:noWrap/>
            <w:vAlign w:val="center"/>
          </w:tcPr>
          <w:p w14:paraId="6CEEF0D5" w14:textId="77777777" w:rsidR="00811D13" w:rsidRPr="00D13AF1" w:rsidRDefault="00811D13" w:rsidP="00811D13">
            <w:pPr>
              <w:pStyle w:val="Tablelastnote"/>
              <w:keepNext/>
              <w:spacing w:after="0"/>
              <w:jc w:val="center"/>
              <w:rPr>
                <w:sz w:val="19"/>
                <w:szCs w:val="19"/>
              </w:rPr>
            </w:pPr>
          </w:p>
        </w:tc>
      </w:tr>
      <w:tr w:rsidR="00811D13" w:rsidRPr="00D13AF1" w14:paraId="5A9C5129" w14:textId="77777777" w:rsidTr="00CC035D">
        <w:trPr>
          <w:trHeight w:val="300"/>
        </w:trPr>
        <w:tc>
          <w:tcPr>
            <w:tcW w:w="1526" w:type="dxa"/>
            <w:vMerge/>
            <w:shd w:val="clear" w:color="auto" w:fill="E1D0EE" w:themeFill="accent1" w:themeFillTint="33"/>
            <w:vAlign w:val="center"/>
          </w:tcPr>
          <w:p w14:paraId="224C69E2" w14:textId="77777777" w:rsidR="00811D13" w:rsidRPr="00D13AF1" w:rsidRDefault="00811D13" w:rsidP="00811D13">
            <w:pPr>
              <w:pStyle w:val="Tablelastnote"/>
              <w:keepNext/>
              <w:spacing w:after="0"/>
              <w:jc w:val="left"/>
              <w:rPr>
                <w:b/>
                <w:bCs/>
                <w:sz w:val="19"/>
                <w:szCs w:val="19"/>
              </w:rPr>
            </w:pPr>
          </w:p>
        </w:tc>
        <w:tc>
          <w:tcPr>
            <w:tcW w:w="3685" w:type="dxa"/>
            <w:shd w:val="clear" w:color="auto" w:fill="auto"/>
            <w:noWrap/>
            <w:vAlign w:val="center"/>
            <w:hideMark/>
          </w:tcPr>
          <w:p w14:paraId="6886C9AF" w14:textId="3088EBE6" w:rsidR="00811D13" w:rsidRPr="00D13AF1" w:rsidRDefault="007C7CED" w:rsidP="00811D13">
            <w:pPr>
              <w:pStyle w:val="Tablelastnote"/>
              <w:keepNext/>
              <w:spacing w:after="0"/>
              <w:jc w:val="left"/>
              <w:rPr>
                <w:sz w:val="19"/>
                <w:szCs w:val="19"/>
              </w:rPr>
            </w:pPr>
            <w:r w:rsidRPr="007C7CED">
              <w:rPr>
                <w:sz w:val="19"/>
                <w:szCs w:val="19"/>
              </w:rPr>
              <w:t>Washington, DC Board of Medicine</w:t>
            </w:r>
          </w:p>
        </w:tc>
        <w:tc>
          <w:tcPr>
            <w:tcW w:w="1418" w:type="dxa"/>
            <w:shd w:val="clear" w:color="auto" w:fill="auto"/>
            <w:noWrap/>
            <w:vAlign w:val="center"/>
            <w:hideMark/>
          </w:tcPr>
          <w:p w14:paraId="15F41C76" w14:textId="77777777" w:rsidR="00811D13" w:rsidRPr="00D13AF1" w:rsidRDefault="00811D13" w:rsidP="00811D13">
            <w:pPr>
              <w:pStyle w:val="Tablelastnote"/>
              <w:keepNext/>
              <w:spacing w:after="0"/>
              <w:jc w:val="center"/>
              <w:rPr>
                <w:sz w:val="19"/>
                <w:szCs w:val="19"/>
              </w:rPr>
            </w:pPr>
            <w:r w:rsidRPr="00D13AF1">
              <w:rPr>
                <w:sz w:val="19"/>
                <w:szCs w:val="19"/>
              </w:rPr>
              <w:t>Yes</w:t>
            </w:r>
          </w:p>
        </w:tc>
        <w:tc>
          <w:tcPr>
            <w:tcW w:w="1134" w:type="dxa"/>
            <w:shd w:val="clear" w:color="auto" w:fill="auto"/>
            <w:vAlign w:val="center"/>
          </w:tcPr>
          <w:p w14:paraId="50F4A532" w14:textId="77777777" w:rsidR="00811D13" w:rsidRPr="00D13AF1" w:rsidRDefault="00811D13" w:rsidP="00811D13">
            <w:pPr>
              <w:pStyle w:val="Tablelastnote"/>
              <w:keepNext/>
              <w:spacing w:after="0"/>
              <w:jc w:val="center"/>
              <w:rPr>
                <w:sz w:val="19"/>
                <w:szCs w:val="19"/>
              </w:rPr>
            </w:pPr>
            <w:r w:rsidRPr="00D13AF1">
              <w:rPr>
                <w:sz w:val="19"/>
                <w:szCs w:val="19"/>
              </w:rPr>
              <w:sym w:font="Wingdings 2" w:char="F050"/>
            </w:r>
          </w:p>
        </w:tc>
        <w:tc>
          <w:tcPr>
            <w:tcW w:w="850" w:type="dxa"/>
            <w:shd w:val="clear" w:color="auto" w:fill="auto"/>
            <w:vAlign w:val="center"/>
          </w:tcPr>
          <w:p w14:paraId="54725032" w14:textId="77777777" w:rsidR="00811D13" w:rsidRPr="00D13AF1" w:rsidRDefault="00811D13" w:rsidP="00811D13">
            <w:pPr>
              <w:pStyle w:val="Tablelastnote"/>
              <w:keepNext/>
              <w:spacing w:after="0"/>
              <w:jc w:val="center"/>
              <w:rPr>
                <w:sz w:val="19"/>
                <w:szCs w:val="19"/>
              </w:rPr>
            </w:pPr>
            <w:r w:rsidRPr="00D13AF1">
              <w:rPr>
                <w:sz w:val="19"/>
                <w:szCs w:val="19"/>
              </w:rPr>
              <w:sym w:font="Wingdings 2" w:char="F050"/>
            </w:r>
          </w:p>
        </w:tc>
        <w:tc>
          <w:tcPr>
            <w:tcW w:w="1241" w:type="dxa"/>
            <w:shd w:val="clear" w:color="auto" w:fill="auto"/>
            <w:noWrap/>
            <w:vAlign w:val="center"/>
          </w:tcPr>
          <w:p w14:paraId="407B709F" w14:textId="77777777" w:rsidR="00811D13" w:rsidRPr="00D13AF1" w:rsidRDefault="00811D13" w:rsidP="00811D13">
            <w:pPr>
              <w:pStyle w:val="Tablelastnote"/>
              <w:keepNext/>
              <w:spacing w:after="0"/>
              <w:jc w:val="center"/>
              <w:rPr>
                <w:sz w:val="19"/>
                <w:szCs w:val="19"/>
              </w:rPr>
            </w:pPr>
          </w:p>
        </w:tc>
      </w:tr>
      <w:tr w:rsidR="00811D13" w:rsidRPr="00D13AF1" w14:paraId="42C2A9B2" w14:textId="77777777" w:rsidTr="00C77B38">
        <w:trPr>
          <w:trHeight w:val="300"/>
        </w:trPr>
        <w:tc>
          <w:tcPr>
            <w:tcW w:w="1526" w:type="dxa"/>
            <w:vAlign w:val="center"/>
          </w:tcPr>
          <w:p w14:paraId="39E28416" w14:textId="77777777" w:rsidR="00811D13" w:rsidRPr="00D13AF1" w:rsidRDefault="00811D13" w:rsidP="00811D13">
            <w:pPr>
              <w:pStyle w:val="Tablelastnote"/>
              <w:spacing w:after="0"/>
              <w:jc w:val="left"/>
              <w:rPr>
                <w:b/>
                <w:bCs/>
                <w:sz w:val="19"/>
                <w:szCs w:val="19"/>
              </w:rPr>
            </w:pPr>
          </w:p>
        </w:tc>
        <w:tc>
          <w:tcPr>
            <w:tcW w:w="3685" w:type="dxa"/>
            <w:noWrap/>
            <w:vAlign w:val="center"/>
          </w:tcPr>
          <w:p w14:paraId="41F212F0" w14:textId="77777777" w:rsidR="00811D13" w:rsidRPr="00D13AF1" w:rsidRDefault="00811D13" w:rsidP="00811D13">
            <w:pPr>
              <w:pStyle w:val="Tablelastnote"/>
              <w:spacing w:after="0"/>
              <w:jc w:val="left"/>
              <w:rPr>
                <w:b/>
                <w:bCs/>
                <w:sz w:val="19"/>
                <w:szCs w:val="19"/>
              </w:rPr>
            </w:pPr>
            <w:r w:rsidRPr="00D13AF1">
              <w:rPr>
                <w:b/>
                <w:bCs/>
                <w:sz w:val="19"/>
                <w:szCs w:val="19"/>
              </w:rPr>
              <w:t>Total</w:t>
            </w:r>
          </w:p>
        </w:tc>
        <w:tc>
          <w:tcPr>
            <w:tcW w:w="1418" w:type="dxa"/>
            <w:noWrap/>
            <w:vAlign w:val="center"/>
          </w:tcPr>
          <w:p w14:paraId="7ECD5DF2" w14:textId="77777777" w:rsidR="00811D13" w:rsidRPr="00D13AF1" w:rsidRDefault="00811D13" w:rsidP="00811D13">
            <w:pPr>
              <w:pStyle w:val="Tablelastnote"/>
              <w:spacing w:after="0"/>
              <w:jc w:val="center"/>
              <w:rPr>
                <w:b/>
                <w:bCs/>
                <w:sz w:val="19"/>
                <w:szCs w:val="19"/>
              </w:rPr>
            </w:pPr>
          </w:p>
        </w:tc>
        <w:tc>
          <w:tcPr>
            <w:tcW w:w="1134" w:type="dxa"/>
            <w:vAlign w:val="center"/>
          </w:tcPr>
          <w:p w14:paraId="279A082C" w14:textId="0899AE0E" w:rsidR="00811D13" w:rsidRPr="00D13AF1" w:rsidRDefault="00D3381E" w:rsidP="00811D13">
            <w:pPr>
              <w:pStyle w:val="Tablelastnote"/>
              <w:spacing w:after="0"/>
              <w:jc w:val="center"/>
              <w:rPr>
                <w:b/>
                <w:bCs/>
                <w:sz w:val="19"/>
                <w:szCs w:val="19"/>
              </w:rPr>
            </w:pPr>
            <w:r>
              <w:rPr>
                <w:b/>
                <w:bCs/>
                <w:sz w:val="19"/>
                <w:szCs w:val="19"/>
              </w:rPr>
              <w:t>35</w:t>
            </w:r>
          </w:p>
        </w:tc>
        <w:tc>
          <w:tcPr>
            <w:tcW w:w="850" w:type="dxa"/>
            <w:vAlign w:val="center"/>
          </w:tcPr>
          <w:p w14:paraId="5B38522E" w14:textId="1B787FE1" w:rsidR="00811D13" w:rsidRPr="00D13AF1" w:rsidRDefault="00D3381E" w:rsidP="00811D13">
            <w:pPr>
              <w:pStyle w:val="Tablelastnote"/>
              <w:spacing w:after="0"/>
              <w:jc w:val="center"/>
              <w:rPr>
                <w:b/>
                <w:bCs/>
                <w:sz w:val="19"/>
                <w:szCs w:val="19"/>
              </w:rPr>
            </w:pPr>
            <w:r>
              <w:rPr>
                <w:b/>
                <w:bCs/>
                <w:sz w:val="19"/>
                <w:szCs w:val="19"/>
              </w:rPr>
              <w:t>21</w:t>
            </w:r>
          </w:p>
        </w:tc>
        <w:tc>
          <w:tcPr>
            <w:tcW w:w="1241" w:type="dxa"/>
            <w:noWrap/>
            <w:vAlign w:val="center"/>
          </w:tcPr>
          <w:p w14:paraId="1AB59285" w14:textId="53B19051" w:rsidR="00811D13" w:rsidRPr="00D13AF1" w:rsidRDefault="001C4C71" w:rsidP="00811D13">
            <w:pPr>
              <w:pStyle w:val="Tablelastnote"/>
              <w:spacing w:after="0"/>
              <w:jc w:val="center"/>
              <w:rPr>
                <w:b/>
                <w:bCs/>
                <w:sz w:val="19"/>
                <w:szCs w:val="19"/>
              </w:rPr>
            </w:pPr>
            <w:r>
              <w:rPr>
                <w:b/>
                <w:bCs/>
                <w:sz w:val="19"/>
                <w:szCs w:val="19"/>
              </w:rPr>
              <w:t>12</w:t>
            </w:r>
          </w:p>
        </w:tc>
      </w:tr>
    </w:tbl>
    <w:p w14:paraId="53708C07" w14:textId="6192B029" w:rsidR="009210FC" w:rsidRDefault="009210FC" w:rsidP="009210FC">
      <w:pPr>
        <w:pStyle w:val="Tablenote"/>
      </w:pPr>
      <w:r>
        <w:t xml:space="preserve">Note: This table only presents organisations from the core countries. </w:t>
      </w:r>
    </w:p>
    <w:p w14:paraId="7DFE3E13" w14:textId="721FF13F" w:rsidR="002C4244" w:rsidRPr="00D13AF1" w:rsidRDefault="002C4244" w:rsidP="002C4244">
      <w:pPr>
        <w:pStyle w:val="Tablelastnote"/>
      </w:pPr>
      <w:r w:rsidRPr="00D13AF1">
        <w:t>Source: Europe Economics</w:t>
      </w:r>
      <w:r w:rsidR="008755B9" w:rsidRPr="00D13AF1">
        <w:t>.</w:t>
      </w:r>
    </w:p>
    <w:p w14:paraId="3E4E6385" w14:textId="77777777" w:rsidR="005C2B38" w:rsidRPr="003F01D3" w:rsidRDefault="005C2B38" w:rsidP="003F01D3">
      <w:pPr>
        <w:pStyle w:val="Heading2Pink"/>
        <w:rPr>
          <w:color w:val="683493" w:themeColor="accent1"/>
        </w:rPr>
      </w:pPr>
      <w:bookmarkStart w:id="15" w:name="_Toc499025517"/>
      <w:bookmarkStart w:id="16" w:name="_Toc499211316"/>
      <w:bookmarkStart w:id="17" w:name="_Toc504484105"/>
      <w:r w:rsidRPr="003F01D3">
        <w:rPr>
          <w:color w:val="683493" w:themeColor="accent1"/>
        </w:rPr>
        <w:t>Structure of the report</w:t>
      </w:r>
      <w:bookmarkEnd w:id="15"/>
      <w:bookmarkEnd w:id="16"/>
      <w:bookmarkEnd w:id="17"/>
    </w:p>
    <w:p w14:paraId="7BEB09A9" w14:textId="3991FCBD" w:rsidR="00466452" w:rsidRPr="00D13AF1" w:rsidRDefault="00466452" w:rsidP="00466452">
      <w:pPr>
        <w:pStyle w:val="BodyEE"/>
      </w:pPr>
      <w:r w:rsidRPr="00D13AF1">
        <w:t xml:space="preserve">The remainder of this report is structured </w:t>
      </w:r>
      <w:r w:rsidR="008755B9" w:rsidRPr="00D13AF1">
        <w:t>as</w:t>
      </w:r>
      <w:r w:rsidRPr="00D13AF1">
        <w:t xml:space="preserve"> follow</w:t>
      </w:r>
      <w:r w:rsidR="008755B9" w:rsidRPr="00D13AF1">
        <w:t>s</w:t>
      </w:r>
      <w:r w:rsidRPr="00D13AF1">
        <w:t>:</w:t>
      </w:r>
    </w:p>
    <w:p w14:paraId="3504C467" w14:textId="045042AF" w:rsidR="00466452" w:rsidRPr="00D13AF1" w:rsidRDefault="00466452" w:rsidP="00466452">
      <w:pPr>
        <w:pStyle w:val="Bulletlevel1"/>
      </w:pPr>
      <w:r w:rsidRPr="00D13AF1">
        <w:t xml:space="preserve">Chapter </w:t>
      </w:r>
      <w:r w:rsidRPr="00D13AF1">
        <w:fldChar w:fldCharType="begin"/>
      </w:r>
      <w:r w:rsidRPr="00D13AF1">
        <w:instrText xml:space="preserve"> REF _Ref499306967 \r \h </w:instrText>
      </w:r>
      <w:r w:rsidRPr="00D13AF1">
        <w:fldChar w:fldCharType="separate"/>
      </w:r>
      <w:r w:rsidR="00B51130">
        <w:t>2</w:t>
      </w:r>
      <w:r w:rsidRPr="00D13AF1">
        <w:fldChar w:fldCharType="end"/>
      </w:r>
      <w:r w:rsidRPr="00D13AF1">
        <w:t xml:space="preserve"> provides a discussion of the </w:t>
      </w:r>
      <w:r w:rsidRPr="00FF2B14">
        <w:rPr>
          <w:rStyle w:val="EmphasisPinkChar"/>
          <w:color w:val="683493" w:themeColor="accent1"/>
        </w:rPr>
        <w:t>regulatory context for telemedicine</w:t>
      </w:r>
      <w:r w:rsidRPr="00FF2B14">
        <w:rPr>
          <w:color w:val="683493" w:themeColor="accent1"/>
        </w:rPr>
        <w:t xml:space="preserve"> </w:t>
      </w:r>
      <w:r w:rsidRPr="00D13AF1">
        <w:t xml:space="preserve">— after briefly setting out the main research questions relevant </w:t>
      </w:r>
      <w:r w:rsidR="008755B9" w:rsidRPr="00D13AF1">
        <w:t xml:space="preserve">to </w:t>
      </w:r>
      <w:r w:rsidRPr="00D13AF1">
        <w:t xml:space="preserve">this study, we </w:t>
      </w:r>
      <w:r w:rsidR="00613DE5" w:rsidRPr="00D13AF1">
        <w:t xml:space="preserve">first </w:t>
      </w:r>
      <w:r w:rsidRPr="00D13AF1">
        <w:t xml:space="preserve">provide a </w:t>
      </w:r>
      <w:r w:rsidR="004C2320">
        <w:t xml:space="preserve">description of </w:t>
      </w:r>
      <w:r w:rsidR="00613DE5" w:rsidRPr="00D13AF1">
        <w:t xml:space="preserve">how various </w:t>
      </w:r>
      <w:r w:rsidR="004C2320">
        <w:t>characteristics of the regulatory context</w:t>
      </w:r>
      <w:r w:rsidR="00613DE5" w:rsidRPr="00D13AF1">
        <w:t xml:space="preserve"> could affect the regulation of telemedicine</w:t>
      </w:r>
      <w:r w:rsidR="00490B78" w:rsidRPr="00D13AF1">
        <w:t xml:space="preserve"> (section</w:t>
      </w:r>
      <w:r w:rsidR="00ED302C">
        <w:t xml:space="preserve"> </w:t>
      </w:r>
      <w:r w:rsidR="00ED302C">
        <w:fldChar w:fldCharType="begin"/>
      </w:r>
      <w:r w:rsidR="00ED302C">
        <w:instrText xml:space="preserve"> REF _Ref499556653 \r \h </w:instrText>
      </w:r>
      <w:r w:rsidR="00ED302C">
        <w:fldChar w:fldCharType="separate"/>
      </w:r>
      <w:r w:rsidR="00B51130">
        <w:t>2.1</w:t>
      </w:r>
      <w:r w:rsidR="00ED302C">
        <w:fldChar w:fldCharType="end"/>
      </w:r>
      <w:r w:rsidR="00490B78" w:rsidRPr="00D13AF1">
        <w:t>)</w:t>
      </w:r>
      <w:r w:rsidR="00613DE5" w:rsidRPr="00D13AF1">
        <w:t xml:space="preserve">, and then, in section </w:t>
      </w:r>
      <w:r w:rsidR="00613DE5" w:rsidRPr="00D13AF1">
        <w:fldChar w:fldCharType="begin"/>
      </w:r>
      <w:r w:rsidR="00613DE5" w:rsidRPr="00D13AF1">
        <w:instrText xml:space="preserve"> REF _Ref499307380 \r \h </w:instrText>
      </w:r>
      <w:r w:rsidR="00613DE5" w:rsidRPr="00D13AF1">
        <w:fldChar w:fldCharType="separate"/>
      </w:r>
      <w:r w:rsidR="00B51130">
        <w:t>2.2</w:t>
      </w:r>
      <w:r w:rsidR="00613DE5" w:rsidRPr="00D13AF1">
        <w:fldChar w:fldCharType="end"/>
      </w:r>
      <w:r w:rsidR="00613DE5" w:rsidRPr="00D13AF1">
        <w:t xml:space="preserve">, we discuss </w:t>
      </w:r>
      <w:r w:rsidR="00490B78" w:rsidRPr="00D13AF1">
        <w:t xml:space="preserve">which of those factors are relevant </w:t>
      </w:r>
      <w:r w:rsidR="00613DE5" w:rsidRPr="00D13AF1">
        <w:t xml:space="preserve">for the countries under consideration in this report. Finally, in section </w:t>
      </w:r>
      <w:r w:rsidR="00613DE5" w:rsidRPr="00D13AF1">
        <w:fldChar w:fldCharType="begin"/>
      </w:r>
      <w:r w:rsidR="00613DE5" w:rsidRPr="00D13AF1">
        <w:instrText xml:space="preserve"> REF _Ref499307492 \r \h </w:instrText>
      </w:r>
      <w:r w:rsidR="00613DE5" w:rsidRPr="00D13AF1">
        <w:fldChar w:fldCharType="separate"/>
      </w:r>
      <w:r w:rsidR="00B51130">
        <w:t>2.3</w:t>
      </w:r>
      <w:r w:rsidR="00613DE5" w:rsidRPr="00D13AF1">
        <w:fldChar w:fldCharType="end"/>
      </w:r>
      <w:r w:rsidR="00613DE5" w:rsidRPr="00D13AF1">
        <w:t xml:space="preserve"> we provide a short overview of the UK regulatory framework and</w:t>
      </w:r>
      <w:r w:rsidR="005F796C" w:rsidRPr="00D13AF1">
        <w:t xml:space="preserve"> a summary of the views on telemedicine among </w:t>
      </w:r>
      <w:r w:rsidR="00490B78" w:rsidRPr="00D13AF1">
        <w:t xml:space="preserve">some of the </w:t>
      </w:r>
      <w:r w:rsidR="005F796C" w:rsidRPr="00D13AF1">
        <w:t xml:space="preserve">UK regulators and other institutions. </w:t>
      </w:r>
    </w:p>
    <w:p w14:paraId="0868C15E" w14:textId="7881C88F" w:rsidR="00466452" w:rsidRPr="00D13AF1" w:rsidRDefault="00466452" w:rsidP="00466452">
      <w:pPr>
        <w:pStyle w:val="Bulletlevel1"/>
      </w:pPr>
      <w:r w:rsidRPr="00D13AF1">
        <w:t xml:space="preserve">Chapter </w:t>
      </w:r>
      <w:r w:rsidR="00856DFA" w:rsidRPr="00D13AF1">
        <w:fldChar w:fldCharType="begin"/>
      </w:r>
      <w:r w:rsidR="00856DFA" w:rsidRPr="00D13AF1">
        <w:instrText xml:space="preserve"> REF _Ref499537223 \r \h </w:instrText>
      </w:r>
      <w:r w:rsidR="00856DFA" w:rsidRPr="00D13AF1">
        <w:fldChar w:fldCharType="separate"/>
      </w:r>
      <w:r w:rsidR="00B51130">
        <w:t>3</w:t>
      </w:r>
      <w:r w:rsidR="00856DFA" w:rsidRPr="00D13AF1">
        <w:fldChar w:fldCharType="end"/>
      </w:r>
      <w:r w:rsidR="00856DFA" w:rsidRPr="00D13AF1">
        <w:t xml:space="preserve"> </w:t>
      </w:r>
      <w:r w:rsidR="00490B78" w:rsidRPr="00D13AF1">
        <w:t xml:space="preserve">provides the key findings regarding the </w:t>
      </w:r>
      <w:r w:rsidR="00490B78" w:rsidRPr="00FF2B14">
        <w:rPr>
          <w:rStyle w:val="EmphasisPinkChar"/>
          <w:color w:val="683493" w:themeColor="accent1"/>
        </w:rPr>
        <w:t>definition of telemedicine</w:t>
      </w:r>
      <w:r w:rsidR="00490B78" w:rsidRPr="00FF2B14">
        <w:rPr>
          <w:color w:val="683493" w:themeColor="accent1"/>
        </w:rPr>
        <w:t xml:space="preserve"> </w:t>
      </w:r>
      <w:r w:rsidR="00490B78" w:rsidRPr="00D13AF1">
        <w:t>in various jurisdictions outside the UK.</w:t>
      </w:r>
    </w:p>
    <w:p w14:paraId="5ED9A9A1" w14:textId="1DA10D05" w:rsidR="00466452" w:rsidRDefault="00466452" w:rsidP="00466452">
      <w:pPr>
        <w:pStyle w:val="Bulletlevel1"/>
      </w:pPr>
      <w:r w:rsidRPr="00D13AF1">
        <w:t xml:space="preserve">Chapter </w:t>
      </w:r>
      <w:r w:rsidRPr="00D13AF1">
        <w:fldChar w:fldCharType="begin"/>
      </w:r>
      <w:r w:rsidRPr="00D13AF1">
        <w:instrText xml:space="preserve"> REF _Ref499306971 \r \h </w:instrText>
      </w:r>
      <w:r w:rsidRPr="00D13AF1">
        <w:fldChar w:fldCharType="separate"/>
      </w:r>
      <w:r w:rsidR="00B51130">
        <w:t>4</w:t>
      </w:r>
      <w:r w:rsidRPr="00D13AF1">
        <w:fldChar w:fldCharType="end"/>
      </w:r>
      <w:r w:rsidR="00490B78" w:rsidRPr="00D13AF1">
        <w:t xml:space="preserve"> provides the key findings regarding the </w:t>
      </w:r>
      <w:r w:rsidR="00490B78" w:rsidRPr="00FF2B14">
        <w:rPr>
          <w:rStyle w:val="EmphasisPinkChar"/>
          <w:color w:val="683493" w:themeColor="accent1"/>
        </w:rPr>
        <w:t>requirements for doctors practi</w:t>
      </w:r>
      <w:r w:rsidR="006240CE">
        <w:rPr>
          <w:rStyle w:val="EmphasisPinkChar"/>
          <w:color w:val="683493" w:themeColor="accent1"/>
        </w:rPr>
        <w:t>s</w:t>
      </w:r>
      <w:r w:rsidR="00490B78" w:rsidRPr="00FF2B14">
        <w:rPr>
          <w:rStyle w:val="EmphasisPinkChar"/>
          <w:color w:val="683493" w:themeColor="accent1"/>
        </w:rPr>
        <w:t>ing telemedicine</w:t>
      </w:r>
      <w:r w:rsidR="00490B78" w:rsidRPr="00D13AF1">
        <w:t xml:space="preserve">. Specifically, we distinguish between licensing requirements and requirements applicable to the provision of telemedicine services per se. Given </w:t>
      </w:r>
      <w:r w:rsidR="008755B9" w:rsidRPr="00D13AF1">
        <w:t xml:space="preserve">the </w:t>
      </w:r>
      <w:r w:rsidR="00490B78" w:rsidRPr="00D13AF1">
        <w:t xml:space="preserve">additional layer of complexity telemedicine creates (e.g. by its reliance on technology), we also discuss where the locus of responsibility is (section </w:t>
      </w:r>
      <w:r w:rsidR="00490B78" w:rsidRPr="00D13AF1">
        <w:fldChar w:fldCharType="begin"/>
      </w:r>
      <w:r w:rsidR="00490B78" w:rsidRPr="00D13AF1">
        <w:instrText xml:space="preserve"> REF _Ref499307799 \r \h </w:instrText>
      </w:r>
      <w:r w:rsidR="00490B78" w:rsidRPr="00D13AF1">
        <w:fldChar w:fldCharType="separate"/>
      </w:r>
      <w:r w:rsidR="00B51130">
        <w:t>4.3</w:t>
      </w:r>
      <w:r w:rsidR="00490B78" w:rsidRPr="00D13AF1">
        <w:fldChar w:fldCharType="end"/>
      </w:r>
      <w:r w:rsidR="00490B78" w:rsidRPr="00D13AF1">
        <w:t>). Finally, we provide a summary of</w:t>
      </w:r>
      <w:r w:rsidR="006775FC" w:rsidRPr="00D13AF1">
        <w:t xml:space="preserve"> </w:t>
      </w:r>
      <w:r w:rsidR="008755B9" w:rsidRPr="00D13AF1">
        <w:t xml:space="preserve">the </w:t>
      </w:r>
      <w:proofErr w:type="gramStart"/>
      <w:r w:rsidR="006775FC" w:rsidRPr="00D13AF1">
        <w:t>approaches</w:t>
      </w:r>
      <w:proofErr w:type="gramEnd"/>
      <w:r w:rsidR="006775FC" w:rsidRPr="00D13AF1">
        <w:t xml:space="preserve"> regulators take to ensure compliance with the relevant requirements (section </w:t>
      </w:r>
      <w:r w:rsidR="00490B78" w:rsidRPr="00D13AF1">
        <w:fldChar w:fldCharType="begin"/>
      </w:r>
      <w:r w:rsidR="00490B78" w:rsidRPr="00D13AF1">
        <w:instrText xml:space="preserve"> REF _Ref499307802 \r \h </w:instrText>
      </w:r>
      <w:r w:rsidR="00490B78" w:rsidRPr="00D13AF1">
        <w:fldChar w:fldCharType="separate"/>
      </w:r>
      <w:r w:rsidR="00B51130">
        <w:t>4.4</w:t>
      </w:r>
      <w:r w:rsidR="00490B78" w:rsidRPr="00D13AF1">
        <w:fldChar w:fldCharType="end"/>
      </w:r>
      <w:r w:rsidR="006775FC" w:rsidRPr="00D13AF1">
        <w:t>).</w:t>
      </w:r>
    </w:p>
    <w:p w14:paraId="3CC5F80A" w14:textId="409D2037" w:rsidR="00FF2B14" w:rsidRPr="00D13AF1" w:rsidRDefault="00FF2B14" w:rsidP="00466452">
      <w:pPr>
        <w:pStyle w:val="Bulletlevel1"/>
      </w:pPr>
      <w:r>
        <w:t xml:space="preserve">Chapter </w:t>
      </w:r>
      <w:r w:rsidRPr="00D13AF1">
        <w:fldChar w:fldCharType="begin"/>
      </w:r>
      <w:r w:rsidRPr="00D13AF1">
        <w:instrText xml:space="preserve"> REF _Ref499307801 \r \h </w:instrText>
      </w:r>
      <w:r w:rsidRPr="00D13AF1">
        <w:fldChar w:fldCharType="separate"/>
      </w:r>
      <w:r w:rsidR="00B51130">
        <w:t>5</w:t>
      </w:r>
      <w:r w:rsidRPr="00D13AF1">
        <w:fldChar w:fldCharType="end"/>
      </w:r>
      <w:r>
        <w:t xml:space="preserve"> briefly summarises some of the </w:t>
      </w:r>
      <w:r w:rsidRPr="004E1F3E">
        <w:rPr>
          <w:rStyle w:val="EmphasisPurpleChar"/>
        </w:rPr>
        <w:t>challenges</w:t>
      </w:r>
      <w:r>
        <w:t xml:space="preserve"> in regulating telemedicine.</w:t>
      </w:r>
    </w:p>
    <w:p w14:paraId="3987E612" w14:textId="44D5AD0D" w:rsidR="00466452" w:rsidRPr="00D13AF1" w:rsidRDefault="00466452" w:rsidP="00466452">
      <w:pPr>
        <w:pStyle w:val="Bulletlevel1"/>
      </w:pPr>
      <w:r w:rsidRPr="00D13AF1">
        <w:t xml:space="preserve">Chapter </w:t>
      </w:r>
      <w:r w:rsidRPr="00D13AF1">
        <w:fldChar w:fldCharType="begin"/>
      </w:r>
      <w:r w:rsidRPr="00D13AF1">
        <w:instrText xml:space="preserve"> REF _Ref499306976 \r \h </w:instrText>
      </w:r>
      <w:r w:rsidRPr="00D13AF1">
        <w:fldChar w:fldCharType="separate"/>
      </w:r>
      <w:r w:rsidR="00B51130">
        <w:t>6</w:t>
      </w:r>
      <w:r w:rsidRPr="00D13AF1">
        <w:fldChar w:fldCharType="end"/>
      </w:r>
      <w:r w:rsidR="006775FC" w:rsidRPr="00D13AF1">
        <w:t xml:space="preserve"> provides a short discussion on the approaches </w:t>
      </w:r>
      <w:r w:rsidR="006775FC" w:rsidRPr="00FF2B14">
        <w:rPr>
          <w:rStyle w:val="EmphasisPinkChar"/>
          <w:color w:val="683493" w:themeColor="accent1"/>
        </w:rPr>
        <w:t>other UK industries</w:t>
      </w:r>
      <w:r w:rsidR="006775FC" w:rsidRPr="00FF2B14">
        <w:rPr>
          <w:color w:val="683493" w:themeColor="accent1"/>
        </w:rPr>
        <w:t xml:space="preserve"> </w:t>
      </w:r>
      <w:r w:rsidR="006775FC" w:rsidRPr="00D13AF1">
        <w:t>take to regulating or otherwise overseeing the provision of remote services.</w:t>
      </w:r>
    </w:p>
    <w:p w14:paraId="02DE9A3B" w14:textId="79BD582E" w:rsidR="00466452" w:rsidRPr="00D13AF1" w:rsidRDefault="00466452" w:rsidP="00466452">
      <w:pPr>
        <w:pStyle w:val="Bulletlevel1"/>
      </w:pPr>
      <w:r w:rsidRPr="00D13AF1">
        <w:t xml:space="preserve">Chapter </w:t>
      </w:r>
      <w:r w:rsidRPr="00D13AF1">
        <w:fldChar w:fldCharType="begin"/>
      </w:r>
      <w:r w:rsidRPr="00D13AF1">
        <w:instrText xml:space="preserve"> REF _Ref499306977 \r \h </w:instrText>
      </w:r>
      <w:r w:rsidRPr="00D13AF1">
        <w:fldChar w:fldCharType="separate"/>
      </w:r>
      <w:r w:rsidR="00B51130">
        <w:t>7</w:t>
      </w:r>
      <w:r w:rsidRPr="00D13AF1">
        <w:fldChar w:fldCharType="end"/>
      </w:r>
      <w:r w:rsidR="006775FC" w:rsidRPr="00D13AF1">
        <w:t xml:space="preserve"> provides</w:t>
      </w:r>
      <w:r w:rsidR="008755B9" w:rsidRPr="00D13AF1">
        <w:t xml:space="preserve"> our</w:t>
      </w:r>
      <w:r w:rsidR="006775FC" w:rsidRPr="00D13AF1">
        <w:t xml:space="preserve"> </w:t>
      </w:r>
      <w:r w:rsidR="006775FC" w:rsidRPr="00FF2B14">
        <w:rPr>
          <w:rStyle w:val="EmphasisPinkChar"/>
          <w:color w:val="683493" w:themeColor="accent1"/>
        </w:rPr>
        <w:t>concluding remarks</w:t>
      </w:r>
      <w:r w:rsidR="006775FC" w:rsidRPr="00D13AF1">
        <w:t>.</w:t>
      </w:r>
    </w:p>
    <w:p w14:paraId="6CB1A4CC" w14:textId="68AEE920" w:rsidR="006775FC" w:rsidRPr="00D13AF1" w:rsidRDefault="006775FC" w:rsidP="006775FC">
      <w:pPr>
        <w:pStyle w:val="BodyEE"/>
      </w:pPr>
      <w:r w:rsidRPr="00D13AF1">
        <w:t xml:space="preserve">We also </w:t>
      </w:r>
      <w:r w:rsidR="006D7B0C" w:rsidRPr="00D13AF1">
        <w:t>include three</w:t>
      </w:r>
      <w:r w:rsidRPr="00D13AF1">
        <w:t xml:space="preserve"> </w:t>
      </w:r>
      <w:r w:rsidR="006D7B0C" w:rsidRPr="00D13AF1">
        <w:t>appendices which provide:</w:t>
      </w:r>
    </w:p>
    <w:p w14:paraId="613961D5" w14:textId="224263A1" w:rsidR="00466452" w:rsidRPr="00D13AF1" w:rsidRDefault="008E27EE" w:rsidP="00490B78">
      <w:pPr>
        <w:pStyle w:val="Bulletlevel1"/>
      </w:pPr>
      <w:r w:rsidRPr="00D13AF1">
        <w:t>t</w:t>
      </w:r>
      <w:r w:rsidR="006D7B0C" w:rsidRPr="00D13AF1">
        <w:t>he questionnaire used in the online survey (</w:t>
      </w:r>
      <w:r w:rsidR="00466452" w:rsidRPr="00D13AF1">
        <w:fldChar w:fldCharType="begin"/>
      </w:r>
      <w:r w:rsidR="00466452" w:rsidRPr="00D13AF1">
        <w:instrText xml:space="preserve"> REF  _Ref499307047 \h  \* MERGEFORMAT </w:instrText>
      </w:r>
      <w:r w:rsidR="00466452" w:rsidRPr="00D13AF1">
        <w:fldChar w:fldCharType="separate"/>
      </w:r>
      <w:r w:rsidR="00B51130" w:rsidRPr="00B51130">
        <w:t xml:space="preserve">Appendix 1 — online </w:t>
      </w:r>
      <w:r w:rsidR="00466452" w:rsidRPr="00D13AF1">
        <w:fldChar w:fldCharType="end"/>
      </w:r>
      <w:proofErr w:type="gramStart"/>
      <w:r w:rsidR="006D7B0C" w:rsidRPr="00D13AF1">
        <w:t>);</w:t>
      </w:r>
      <w:proofErr w:type="gramEnd"/>
    </w:p>
    <w:p w14:paraId="35C19C28" w14:textId="5CFE7410" w:rsidR="00466452" w:rsidRPr="00D13AF1" w:rsidRDefault="008E27EE" w:rsidP="00490B78">
      <w:pPr>
        <w:pStyle w:val="Bulletlevel1"/>
      </w:pPr>
      <w:r w:rsidRPr="00D13AF1">
        <w:t>a</w:t>
      </w:r>
      <w:r w:rsidR="006D7B0C" w:rsidRPr="00D13AF1">
        <w:t>l</w:t>
      </w:r>
      <w:r w:rsidRPr="00D13AF1">
        <w:t>l the information relevant for our analysis in the main body of the report (i.e. for the ‘core’ countries of interest), collected via desk research and via the online survey (</w:t>
      </w:r>
      <w:r w:rsidR="00466452" w:rsidRPr="00D13AF1">
        <w:fldChar w:fldCharType="begin"/>
      </w:r>
      <w:r w:rsidR="00466452" w:rsidRPr="00D13AF1">
        <w:instrText xml:space="preserve"> REF  _Ref499307048 \h  \* MERGEFORMAT </w:instrText>
      </w:r>
      <w:r w:rsidR="00466452" w:rsidRPr="00D13AF1">
        <w:fldChar w:fldCharType="separate"/>
      </w:r>
      <w:r w:rsidR="00B51130" w:rsidRPr="00B51130">
        <w:t>Appendix 2 — core countries</w:t>
      </w:r>
      <w:r w:rsidR="00466452" w:rsidRPr="00D13AF1">
        <w:fldChar w:fldCharType="end"/>
      </w:r>
      <w:proofErr w:type="gramStart"/>
      <w:r w:rsidRPr="00D13AF1">
        <w:t>);</w:t>
      </w:r>
      <w:proofErr w:type="gramEnd"/>
    </w:p>
    <w:p w14:paraId="725B9657" w14:textId="28B77CFB" w:rsidR="005C2B38" w:rsidRPr="00D13AF1" w:rsidRDefault="008E27EE" w:rsidP="00626D17">
      <w:pPr>
        <w:pStyle w:val="Bulletlevel1"/>
      </w:pPr>
      <w:r w:rsidRPr="00D13AF1">
        <w:t>all the information obtained for all other countries which participated in the survey but which we did not examine in detail, and thus not included in the main body of the report (</w:t>
      </w:r>
      <w:r w:rsidR="00466452" w:rsidRPr="00D13AF1">
        <w:fldChar w:fldCharType="begin"/>
      </w:r>
      <w:r w:rsidR="00466452" w:rsidRPr="00D13AF1">
        <w:instrText xml:space="preserve"> REF  _Ref499307054 \h  \* MERGEFORMAT </w:instrText>
      </w:r>
      <w:r w:rsidR="00466452" w:rsidRPr="00D13AF1">
        <w:fldChar w:fldCharType="separate"/>
      </w:r>
      <w:r w:rsidR="00B51130" w:rsidRPr="00B51130">
        <w:t>Appendix 3 — non-core countries</w:t>
      </w:r>
      <w:r w:rsidR="00466452" w:rsidRPr="00D13AF1">
        <w:fldChar w:fldCharType="end"/>
      </w:r>
      <w:r w:rsidRPr="00D13AF1">
        <w:t>).</w:t>
      </w:r>
      <w:bookmarkStart w:id="18" w:name="_Toc499025518"/>
    </w:p>
    <w:p w14:paraId="3EA371C7" w14:textId="77777777" w:rsidR="005C2B38" w:rsidRPr="00D13AF1" w:rsidRDefault="005C2B38" w:rsidP="005C2B38">
      <w:pPr>
        <w:pStyle w:val="Heading1"/>
        <w:ind w:left="709" w:hanging="714"/>
      </w:pPr>
      <w:bookmarkStart w:id="19" w:name="_Toc499211317"/>
      <w:bookmarkStart w:id="20" w:name="_Ref499306967"/>
      <w:bookmarkStart w:id="21" w:name="_Toc504484106"/>
      <w:bookmarkEnd w:id="18"/>
      <w:r w:rsidRPr="00D13AF1">
        <w:lastRenderedPageBreak/>
        <w:t>Regulatory Context</w:t>
      </w:r>
      <w:bookmarkEnd w:id="19"/>
      <w:bookmarkEnd w:id="20"/>
      <w:bookmarkEnd w:id="21"/>
    </w:p>
    <w:p w14:paraId="335BFEAB" w14:textId="6E5A54F5" w:rsidR="00000F93" w:rsidRPr="00D13AF1" w:rsidRDefault="00000F93" w:rsidP="00000F93">
      <w:pPr>
        <w:pStyle w:val="BodyEE"/>
      </w:pPr>
      <w:bookmarkStart w:id="22" w:name="_Toc499211318"/>
      <w:r w:rsidRPr="00D13AF1">
        <w:t xml:space="preserve">In this chapter, we present </w:t>
      </w:r>
      <w:r w:rsidR="006F003A">
        <w:t xml:space="preserve">the analytical dimensions </w:t>
      </w:r>
      <w:r w:rsidR="009C4009">
        <w:t>that informed our approach to this study — the</w:t>
      </w:r>
      <w:r w:rsidR="00E075D7">
        <w:t>se</w:t>
      </w:r>
      <w:r w:rsidR="009C4009">
        <w:t xml:space="preserve"> dimensions illustrate </w:t>
      </w:r>
      <w:r w:rsidRPr="00D13AF1">
        <w:t xml:space="preserve">how various factors could </w:t>
      </w:r>
      <w:r w:rsidRPr="00D13AF1">
        <w:rPr>
          <w:i/>
        </w:rPr>
        <w:t>in principle</w:t>
      </w:r>
      <w:r w:rsidRPr="00D13AF1">
        <w:t xml:space="preserve"> affect the regulation of telemedicine (section</w:t>
      </w:r>
      <w:r w:rsidR="008F50E7" w:rsidRPr="00D13AF1">
        <w:t xml:space="preserve"> </w:t>
      </w:r>
      <w:r w:rsidR="00ED302C">
        <w:fldChar w:fldCharType="begin"/>
      </w:r>
      <w:r w:rsidR="00ED302C">
        <w:instrText xml:space="preserve"> REF _Ref499556654 \r \h </w:instrText>
      </w:r>
      <w:r w:rsidR="00ED302C">
        <w:fldChar w:fldCharType="separate"/>
      </w:r>
      <w:r w:rsidR="00B51130">
        <w:t>2.1</w:t>
      </w:r>
      <w:r w:rsidR="00ED302C">
        <w:fldChar w:fldCharType="end"/>
      </w:r>
      <w:r w:rsidR="004C0685">
        <w:t>)</w:t>
      </w:r>
      <w:r w:rsidR="00B940FA" w:rsidRPr="00D13AF1">
        <w:t>.</w:t>
      </w:r>
      <w:r w:rsidR="00F06F16" w:rsidRPr="00D13AF1">
        <w:t xml:space="preserve"> </w:t>
      </w:r>
      <w:r w:rsidR="00B940FA" w:rsidRPr="00D13AF1">
        <w:t>W</w:t>
      </w:r>
      <w:r w:rsidR="00F06F16" w:rsidRPr="00D13AF1">
        <w:t>e explored whether these factors are indeed relevant for regulating telemedicine in our desk research and fieldwork</w:t>
      </w:r>
      <w:r w:rsidR="00B940FA" w:rsidRPr="00D13AF1">
        <w:t>, the results of which are presented in chapter</w:t>
      </w:r>
      <w:r w:rsidR="00085A6E" w:rsidRPr="00D13AF1">
        <w:t>s</w:t>
      </w:r>
      <w:r w:rsidR="00B940FA" w:rsidRPr="00D13AF1">
        <w:t xml:space="preserve"> </w:t>
      </w:r>
      <w:r w:rsidR="00B940FA" w:rsidRPr="00D13AF1">
        <w:fldChar w:fldCharType="begin"/>
      </w:r>
      <w:r w:rsidR="00B940FA" w:rsidRPr="00D13AF1">
        <w:instrText xml:space="preserve"> REF _Ref499310079 \r \h </w:instrText>
      </w:r>
      <w:r w:rsidR="00B940FA" w:rsidRPr="00D13AF1">
        <w:fldChar w:fldCharType="separate"/>
      </w:r>
      <w:r w:rsidR="00B51130">
        <w:t>3</w:t>
      </w:r>
      <w:r w:rsidR="00B940FA" w:rsidRPr="00D13AF1">
        <w:fldChar w:fldCharType="end"/>
      </w:r>
      <w:r w:rsidR="00B940FA" w:rsidRPr="00D13AF1">
        <w:t xml:space="preserve"> and </w:t>
      </w:r>
      <w:r w:rsidR="00B940FA" w:rsidRPr="00D13AF1">
        <w:fldChar w:fldCharType="begin"/>
      </w:r>
      <w:r w:rsidR="00B940FA" w:rsidRPr="00D13AF1">
        <w:instrText xml:space="preserve"> REF _Ref499310084 \r \h </w:instrText>
      </w:r>
      <w:r w:rsidR="00B940FA" w:rsidRPr="00D13AF1">
        <w:fldChar w:fldCharType="separate"/>
      </w:r>
      <w:r w:rsidR="00B51130">
        <w:t>4</w:t>
      </w:r>
      <w:r w:rsidR="00B940FA" w:rsidRPr="00D13AF1">
        <w:fldChar w:fldCharType="end"/>
      </w:r>
      <w:r w:rsidR="00F06F16" w:rsidRPr="00D13AF1">
        <w:t xml:space="preserve">. </w:t>
      </w:r>
      <w:proofErr w:type="gramStart"/>
      <w:r w:rsidR="008F50E7" w:rsidRPr="00D13AF1">
        <w:t>In light of</w:t>
      </w:r>
      <w:proofErr w:type="gramEnd"/>
      <w:r w:rsidR="008F50E7" w:rsidRPr="00D13AF1">
        <w:t xml:space="preserve"> the </w:t>
      </w:r>
      <w:r w:rsidR="009C4009">
        <w:t>a</w:t>
      </w:r>
      <w:r w:rsidR="00F10DB3">
        <w:t>nalytical dimensions presented here</w:t>
      </w:r>
      <w:r w:rsidR="008F50E7" w:rsidRPr="00D13AF1">
        <w:t xml:space="preserve">, </w:t>
      </w:r>
      <w:r w:rsidRPr="00D13AF1">
        <w:t xml:space="preserve">we provide a brief overview of the characteristics of the core countries </w:t>
      </w:r>
      <w:r w:rsidR="008F50E7" w:rsidRPr="00D13AF1">
        <w:t xml:space="preserve">our analysis focuses on (section </w:t>
      </w:r>
      <w:r w:rsidR="008F50E7" w:rsidRPr="00D13AF1">
        <w:fldChar w:fldCharType="begin"/>
      </w:r>
      <w:r w:rsidR="008F50E7" w:rsidRPr="00D13AF1">
        <w:instrText xml:space="preserve"> REF _Ref499292224 \r \h </w:instrText>
      </w:r>
      <w:r w:rsidR="008F50E7" w:rsidRPr="00D13AF1">
        <w:fldChar w:fldCharType="separate"/>
      </w:r>
      <w:r w:rsidR="00B51130">
        <w:t>2.2</w:t>
      </w:r>
      <w:r w:rsidR="008F50E7" w:rsidRPr="00D13AF1">
        <w:fldChar w:fldCharType="end"/>
      </w:r>
      <w:r w:rsidR="008F50E7" w:rsidRPr="00D13AF1">
        <w:t>).</w:t>
      </w:r>
      <w:r w:rsidRPr="00D13AF1">
        <w:t xml:space="preserve"> Finally, in section </w:t>
      </w:r>
      <w:r w:rsidRPr="00D13AF1">
        <w:fldChar w:fldCharType="begin"/>
      </w:r>
      <w:r w:rsidRPr="00D13AF1">
        <w:instrText xml:space="preserve"> REF _Ref499292327 \r \h </w:instrText>
      </w:r>
      <w:r w:rsidRPr="00D13AF1">
        <w:fldChar w:fldCharType="separate"/>
      </w:r>
      <w:r w:rsidR="00B51130">
        <w:t>2.3</w:t>
      </w:r>
      <w:r w:rsidRPr="00D13AF1">
        <w:fldChar w:fldCharType="end"/>
      </w:r>
      <w:r w:rsidR="00085A6E" w:rsidRPr="00D13AF1">
        <w:t>,</w:t>
      </w:r>
      <w:r w:rsidR="00AC2872" w:rsidRPr="00D13AF1">
        <w:t xml:space="preserve"> we briefly discuss the views of UK organisations and regulators </w:t>
      </w:r>
      <w:r w:rsidR="008F50E7" w:rsidRPr="00D13AF1">
        <w:t>on regulating</w:t>
      </w:r>
      <w:r w:rsidR="00AC2872" w:rsidRPr="00D13AF1">
        <w:t xml:space="preserve"> telemedicine</w:t>
      </w:r>
      <w:r w:rsidRPr="00D13AF1">
        <w:t xml:space="preserve">. </w:t>
      </w:r>
    </w:p>
    <w:p w14:paraId="1F50C7F8" w14:textId="229194A8" w:rsidR="005C2B38" w:rsidRPr="003F01D3" w:rsidRDefault="00D66D23" w:rsidP="003F01D3">
      <w:pPr>
        <w:pStyle w:val="Heading2Pink"/>
        <w:rPr>
          <w:color w:val="683493" w:themeColor="accent1"/>
        </w:rPr>
      </w:pPr>
      <w:bookmarkStart w:id="23" w:name="_Ref499556653"/>
      <w:bookmarkStart w:id="24" w:name="_Ref499556654"/>
      <w:bookmarkStart w:id="25" w:name="_Toc504484107"/>
      <w:bookmarkEnd w:id="22"/>
      <w:r w:rsidRPr="003F01D3">
        <w:rPr>
          <w:color w:val="683493" w:themeColor="accent1"/>
        </w:rPr>
        <w:t xml:space="preserve">Analytical dimensions informing our approach to </w:t>
      </w:r>
      <w:r w:rsidR="00FA60A9">
        <w:rPr>
          <w:color w:val="683493" w:themeColor="accent1"/>
        </w:rPr>
        <w:t xml:space="preserve">the </w:t>
      </w:r>
      <w:r w:rsidR="004C2320" w:rsidRPr="003F01D3">
        <w:rPr>
          <w:color w:val="683493" w:themeColor="accent1"/>
        </w:rPr>
        <w:t>research</w:t>
      </w:r>
      <w:bookmarkEnd w:id="23"/>
      <w:bookmarkEnd w:id="24"/>
      <w:bookmarkEnd w:id="25"/>
    </w:p>
    <w:p w14:paraId="7914456A" w14:textId="501216E8" w:rsidR="005C2B38" w:rsidRPr="00D13AF1" w:rsidRDefault="005C2B38" w:rsidP="005C2B38">
      <w:pPr>
        <w:pStyle w:val="BodyEE"/>
      </w:pPr>
      <w:r w:rsidRPr="00D13AF1">
        <w:t xml:space="preserve">In order to </w:t>
      </w:r>
      <w:r w:rsidR="0084500C" w:rsidRPr="00D13AF1">
        <w:t xml:space="preserve">better </w:t>
      </w:r>
      <w:r w:rsidRPr="00D13AF1">
        <w:t xml:space="preserve">understand and interpret </w:t>
      </w:r>
      <w:r w:rsidR="00085A6E" w:rsidRPr="00D13AF1">
        <w:t xml:space="preserve">the </w:t>
      </w:r>
      <w:r w:rsidRPr="00D13AF1">
        <w:t xml:space="preserve">various requirements and standards, it is useful to </w:t>
      </w:r>
      <w:r w:rsidR="00085A6E" w:rsidRPr="00D13AF1">
        <w:t xml:space="preserve">first </w:t>
      </w:r>
      <w:r w:rsidRPr="00D13AF1">
        <w:t xml:space="preserve">understand the general types of telemedicine regulation and how different regulatory frameworks might affect the types of regulation. In particular, the policies are likely to differ depending on </w:t>
      </w:r>
      <w:r w:rsidR="00BE4C18" w:rsidRPr="00D13AF1">
        <w:t>regulatory environment (regulatory frameworks, key functions of various regulators, and the mandate those regulators have to develop policies or standards), as well as the characteristics of the healthcare system and broader geographic context.</w:t>
      </w:r>
    </w:p>
    <w:p w14:paraId="19B7E8EC" w14:textId="77777777" w:rsidR="005C2B38" w:rsidRPr="00D13AF1" w:rsidRDefault="005C2B38" w:rsidP="005C2B38">
      <w:pPr>
        <w:pStyle w:val="Heading3"/>
      </w:pPr>
      <w:r w:rsidRPr="00D13AF1">
        <w:t>Regulatory framework</w:t>
      </w:r>
    </w:p>
    <w:p w14:paraId="3F6F717D" w14:textId="4C32BE3E" w:rsidR="005C2B38" w:rsidRPr="00D13AF1" w:rsidRDefault="005C2B38" w:rsidP="005C2B38">
      <w:pPr>
        <w:pStyle w:val="BodyEE"/>
      </w:pPr>
      <w:r w:rsidRPr="00D13AF1">
        <w:t xml:space="preserve">The approach to regulating individual doctors (and other professionals within our research) in the context of telemedicine is likely to vary depending on whether the regulator oversees just the individual professionals, or the performance of the healthcare system as a whole (or some part of it). In the former instance, the regulator might have more detailed requirements for training, qualification and codes of conduct. In the latter case, the regulator might be interested in the requirements for doctors more in light of how they contribute to the healthcare system as a whole, for example by setting requirements at a higher level in order to cover a wider range of individuals from different professions (such as how doctors and nurses should interact in relation to telemedicine). Professional bodies might have as </w:t>
      </w:r>
      <w:r w:rsidR="00460908" w:rsidRPr="00D13AF1">
        <w:t>a</w:t>
      </w:r>
      <w:r w:rsidRPr="00D13AF1">
        <w:t xml:space="preserve"> primary focus the development of innovative medical care and as such </w:t>
      </w:r>
      <w:r w:rsidR="00460908" w:rsidRPr="00D13AF1">
        <w:t>develop</w:t>
      </w:r>
      <w:r w:rsidRPr="00D13AF1">
        <w:t xml:space="preserve"> recommendations and standards that seek to promote the use and development of telemedicine. </w:t>
      </w:r>
      <w:r w:rsidR="00460908" w:rsidRPr="00D13AF1">
        <w:t>T</w:t>
      </w:r>
      <w:r w:rsidRPr="00D13AF1">
        <w:t>he context of the regulator/standards-setter will be important in understanding the rationale for their regulatory requirements and the extent to which these might be relevant to the GMC.</w:t>
      </w:r>
    </w:p>
    <w:p w14:paraId="31619463" w14:textId="77777777" w:rsidR="005C2B38" w:rsidRPr="00D13AF1" w:rsidRDefault="005C2B38" w:rsidP="005C2B38">
      <w:pPr>
        <w:pStyle w:val="Heading3"/>
      </w:pPr>
      <w:r w:rsidRPr="00D13AF1">
        <w:t>Regulators’ key functions</w:t>
      </w:r>
    </w:p>
    <w:p w14:paraId="07867ADA" w14:textId="51B93C0B" w:rsidR="005C2B38" w:rsidRPr="00D13AF1" w:rsidRDefault="005C2B38" w:rsidP="005C2B38">
      <w:pPr>
        <w:pStyle w:val="BodyEE"/>
      </w:pPr>
      <w:r w:rsidRPr="00D13AF1">
        <w:t>Regulators may differ in the specific requirements for health professionals that practi</w:t>
      </w:r>
      <w:r w:rsidR="00184C96">
        <w:t>s</w:t>
      </w:r>
      <w:r w:rsidRPr="00D13AF1">
        <w:t xml:space="preserve">e telemedicine (or other forms of ICT in other industries) depending on their key functions. For example, professional regulators could be expected to have requirements and procedures spanning functions such as education and training, standards, setting the scope of practice, and fitness to practise. Systems regulators might have a different focus, e.g. those relating to care pathways, or interactions with other (healthcare) professionals. </w:t>
      </w:r>
    </w:p>
    <w:p w14:paraId="4D23AB5A" w14:textId="77777777" w:rsidR="005C2B38" w:rsidRPr="00D13AF1" w:rsidRDefault="005C2B38" w:rsidP="005C2B38">
      <w:pPr>
        <w:pStyle w:val="Heading3"/>
      </w:pPr>
      <w:r w:rsidRPr="00D13AF1">
        <w:t>Legal status of regulation</w:t>
      </w:r>
    </w:p>
    <w:p w14:paraId="6C717156" w14:textId="26F1DAB5" w:rsidR="005C2B38" w:rsidRPr="00D13AF1" w:rsidRDefault="005C2B38" w:rsidP="005C2B38">
      <w:pPr>
        <w:pStyle w:val="BodyEE"/>
      </w:pPr>
      <w:r w:rsidRPr="00D13AF1">
        <w:t xml:space="preserve">Depending on the regulator’s key functions, but also the wider regulatory context, different pieces of telemedicine policies, standards, requirements or statements might have varying degrees to which they are </w:t>
      </w:r>
      <w:r w:rsidRPr="00D13AF1">
        <w:lastRenderedPageBreak/>
        <w:t xml:space="preserve">binding for healthcare practitioners. For example, there could be requirements which are encoded in the legislation, while others could be in the form of recommendations or non-binding standards. Moreover, different types of requirements are likely to be characterised by different degrees of enforceability — more qualitative aspects of telemedicine regulation (e.g. relating to the quality of care) could be harder to monitor and/or enforce than, for example, </w:t>
      </w:r>
      <w:r w:rsidR="00FB07F5">
        <w:t xml:space="preserve">the </w:t>
      </w:r>
      <w:r w:rsidRPr="00D13AF1">
        <w:t>requirements</w:t>
      </w:r>
      <w:r w:rsidR="00FB07F5">
        <w:t xml:space="preserve"> that need to be satisfied in order to become registered</w:t>
      </w:r>
      <w:r w:rsidR="00D24915">
        <w:t xml:space="preserve"> (such as having a relevant qualification)</w:t>
      </w:r>
      <w:r w:rsidRPr="00D13AF1">
        <w:t>.</w:t>
      </w:r>
    </w:p>
    <w:p w14:paraId="5715E1AF" w14:textId="77777777" w:rsidR="005C2B38" w:rsidRPr="00D13AF1" w:rsidRDefault="005C2B38" w:rsidP="005C2B38">
      <w:pPr>
        <w:pStyle w:val="Heading3"/>
      </w:pPr>
      <w:r w:rsidRPr="00D13AF1">
        <w:t>Healthcare system: public or private</w:t>
      </w:r>
    </w:p>
    <w:p w14:paraId="7D7FD0B6" w14:textId="4301295E" w:rsidR="005C2B38" w:rsidRPr="00D13AF1" w:rsidRDefault="005C2B38" w:rsidP="005C2B38">
      <w:pPr>
        <w:pStyle w:val="BodyEE"/>
      </w:pPr>
      <w:r w:rsidRPr="00D13AF1">
        <w:t>The characteristics of a healthcare system as a whole could influence the evolution and applications of telemedicine. In particular, a more dynamic and fragmented healthcare system could create different risks than a centralised one, and therefore might require a different approach to regulating telemedicine.</w:t>
      </w:r>
      <w:r w:rsidR="00D00858">
        <w:rPr>
          <w:rStyle w:val="FootnoteReference"/>
        </w:rPr>
        <w:footnoteReference w:id="24"/>
      </w:r>
      <w:r w:rsidRPr="00D13AF1">
        <w:t xml:space="preserve"> Likewise, there could be differences in how telemedicine is used in practice and what kind of regulatory tools are available to the relevant authorities in jurisdictions where healthcare is public compared to where it is private.</w:t>
      </w:r>
    </w:p>
    <w:p w14:paraId="2B76C3AA" w14:textId="77777777" w:rsidR="005C2B38" w:rsidRPr="00D13AF1" w:rsidRDefault="005C2B38" w:rsidP="005C2B38">
      <w:pPr>
        <w:pStyle w:val="Heading3"/>
      </w:pPr>
      <w:r w:rsidRPr="00D13AF1">
        <w:t>Geographic context</w:t>
      </w:r>
    </w:p>
    <w:p w14:paraId="063D19D1" w14:textId="77777777" w:rsidR="005C2B38" w:rsidRPr="00D13AF1" w:rsidRDefault="005C2B38" w:rsidP="005C2B38">
      <w:pPr>
        <w:pStyle w:val="BodyEE"/>
      </w:pPr>
      <w:r w:rsidRPr="00D13AF1">
        <w:t xml:space="preserve">Finally, telemedicine and the associated requirements could be to some extent driven by a jurisdiction’s size, population density, neighbouring jurisdictions etc. For example, large and sparsely populated jurisdictions might be less concerned with telemedicine being provided across borders but focus more on increasing access to medical services or on reducing the costs of healthcare within the country. </w:t>
      </w:r>
    </w:p>
    <w:p w14:paraId="71141E38" w14:textId="77777777" w:rsidR="005C2B38" w:rsidRPr="003F01D3" w:rsidRDefault="005C2B38" w:rsidP="003F01D3">
      <w:pPr>
        <w:pStyle w:val="Heading2Pink"/>
        <w:rPr>
          <w:color w:val="683493" w:themeColor="accent1"/>
        </w:rPr>
      </w:pPr>
      <w:bookmarkStart w:id="26" w:name="_Toc499211320"/>
      <w:bookmarkStart w:id="27" w:name="_Ref499292224"/>
      <w:bookmarkStart w:id="28" w:name="_Ref499295774"/>
      <w:bookmarkStart w:id="29" w:name="_Ref499307380"/>
      <w:bookmarkStart w:id="30" w:name="_Ref499538008"/>
      <w:bookmarkStart w:id="31" w:name="_Toc504484108"/>
      <w:r w:rsidRPr="003F01D3">
        <w:rPr>
          <w:color w:val="683493" w:themeColor="accent1"/>
        </w:rPr>
        <w:t>Overview of regulatory frameworks in countries examined in this study</w:t>
      </w:r>
      <w:bookmarkEnd w:id="26"/>
      <w:bookmarkEnd w:id="27"/>
      <w:bookmarkEnd w:id="28"/>
      <w:bookmarkEnd w:id="29"/>
      <w:bookmarkEnd w:id="30"/>
      <w:bookmarkEnd w:id="31"/>
    </w:p>
    <w:p w14:paraId="0342DFA0" w14:textId="1B5F50AC" w:rsidR="0048657C" w:rsidRPr="00D13AF1" w:rsidRDefault="0048657C" w:rsidP="0048657C">
      <w:pPr>
        <w:pStyle w:val="BodyEE"/>
      </w:pPr>
      <w:r w:rsidRPr="00D13AF1">
        <w:t xml:space="preserve">This section provides an overview of how the regulatory </w:t>
      </w:r>
      <w:r w:rsidR="006A04CD" w:rsidRPr="00D13AF1">
        <w:t>environments</w:t>
      </w:r>
      <w:r w:rsidRPr="00D13AF1">
        <w:t xml:space="preserve"> in the core countries relate to the </w:t>
      </w:r>
      <w:r w:rsidR="004C2320">
        <w:t>dimensions</w:t>
      </w:r>
      <w:r w:rsidRPr="00D13AF1">
        <w:t xml:space="preserve"> described in the previous section. As elsewhere in the report, we focus on the telemedicine-related requirements for individual healthcare practitioners adopted by relevant professional bodies or regulators. More specifically, for each country we summarise:</w:t>
      </w:r>
    </w:p>
    <w:p w14:paraId="3789C0B6" w14:textId="77777777" w:rsidR="0048657C" w:rsidRPr="00D13AF1" w:rsidRDefault="0048657C" w:rsidP="0048657C">
      <w:pPr>
        <w:pStyle w:val="Bulletlevel1"/>
        <w:ind w:left="284" w:hanging="284"/>
      </w:pPr>
      <w:r w:rsidRPr="00D13AF1">
        <w:t>whether the healthcare system is predominantly public or private;</w:t>
      </w:r>
    </w:p>
    <w:p w14:paraId="3AB2D9D1" w14:textId="77777777" w:rsidR="0048657C" w:rsidRPr="00D13AF1" w:rsidRDefault="0048657C" w:rsidP="0048657C">
      <w:pPr>
        <w:pStyle w:val="Bulletlevel1"/>
        <w:ind w:left="284" w:hanging="284"/>
      </w:pPr>
      <w:r w:rsidRPr="00D13AF1">
        <w:t>which institutions can regulate individual healthcare practitioners;</w:t>
      </w:r>
    </w:p>
    <w:p w14:paraId="7A5AED48" w14:textId="77777777" w:rsidR="0048657C" w:rsidRPr="00D13AF1" w:rsidRDefault="0048657C" w:rsidP="0048657C">
      <w:pPr>
        <w:pStyle w:val="Bulletlevel1"/>
        <w:ind w:left="284" w:hanging="284"/>
      </w:pPr>
      <w:r w:rsidRPr="00D13AF1">
        <w:t>interactions between organisations regulating different areas of healthcare system, different regions within a country or otherwise involved in developing telemedicine policies;</w:t>
      </w:r>
      <w:r w:rsidRPr="00D13AF1" w:rsidDel="00E71729">
        <w:t xml:space="preserve"> </w:t>
      </w:r>
    </w:p>
    <w:p w14:paraId="0D4DD281" w14:textId="258B7857" w:rsidR="0048657C" w:rsidRPr="00D13AF1" w:rsidRDefault="0048657C" w:rsidP="0048657C">
      <w:pPr>
        <w:pStyle w:val="Bulletlevel1"/>
        <w:ind w:left="284" w:hanging="284"/>
      </w:pPr>
      <w:r w:rsidRPr="00D13AF1">
        <w:t>what telemedicine regulation and/or policy exists for individual healthcare practitioners;</w:t>
      </w:r>
      <w:r w:rsidR="00801952" w:rsidRPr="00D13AF1">
        <w:t xml:space="preserve"> and</w:t>
      </w:r>
    </w:p>
    <w:p w14:paraId="4C8E1EDD" w14:textId="01FC3899" w:rsidR="0048657C" w:rsidRPr="00D13AF1" w:rsidRDefault="0048657C" w:rsidP="0048657C">
      <w:pPr>
        <w:pStyle w:val="Bulletlevel1"/>
        <w:ind w:left="284" w:hanging="284"/>
      </w:pPr>
      <w:r w:rsidRPr="00D13AF1">
        <w:t>how binding the telemedicine regulation is.</w:t>
      </w:r>
    </w:p>
    <w:p w14:paraId="2C8ECCD0" w14:textId="7D540FCA" w:rsidR="00126952" w:rsidRPr="00D13AF1" w:rsidRDefault="00126952" w:rsidP="00A22289">
      <w:pPr>
        <w:pStyle w:val="Heading3"/>
      </w:pPr>
      <w:r w:rsidRPr="00D13AF1">
        <w:t>Europe</w:t>
      </w:r>
    </w:p>
    <w:p w14:paraId="5295051F" w14:textId="77777777" w:rsidR="006D5E80" w:rsidRPr="00D13AF1" w:rsidRDefault="006D5E80" w:rsidP="006D5E80">
      <w:pPr>
        <w:pStyle w:val="EmphasisPurple"/>
        <w:keepNext/>
      </w:pPr>
      <w:r w:rsidRPr="00D13AF1">
        <w:t>Denmark</w:t>
      </w:r>
    </w:p>
    <w:p w14:paraId="39F25D4A" w14:textId="2153E7BD" w:rsidR="006D5E80" w:rsidRPr="00D13AF1" w:rsidRDefault="00B76285" w:rsidP="006D5E80">
      <w:pPr>
        <w:pStyle w:val="BodyEE"/>
      </w:pPr>
      <w:r>
        <w:t>T</w:t>
      </w:r>
      <w:r w:rsidR="006D5E80" w:rsidRPr="00D13AF1">
        <w:t xml:space="preserve">he Danish healthcare system is financed </w:t>
      </w:r>
      <w:r>
        <w:t xml:space="preserve">largely </w:t>
      </w:r>
      <w:r w:rsidR="006D5E80" w:rsidRPr="00D13AF1">
        <w:t xml:space="preserve">with public funds. The Ministry of Health and the Danish Health Authority are responsible for the overall regulation of the healthcare system and healthcare providers. The National Board of eHealth (the agency under the Ministry of Health) oversees the </w:t>
      </w:r>
      <w:r w:rsidR="006D5E80" w:rsidRPr="00D13AF1">
        <w:rPr>
          <w:lang w:eastAsia="en-GB"/>
        </w:rPr>
        <w:t>healthcare IT strategy (standards for health registers and systems, electronic medical records, etc.).</w:t>
      </w:r>
    </w:p>
    <w:p w14:paraId="21F1B05C" w14:textId="2EC5DFC8" w:rsidR="006D5E80" w:rsidRPr="00D13AF1" w:rsidRDefault="006D5E80" w:rsidP="006D5E80">
      <w:pPr>
        <w:pStyle w:val="BodyEE"/>
      </w:pPr>
      <w:r w:rsidRPr="00D13AF1">
        <w:t xml:space="preserve">The </w:t>
      </w:r>
      <w:r w:rsidRPr="00D13AF1">
        <w:rPr>
          <w:rStyle w:val="EmphasisPurpleChar"/>
        </w:rPr>
        <w:t xml:space="preserve">Danish Patient Safety </w:t>
      </w:r>
      <w:r w:rsidRPr="00FF15E4">
        <w:rPr>
          <w:rStyle w:val="EmphasisPurpleChar"/>
        </w:rPr>
        <w:t>Authority</w:t>
      </w:r>
      <w:r w:rsidRPr="00EA2DDB">
        <w:t xml:space="preserve"> </w:t>
      </w:r>
      <w:r w:rsidR="00EA2DDB" w:rsidRPr="00EA2DDB">
        <w:t>(</w:t>
      </w:r>
      <w:proofErr w:type="spellStart"/>
      <w:r w:rsidR="00EA2DDB" w:rsidRPr="00EA2DDB">
        <w:t>Styrelsen</w:t>
      </w:r>
      <w:proofErr w:type="spellEnd"/>
      <w:r w:rsidR="00EA2DDB" w:rsidRPr="00EA2DDB">
        <w:t xml:space="preserve"> for </w:t>
      </w:r>
      <w:proofErr w:type="spellStart"/>
      <w:r w:rsidR="00EA2DDB" w:rsidRPr="00EA2DDB">
        <w:t>Patientsikkerhed</w:t>
      </w:r>
      <w:proofErr w:type="spellEnd"/>
      <w:r w:rsidR="00EA2DDB">
        <w:t>, STPS</w:t>
      </w:r>
      <w:r w:rsidR="00EA2DDB" w:rsidRPr="00FF15E4">
        <w:t xml:space="preserve">) </w:t>
      </w:r>
      <w:r w:rsidRPr="00D13AF1">
        <w:t xml:space="preserve">regulates individual health professionals, including doctors and health organisations. It issues specialist registrations in 16 different </w:t>
      </w:r>
      <w:r w:rsidRPr="00D13AF1">
        <w:lastRenderedPageBreak/>
        <w:t>healthcare professions and permissions to practi</w:t>
      </w:r>
      <w:r w:rsidR="00184C96">
        <w:t>s</w:t>
      </w:r>
      <w:r w:rsidRPr="00D13AF1">
        <w:t xml:space="preserve">e independently for certain professionals. The </w:t>
      </w:r>
      <w:r w:rsidR="00EA2DDB">
        <w:t>STPS</w:t>
      </w:r>
      <w:r w:rsidR="00EA2DDB" w:rsidRPr="00D13AF1" w:rsidDel="00EA2DDB">
        <w:t xml:space="preserve"> </w:t>
      </w:r>
      <w:r w:rsidRPr="00D13AF1">
        <w:t>also handles complaints about patients</w:t>
      </w:r>
      <w:r w:rsidR="00184C96">
        <w:t>’</w:t>
      </w:r>
      <w:r w:rsidRPr="00D13AF1">
        <w:t xml:space="preserve"> rights and treatment.</w:t>
      </w:r>
    </w:p>
    <w:p w14:paraId="5007700B" w14:textId="7826C3E2" w:rsidR="006D5E80" w:rsidRPr="00D13AF1" w:rsidRDefault="006D5E80" w:rsidP="006D5E80">
      <w:pPr>
        <w:pStyle w:val="BodyEE"/>
      </w:pPr>
      <w:r w:rsidRPr="00D13AF1">
        <w:t>The “Guidance on responsibilities for doctors who use telemedicine” were adopted in 2005 as a legally binding document for doctors who practi</w:t>
      </w:r>
      <w:r w:rsidR="00184C96">
        <w:t>s</w:t>
      </w:r>
      <w:r w:rsidRPr="00D13AF1">
        <w:t>e telemedicine.</w:t>
      </w:r>
      <w:r w:rsidRPr="00D13AF1">
        <w:rPr>
          <w:rStyle w:val="FootnoteReference"/>
        </w:rPr>
        <w:footnoteReference w:id="25"/>
      </w:r>
    </w:p>
    <w:p w14:paraId="48623FCB" w14:textId="77777777" w:rsidR="006D5E80" w:rsidRPr="00D13AF1" w:rsidRDefault="006D5E80" w:rsidP="006D5E80">
      <w:pPr>
        <w:pStyle w:val="EmphasisPurple"/>
        <w:keepNext/>
      </w:pPr>
      <w:r w:rsidRPr="00D13AF1">
        <w:t>France</w:t>
      </w:r>
    </w:p>
    <w:p w14:paraId="7C363ADD" w14:textId="77777777" w:rsidR="006D5E80" w:rsidRPr="00D13AF1" w:rsidRDefault="006D5E80" w:rsidP="006D5E80">
      <w:pPr>
        <w:pStyle w:val="BodyEE"/>
      </w:pPr>
      <w:r w:rsidRPr="00D13AF1">
        <w:t xml:space="preserve">The National Authority for Health (Haute </w:t>
      </w:r>
      <w:proofErr w:type="spellStart"/>
      <w:r w:rsidRPr="00D13AF1">
        <w:t>Autorité</w:t>
      </w:r>
      <w:proofErr w:type="spellEnd"/>
      <w:r w:rsidRPr="00D13AF1">
        <w:t xml:space="preserve"> de Santé, HAS) and the National Council of Public Healthcare (Haut Conseil de la Santé </w:t>
      </w:r>
      <w:proofErr w:type="spellStart"/>
      <w:r w:rsidRPr="00D13AF1">
        <w:t>Publique</w:t>
      </w:r>
      <w:proofErr w:type="spellEnd"/>
      <w:r w:rsidRPr="00D13AF1">
        <w:t xml:space="preserve">, HCSP) oversee the regulation of healthcare systems and development of healthcare policy. </w:t>
      </w:r>
    </w:p>
    <w:p w14:paraId="477D349C" w14:textId="07EF8191" w:rsidR="006D5E80" w:rsidRPr="00D13AF1" w:rsidRDefault="006D5E80" w:rsidP="006D5E80">
      <w:pPr>
        <w:pStyle w:val="BodyEE"/>
      </w:pPr>
      <w:r w:rsidRPr="00D13AF1">
        <w:t xml:space="preserve">France was one of the first countries in the EU to vote in a specific legal framework for telemedicine in 2009, with </w:t>
      </w:r>
      <w:r w:rsidR="00460908" w:rsidRPr="00D13AF1">
        <w:t xml:space="preserve">the </w:t>
      </w:r>
      <w:r w:rsidRPr="00D13AF1">
        <w:t xml:space="preserve">implementation of Article 78 of Law 2009-879 and a decree a year later. </w:t>
      </w:r>
      <w:r w:rsidR="005A0810">
        <w:t>F</w:t>
      </w:r>
      <w:r w:rsidRPr="00D13AF1">
        <w:t xml:space="preserve">rom a legal point of view, telemedicine </w:t>
      </w:r>
      <w:r w:rsidR="005A0810">
        <w:t xml:space="preserve">is considered </w:t>
      </w:r>
      <w:r w:rsidRPr="00D13AF1">
        <w:t xml:space="preserve">as </w:t>
      </w:r>
      <w:r w:rsidR="005A0810">
        <w:t>another type of</w:t>
      </w:r>
      <w:r w:rsidRPr="00D13AF1">
        <w:t xml:space="preserve"> medical </w:t>
      </w:r>
      <w:r w:rsidR="00543D78">
        <w:t>procedure</w:t>
      </w:r>
      <w:r w:rsidR="00543D78" w:rsidRPr="00D13AF1">
        <w:t xml:space="preserve"> </w:t>
      </w:r>
      <w:r w:rsidRPr="00D13AF1">
        <w:t xml:space="preserve">(which adds to and does not replace </w:t>
      </w:r>
      <w:r w:rsidR="00543D78">
        <w:t>existing</w:t>
      </w:r>
      <w:r w:rsidR="00543D78" w:rsidRPr="00D13AF1">
        <w:t xml:space="preserve"> </w:t>
      </w:r>
      <w:r w:rsidRPr="00D13AF1">
        <w:t xml:space="preserve">medical </w:t>
      </w:r>
      <w:r w:rsidR="00543D78">
        <w:t>procedures</w:t>
      </w:r>
      <w:r w:rsidRPr="00D13AF1">
        <w:t>).</w:t>
      </w:r>
    </w:p>
    <w:p w14:paraId="2958161F" w14:textId="407CCCF4" w:rsidR="006D5E80" w:rsidRPr="00D13AF1" w:rsidRDefault="006D5E80" w:rsidP="006D5E80">
      <w:pPr>
        <w:pStyle w:val="BodyEE"/>
      </w:pPr>
      <w:r w:rsidRPr="00D13AF1">
        <w:t xml:space="preserve">The </w:t>
      </w:r>
      <w:r w:rsidRPr="00D13AF1">
        <w:rPr>
          <w:rStyle w:val="EmphasisPurpleChar"/>
        </w:rPr>
        <w:t>National Order of Doctors</w:t>
      </w:r>
      <w:r w:rsidRPr="00D13AF1">
        <w:t xml:space="preserve"> (</w:t>
      </w:r>
      <w:proofErr w:type="spellStart"/>
      <w:r w:rsidRPr="00D13AF1">
        <w:t>l’Ordre</w:t>
      </w:r>
      <w:proofErr w:type="spellEnd"/>
      <w:r w:rsidRPr="00D13AF1">
        <w:t xml:space="preserve"> National des Médecins, ONM) is responsible for regulating individual doctors, including licen</w:t>
      </w:r>
      <w:r w:rsidR="00184C96">
        <w:t>s</w:t>
      </w:r>
      <w:r w:rsidRPr="00D13AF1">
        <w:t xml:space="preserve">ing and codes of conduct. The ONM published its telemedicine statement in 2009 (i.e. around the time the relevant telemedicine legislation was adopted). The statement summarises, among other things, </w:t>
      </w:r>
      <w:r w:rsidR="00460908" w:rsidRPr="00D13AF1">
        <w:t xml:space="preserve">the </w:t>
      </w:r>
      <w:r w:rsidRPr="00D13AF1">
        <w:t xml:space="preserve">responsibilities of the doctor </w:t>
      </w:r>
      <w:r w:rsidR="000265B6">
        <w:t>who</w:t>
      </w:r>
      <w:r w:rsidRPr="00D13AF1">
        <w:t xml:space="preserve"> decides to practi</w:t>
      </w:r>
      <w:r w:rsidR="00184C96">
        <w:t>s</w:t>
      </w:r>
      <w:r w:rsidRPr="00D13AF1">
        <w:t xml:space="preserve">e telemedicine. The statement could be treated as a </w:t>
      </w:r>
      <w:r w:rsidR="00460908" w:rsidRPr="00D13AF1">
        <w:t xml:space="preserve">complementary </w:t>
      </w:r>
      <w:r w:rsidRPr="00D13AF1">
        <w:t>clarification to the bi</w:t>
      </w:r>
      <w:r w:rsidR="00460908" w:rsidRPr="00D13AF1">
        <w:t>n</w:t>
      </w:r>
      <w:r w:rsidRPr="00D13AF1">
        <w:t xml:space="preserve">ding legislation. For the present study, we used the legislation as the </w:t>
      </w:r>
      <w:r w:rsidR="009F42E9" w:rsidRPr="00D13AF1">
        <w:t xml:space="preserve">only </w:t>
      </w:r>
      <w:r w:rsidRPr="00D13AF1">
        <w:t>source of telemedicine regulation in France.</w:t>
      </w:r>
    </w:p>
    <w:p w14:paraId="335567BF" w14:textId="77777777" w:rsidR="006D5E80" w:rsidRPr="00D13AF1" w:rsidRDefault="006D5E80" w:rsidP="006D5E80">
      <w:pPr>
        <w:pStyle w:val="EmphasisPurple"/>
        <w:keepNext/>
      </w:pPr>
      <w:r w:rsidRPr="00D13AF1">
        <w:t>Portugal</w:t>
      </w:r>
    </w:p>
    <w:p w14:paraId="6E79E4F9" w14:textId="58FE06D5" w:rsidR="006D5E80" w:rsidRPr="00D13AF1" w:rsidRDefault="006D5E80" w:rsidP="006D5E80">
      <w:pPr>
        <w:pStyle w:val="BodyEE"/>
      </w:pPr>
      <w:r w:rsidRPr="00D13AF1">
        <w:t>The Ministry of Health is responsible for healthcare policy-making, planning and regulation. The applicable telemedicine regulation is codified in national legislation.</w:t>
      </w:r>
      <w:r w:rsidRPr="00D13AF1">
        <w:rPr>
          <w:rStyle w:val="FootnoteReference"/>
        </w:rPr>
        <w:footnoteReference w:id="26"/>
      </w:r>
      <w:r w:rsidRPr="00D13AF1">
        <w:t xml:space="preserve"> The law provides a working definition of telemedicine and establishes general rules of using telemedicine.</w:t>
      </w:r>
    </w:p>
    <w:p w14:paraId="55521573" w14:textId="0ECF7E2A" w:rsidR="006D5E80" w:rsidRPr="00D13AF1" w:rsidRDefault="006D5E80" w:rsidP="006D5E80">
      <w:pPr>
        <w:pStyle w:val="BodyEE"/>
      </w:pPr>
      <w:r w:rsidRPr="00D13AF1">
        <w:t xml:space="preserve">The </w:t>
      </w:r>
      <w:r w:rsidRPr="00D13AF1">
        <w:rPr>
          <w:rStyle w:val="EmphasisPurpleChar"/>
        </w:rPr>
        <w:t>Order of Physicians</w:t>
      </w:r>
      <w:r w:rsidRPr="00D13AF1">
        <w:t xml:space="preserve"> (</w:t>
      </w:r>
      <w:proofErr w:type="spellStart"/>
      <w:r w:rsidRPr="00D13AF1">
        <w:t>Ordem</w:t>
      </w:r>
      <w:proofErr w:type="spellEnd"/>
      <w:r w:rsidRPr="00D13AF1">
        <w:t xml:space="preserve"> dos </w:t>
      </w:r>
      <w:proofErr w:type="spellStart"/>
      <w:r w:rsidRPr="00D13AF1">
        <w:t>Médicos</w:t>
      </w:r>
      <w:proofErr w:type="spellEnd"/>
      <w:r w:rsidRPr="00D13AF1">
        <w:t>) regulates individual doctors in Portugal. The Order manages doctor</w:t>
      </w:r>
      <w:r w:rsidR="00184C96">
        <w:t>s’</w:t>
      </w:r>
      <w:r w:rsidRPr="00D13AF1">
        <w:t xml:space="preserve"> </w:t>
      </w:r>
      <w:r w:rsidR="00391000">
        <w:t>licen</w:t>
      </w:r>
      <w:r w:rsidR="00184C96">
        <w:t>c</w:t>
      </w:r>
      <w:r w:rsidR="003F3330" w:rsidRPr="00D13AF1">
        <w:t xml:space="preserve">es </w:t>
      </w:r>
      <w:r w:rsidRPr="00D13AF1">
        <w:t xml:space="preserve">and applies the disciplinary code, with powers to issue warnings and pursue other disciplinary actions.  </w:t>
      </w:r>
    </w:p>
    <w:p w14:paraId="14CF9F9C" w14:textId="5496B5C7" w:rsidR="00F65B3F" w:rsidRDefault="006D5E80" w:rsidP="006D5E80">
      <w:pPr>
        <w:pStyle w:val="Heading3"/>
      </w:pPr>
      <w:r w:rsidRPr="00D13AF1">
        <w:t>North America</w:t>
      </w:r>
    </w:p>
    <w:p w14:paraId="2DA522C3" w14:textId="77777777" w:rsidR="006D5E80" w:rsidRPr="00D13AF1" w:rsidRDefault="006D5E80" w:rsidP="006D5E80">
      <w:pPr>
        <w:pStyle w:val="EmphasisPurple"/>
        <w:keepNext/>
      </w:pPr>
      <w:r w:rsidRPr="00D13AF1">
        <w:t>Canada</w:t>
      </w:r>
    </w:p>
    <w:p w14:paraId="333361BE" w14:textId="6BFF3428" w:rsidR="006D5E80" w:rsidRPr="00D13AF1" w:rsidRDefault="006D5E80" w:rsidP="006D5E80">
      <w:pPr>
        <w:pStyle w:val="BodyEE"/>
      </w:pPr>
      <w:r w:rsidRPr="00D13AF1">
        <w:t xml:space="preserve">The healthcare systems in provinces and territories of Canada rely mostly on funding from the central government. However, some services are funded through private insurance. </w:t>
      </w:r>
      <w:r w:rsidR="005A0810">
        <w:t xml:space="preserve">In principle, the physician has to be located in a given province to </w:t>
      </w:r>
      <w:r w:rsidR="00543D78">
        <w:t xml:space="preserve">submit </w:t>
      </w:r>
      <w:r w:rsidR="005A0810">
        <w:t>bill</w:t>
      </w:r>
      <w:r w:rsidR="00543D78">
        <w:t>s to</w:t>
      </w:r>
      <w:r w:rsidR="005A0810">
        <w:t xml:space="preserve"> the health system of that province. </w:t>
      </w:r>
      <w:r w:rsidRPr="00D13AF1">
        <w:t>When the patient and the doctor are located in different regions, reciprocal arrangements between the Canadian regions allow for reimbursement of medical cost</w:t>
      </w:r>
      <w:r w:rsidR="009F42E9" w:rsidRPr="00D13AF1">
        <w:t>s</w:t>
      </w:r>
      <w:r w:rsidRPr="00D13AF1">
        <w:t xml:space="preserve"> by the Canadian government.</w:t>
      </w:r>
    </w:p>
    <w:p w14:paraId="553973C3" w14:textId="77777777" w:rsidR="006D5E80" w:rsidRPr="00D13AF1" w:rsidRDefault="006D5E80" w:rsidP="006D5E80">
      <w:pPr>
        <w:pStyle w:val="BodyEE"/>
      </w:pPr>
      <w:r w:rsidRPr="00D13AF1">
        <w:t xml:space="preserve">At the national level, the </w:t>
      </w:r>
      <w:r w:rsidRPr="00D13AF1">
        <w:rPr>
          <w:rStyle w:val="EmphasisPurpleChar"/>
        </w:rPr>
        <w:t xml:space="preserve">Federation of Medical Regulatory Authorities of Canada </w:t>
      </w:r>
      <w:r w:rsidRPr="00D13AF1">
        <w:t xml:space="preserve">(FMRAC) is responsible for developing guidelines and policy recommendations. However, the actual legislation is implemented at the level of provinces and territories that enjoy a large degree of autonomy in regulating their regional healthcare systems and, more specifically, individual doctors. </w:t>
      </w:r>
    </w:p>
    <w:p w14:paraId="181AF375" w14:textId="1C0EDBFD" w:rsidR="006D5E80" w:rsidRPr="00D13AF1" w:rsidRDefault="006D5E80" w:rsidP="006D5E80">
      <w:pPr>
        <w:pStyle w:val="BodyEE"/>
      </w:pPr>
      <w:r w:rsidRPr="00D13AF1">
        <w:t xml:space="preserve">The doctors’ regulatory body is typically a </w:t>
      </w:r>
      <w:r w:rsidR="009F42E9" w:rsidRPr="00D13AF1">
        <w:t xml:space="preserve">regional </w:t>
      </w:r>
      <w:r w:rsidRPr="00D13AF1">
        <w:t>College of Physicians and Surgeons (CPS), e.g. the CPS of Ontario. The CPS</w:t>
      </w:r>
      <w:r w:rsidR="009F42E9" w:rsidRPr="00D13AF1">
        <w:t>s</w:t>
      </w:r>
      <w:r w:rsidRPr="00D13AF1">
        <w:t xml:space="preserve"> are responsible for licen</w:t>
      </w:r>
      <w:r w:rsidR="00E51BCC">
        <w:t>s</w:t>
      </w:r>
      <w:r w:rsidRPr="00D13AF1">
        <w:t xml:space="preserve">ing doctors, developing codes of conduct and standards of care, and dealing with complaints against doctors. The doctor has to obtain </w:t>
      </w:r>
      <w:r w:rsidR="009F42E9" w:rsidRPr="00D13AF1">
        <w:t xml:space="preserve">a </w:t>
      </w:r>
      <w:r w:rsidR="00391000">
        <w:t>licen</w:t>
      </w:r>
      <w:r w:rsidR="00E51BCC">
        <w:t>c</w:t>
      </w:r>
      <w:r w:rsidRPr="00D13AF1">
        <w:t>e in at least on</w:t>
      </w:r>
      <w:r w:rsidR="009F42E9" w:rsidRPr="00D13AF1">
        <w:t>e</w:t>
      </w:r>
      <w:r w:rsidRPr="00D13AF1">
        <w:t xml:space="preserve"> region to be </w:t>
      </w:r>
      <w:r w:rsidRPr="00D13AF1">
        <w:lastRenderedPageBreak/>
        <w:t>able to practi</w:t>
      </w:r>
      <w:r w:rsidR="009F42E9" w:rsidRPr="00D13AF1">
        <w:t>s</w:t>
      </w:r>
      <w:r w:rsidRPr="00D13AF1">
        <w:t>e medicine and</w:t>
      </w:r>
      <w:r w:rsidR="009F42E9" w:rsidRPr="00D13AF1">
        <w:t>,</w:t>
      </w:r>
      <w:r w:rsidRPr="00D13AF1">
        <w:t xml:space="preserve"> in particular</w:t>
      </w:r>
      <w:r w:rsidR="009F42E9" w:rsidRPr="00D13AF1">
        <w:t>,</w:t>
      </w:r>
      <w:r w:rsidRPr="00D13AF1">
        <w:t xml:space="preserve"> to be able to offer medical service remotely. The codes of conduct usually do not have legally binding status but are compulsory for the CPS</w:t>
      </w:r>
      <w:r w:rsidR="009F42E9" w:rsidRPr="00D13AF1">
        <w:t>s’</w:t>
      </w:r>
      <w:r w:rsidRPr="00D13AF1">
        <w:t xml:space="preserve"> members and are used as a reference document in case someone submits a complaint against the doctor.</w:t>
      </w:r>
    </w:p>
    <w:p w14:paraId="5CFA8D65" w14:textId="011A4737" w:rsidR="006D5E80" w:rsidRPr="00D13AF1" w:rsidRDefault="006D5E80" w:rsidP="006D5E80">
      <w:pPr>
        <w:pStyle w:val="BodyEE"/>
      </w:pPr>
      <w:r w:rsidRPr="00D13AF1">
        <w:t xml:space="preserve">The FMRAC adopted its telemedicine policy in 2010, which is not a binding document but rather a policy model for regional regulatory authorities. In turn, the individual CPS adopted their telemedicine policies. </w:t>
      </w:r>
      <w:r w:rsidR="00407EE2" w:rsidRPr="00D13AF1">
        <w:t xml:space="preserve">These </w:t>
      </w:r>
      <w:r w:rsidRPr="00D13AF1">
        <w:t>province or territory-level policies are usually not in the form of bi</w:t>
      </w:r>
      <w:r w:rsidR="00407EE2" w:rsidRPr="00D13AF1">
        <w:t>n</w:t>
      </w:r>
      <w:r w:rsidRPr="00D13AF1">
        <w:t>ding statutes but — just like general codes of conduct — are compulsory for doctors as a condition of membership and can be referred to in disciplinary hearings.</w:t>
      </w:r>
      <w:r w:rsidR="007D0AA9">
        <w:t xml:space="preserve"> Certain CPS adopted their telemedicine policies </w:t>
      </w:r>
      <w:r w:rsidR="002E5F60">
        <w:t xml:space="preserve">a </w:t>
      </w:r>
      <w:r w:rsidR="007D0AA9">
        <w:t>few years ago and</w:t>
      </w:r>
      <w:r w:rsidR="00FB07F5">
        <w:t xml:space="preserve"> we understand from our interviews that they</w:t>
      </w:r>
      <w:r w:rsidR="007D0AA9">
        <w:t xml:space="preserve"> are likely to review or update the policies in the next one or two years following the development of telemedicine practice and technology (Alberta, Ontario).</w:t>
      </w:r>
    </w:p>
    <w:p w14:paraId="130F36E2" w14:textId="4E0F9430" w:rsidR="006D5E80" w:rsidRPr="00D13AF1" w:rsidRDefault="006D5E80" w:rsidP="006D5E80">
      <w:pPr>
        <w:pStyle w:val="EmphasisPurple"/>
        <w:keepNext/>
      </w:pPr>
      <w:r w:rsidRPr="00D13AF1">
        <w:t>United States</w:t>
      </w:r>
      <w:r w:rsidR="00407EE2" w:rsidRPr="00D13AF1">
        <w:t xml:space="preserve"> of America</w:t>
      </w:r>
    </w:p>
    <w:p w14:paraId="49B931C0" w14:textId="682AB556" w:rsidR="006D5E80" w:rsidRPr="00D13AF1" w:rsidRDefault="006D5E80" w:rsidP="006D5E80">
      <w:pPr>
        <w:pStyle w:val="BodyEE"/>
      </w:pPr>
      <w:r w:rsidRPr="00D13AF1">
        <w:t>The US</w:t>
      </w:r>
      <w:r w:rsidR="00407EE2" w:rsidRPr="00D13AF1">
        <w:t>A’s</w:t>
      </w:r>
      <w:r w:rsidRPr="00D13AF1">
        <w:t xml:space="preserve"> healthcare system is funded largely through employer healthcare insurance plans. More than 50 per cent of employers offer telemedicine benefits as part of their healthcare insurance plans,</w:t>
      </w:r>
      <w:r w:rsidR="00B13DF5">
        <w:rPr>
          <w:rStyle w:val="FootnoteReference"/>
        </w:rPr>
        <w:footnoteReference w:id="27"/>
      </w:r>
      <w:r w:rsidRPr="00D13AF1">
        <w:t xml:space="preserve"> which explains the popularity of telemedicine in the </w:t>
      </w:r>
      <w:r w:rsidR="00996726">
        <w:t>USA</w:t>
      </w:r>
      <w:r w:rsidRPr="00D13AF1">
        <w:t>, especially direct-to-consumer telemedicine.</w:t>
      </w:r>
    </w:p>
    <w:p w14:paraId="60B66EAF" w14:textId="24AEA597" w:rsidR="006D5E80" w:rsidRPr="00D13AF1" w:rsidRDefault="006D5E80" w:rsidP="006D5E80">
      <w:pPr>
        <w:pStyle w:val="BodyEE"/>
      </w:pPr>
      <w:r w:rsidRPr="00D13AF1">
        <w:t>As in Canada, the US</w:t>
      </w:r>
      <w:r w:rsidR="00407EE2" w:rsidRPr="00D13AF1">
        <w:t>A’s</w:t>
      </w:r>
      <w:r w:rsidRPr="00D13AF1">
        <w:t xml:space="preserve"> </w:t>
      </w:r>
      <w:r w:rsidRPr="00D13AF1">
        <w:rPr>
          <w:rStyle w:val="EmphasisPurpleChar"/>
        </w:rPr>
        <w:t xml:space="preserve">Federation of State Medical Boards </w:t>
      </w:r>
      <w:r w:rsidRPr="00D13AF1">
        <w:t xml:space="preserve">(FSMB) has no enforcement power but is an important provider of policies and statements as well as the </w:t>
      </w:r>
      <w:r w:rsidR="00ED13FF" w:rsidRPr="00D13AF1">
        <w:t>terminology</w:t>
      </w:r>
      <w:r w:rsidRPr="00D13AF1">
        <w:t xml:space="preserve"> used in those documents. There are 70 medical licen</w:t>
      </w:r>
      <w:r w:rsidR="00C81678">
        <w:t>c</w:t>
      </w:r>
      <w:r w:rsidRPr="00D13AF1">
        <w:t>e boards in the US</w:t>
      </w:r>
      <w:r w:rsidR="00407EE2" w:rsidRPr="00D13AF1">
        <w:t>A</w:t>
      </w:r>
      <w:r w:rsidRPr="00D13AF1">
        <w:t>,</w:t>
      </w:r>
      <w:r w:rsidRPr="00D13AF1">
        <w:rPr>
          <w:rStyle w:val="FootnoteReference"/>
        </w:rPr>
        <w:footnoteReference w:id="28"/>
      </w:r>
      <w:r w:rsidRPr="00D13AF1">
        <w:t xml:space="preserve"> which are, inter alia, responsible for licen</w:t>
      </w:r>
      <w:r w:rsidR="00C81678">
        <w:t>s</w:t>
      </w:r>
      <w:r w:rsidRPr="00D13AF1">
        <w:t>ing doctors, adopting policies, codes of conducts and standards of care, as well as for investigating the complaints against doctors.</w:t>
      </w:r>
    </w:p>
    <w:p w14:paraId="51C12AE8" w14:textId="5B135AD6" w:rsidR="006D5E80" w:rsidRDefault="006D5E80" w:rsidP="006D5E80">
      <w:pPr>
        <w:pStyle w:val="BodyEE"/>
      </w:pPr>
      <w:r w:rsidRPr="00D13AF1">
        <w:t xml:space="preserve">Most </w:t>
      </w:r>
      <w:r w:rsidR="00407EE2" w:rsidRPr="00D13AF1">
        <w:t>s</w:t>
      </w:r>
      <w:r w:rsidRPr="00D13AF1">
        <w:t xml:space="preserve">tates </w:t>
      </w:r>
      <w:r w:rsidR="00407EE2" w:rsidRPr="00D13AF1">
        <w:t xml:space="preserve">in the USA </w:t>
      </w:r>
      <w:r w:rsidRPr="00D13AF1">
        <w:t>have telemedicine policies enacted as part of State legislation (administrative codes). This may include, but is not limited to, the definition of telemedicine, codes of conduct, etc. In some states, there is no single legislative document that governs telemedicine practice. In others, only a telemedicine statement published by the state</w:t>
      </w:r>
      <w:r w:rsidR="00407EE2" w:rsidRPr="00D13AF1">
        <w:t>’s</w:t>
      </w:r>
      <w:r w:rsidRPr="00D13AF1">
        <w:t xml:space="preserve"> medical board is available. The regulation </w:t>
      </w:r>
      <w:r w:rsidR="00407EE2" w:rsidRPr="00D13AF1">
        <w:t xml:space="preserve">of telemedicine </w:t>
      </w:r>
      <w:r w:rsidRPr="00D13AF1">
        <w:t xml:space="preserve">might not have legally binding status but </w:t>
      </w:r>
      <w:r w:rsidR="00407EE2" w:rsidRPr="00D13AF1">
        <w:t>is</w:t>
      </w:r>
      <w:r w:rsidRPr="00D13AF1">
        <w:t xml:space="preserve"> typically compulsory</w:t>
      </w:r>
      <w:r w:rsidR="00BB7826">
        <w:t xml:space="preserve"> (i.e. as a condition of practi</w:t>
      </w:r>
      <w:r w:rsidR="00C81678">
        <w:t>s</w:t>
      </w:r>
      <w:r w:rsidR="00BB7826">
        <w:t>ing medicine and retaining a licence)</w:t>
      </w:r>
      <w:r w:rsidR="00407EE2" w:rsidRPr="00D13AF1">
        <w:t xml:space="preserve"> </w:t>
      </w:r>
      <w:r w:rsidRPr="00D13AF1">
        <w:t>and so applied when investigating a complaint against the doctor.</w:t>
      </w:r>
      <w:r w:rsidR="00924E75">
        <w:rPr>
          <w:rStyle w:val="FootnoteReference"/>
        </w:rPr>
        <w:footnoteReference w:id="29"/>
      </w:r>
    </w:p>
    <w:p w14:paraId="4C728733" w14:textId="06D72E6E" w:rsidR="00E21996" w:rsidRPr="00D13AF1" w:rsidRDefault="00E21996" w:rsidP="00E21996">
      <w:pPr>
        <w:pStyle w:val="BodyEE"/>
        <w:rPr>
          <w:rFonts w:ascii="Times New Roman" w:hAnsi="Times New Roman"/>
        </w:rPr>
      </w:pPr>
      <w:r>
        <w:t xml:space="preserve">Regulators in both the USA and Canada often stressed the importance of telemedicine as a tool to deliver healthcare to remote and sparsely populated areas of their jurisdictions. The distances doctors (or patients) </w:t>
      </w:r>
      <w:r w:rsidR="00096926">
        <w:t xml:space="preserve">have </w:t>
      </w:r>
      <w:r>
        <w:t>had to travel before effective communication between two remote locations was possible</w:t>
      </w:r>
      <w:r w:rsidR="00096926">
        <w:t>,</w:t>
      </w:r>
      <w:r>
        <w:t xml:space="preserve"> appear to be a crucial driver in the development of telemedicine in North America. </w:t>
      </w:r>
      <w:r w:rsidR="00626D17">
        <w:t xml:space="preserve">Nevertheless, the regulatory </w:t>
      </w:r>
      <w:r w:rsidR="00CD595D">
        <w:t>approach</w:t>
      </w:r>
      <w:r w:rsidR="00626D17">
        <w:t xml:space="preserve"> might vary depending on </w:t>
      </w:r>
      <w:r w:rsidR="005A1DA0">
        <w:t>the organisation of the healthcare system</w:t>
      </w:r>
      <w:r w:rsidR="00626D17">
        <w:t xml:space="preserve">. For example, </w:t>
      </w:r>
      <w:r w:rsidR="005A1DA0">
        <w:t>in publicly funded systems, the regulator itself (and other relevant public</w:t>
      </w:r>
      <w:r w:rsidR="00BB7826">
        <w:t xml:space="preserve">/ governmental </w:t>
      </w:r>
      <w:r w:rsidR="005A1DA0">
        <w:t xml:space="preserve">institutions) </w:t>
      </w:r>
      <w:r w:rsidR="00BB7826">
        <w:t>may be</w:t>
      </w:r>
      <w:r w:rsidR="005A1DA0">
        <w:t xml:space="preserve"> </w:t>
      </w:r>
      <w:r w:rsidR="004C57D9">
        <w:t xml:space="preserve">more </w:t>
      </w:r>
      <w:r w:rsidR="005A1DA0">
        <w:t xml:space="preserve">likely to promote telemedicine </w:t>
      </w:r>
      <w:r w:rsidR="00BB7826">
        <w:t xml:space="preserve">in order to meet patient needs </w:t>
      </w:r>
      <w:r w:rsidR="00FC5521">
        <w:t xml:space="preserve">(while maintaining high standard of care) than in </w:t>
      </w:r>
      <w:r w:rsidR="00CD595D">
        <w:t xml:space="preserve">the </w:t>
      </w:r>
      <w:r w:rsidR="00FC5521">
        <w:t>case</w:t>
      </w:r>
      <w:r w:rsidR="005A1DA0">
        <w:t xml:space="preserve"> </w:t>
      </w:r>
      <w:r w:rsidR="00CD595D">
        <w:t>of a private</w:t>
      </w:r>
      <w:r w:rsidR="005A1DA0">
        <w:t xml:space="preserve"> healthcare </w:t>
      </w:r>
      <w:r w:rsidR="00CD595D">
        <w:t>system</w:t>
      </w:r>
      <w:r w:rsidR="005A1DA0">
        <w:t xml:space="preserve">, </w:t>
      </w:r>
      <w:r w:rsidR="00CD595D">
        <w:t>w</w:t>
      </w:r>
      <w:r w:rsidR="005A1DA0">
        <w:t xml:space="preserve">here healthcare providers </w:t>
      </w:r>
      <w:r w:rsidR="00CD595D">
        <w:t xml:space="preserve">themselves </w:t>
      </w:r>
      <w:r w:rsidR="005A1DA0">
        <w:t xml:space="preserve">are </w:t>
      </w:r>
      <w:r w:rsidR="00CD595D">
        <w:t xml:space="preserve">the key agents in promoting </w:t>
      </w:r>
      <w:r w:rsidR="005A1DA0">
        <w:t xml:space="preserve">the most efficient </w:t>
      </w:r>
      <w:r w:rsidR="00FC5521">
        <w:t xml:space="preserve">ways of delivering medical services. In the latter case, the role of the regulator </w:t>
      </w:r>
      <w:r w:rsidR="00CD595D">
        <w:t xml:space="preserve">might be relatively more </w:t>
      </w:r>
      <w:r w:rsidR="00FC5521">
        <w:t>focus</w:t>
      </w:r>
      <w:r w:rsidR="00CD595D">
        <w:t>ed</w:t>
      </w:r>
      <w:r w:rsidR="00FC5521">
        <w:t xml:space="preserve"> on </w:t>
      </w:r>
      <w:r w:rsidR="00CD595D">
        <w:t xml:space="preserve">simply </w:t>
      </w:r>
      <w:r w:rsidR="00FC5521">
        <w:t xml:space="preserve">ensuring compliance </w:t>
      </w:r>
      <w:r w:rsidR="00CD595D">
        <w:t>with certain quality standards.</w:t>
      </w:r>
    </w:p>
    <w:p w14:paraId="7A97DF5E" w14:textId="77777777" w:rsidR="006D5E80" w:rsidRPr="00D13AF1" w:rsidRDefault="006D5E80" w:rsidP="006D5E80">
      <w:pPr>
        <w:pStyle w:val="Heading3"/>
      </w:pPr>
      <w:r w:rsidRPr="00D13AF1">
        <w:lastRenderedPageBreak/>
        <w:t>Australasia</w:t>
      </w:r>
    </w:p>
    <w:p w14:paraId="72501AEB" w14:textId="77777777" w:rsidR="00E80529" w:rsidRPr="00D13AF1" w:rsidRDefault="00E80529" w:rsidP="009735A4">
      <w:pPr>
        <w:pStyle w:val="EmphasisPurple"/>
        <w:keepNext/>
      </w:pPr>
      <w:r w:rsidRPr="00D13AF1">
        <w:t>Australia</w:t>
      </w:r>
    </w:p>
    <w:p w14:paraId="0625A24F" w14:textId="060B4EF6" w:rsidR="00E80529" w:rsidRPr="00D13AF1" w:rsidRDefault="00E80529" w:rsidP="00E80529">
      <w:pPr>
        <w:pStyle w:val="BodyEE"/>
      </w:pPr>
      <w:r w:rsidRPr="00D13AF1">
        <w:t xml:space="preserve">The healthcare system in Australia receives mixed financing from both public funds and private insurance. Most policies and standards for healthcare providers and professionals are developed at the national level. However, the responsibility for managing and delivering healthcare sits with the governments of </w:t>
      </w:r>
      <w:r w:rsidR="009640B6" w:rsidRPr="00D13AF1">
        <w:t xml:space="preserve">the various </w:t>
      </w:r>
      <w:r w:rsidRPr="00D13AF1">
        <w:t>Australian states and territories.</w:t>
      </w:r>
    </w:p>
    <w:p w14:paraId="6CD06AC4" w14:textId="2BA828E5" w:rsidR="00E80529" w:rsidRPr="00D13AF1" w:rsidRDefault="00E80529" w:rsidP="00E80529">
      <w:pPr>
        <w:pStyle w:val="BodyEE"/>
      </w:pPr>
      <w:r w:rsidRPr="00D13AF1">
        <w:t xml:space="preserve">The key regulators of individual doctors are the </w:t>
      </w:r>
      <w:r w:rsidRPr="00D13AF1">
        <w:rPr>
          <w:rStyle w:val="EmphasisPurpleChar"/>
        </w:rPr>
        <w:t xml:space="preserve">Australian Health Practitioner Regulation Agency </w:t>
      </w:r>
      <w:r w:rsidRPr="00D13AF1">
        <w:t xml:space="preserve">(AHPRA) and the </w:t>
      </w:r>
      <w:r w:rsidRPr="00D13AF1">
        <w:rPr>
          <w:rStyle w:val="EmphasisPurpleChar"/>
        </w:rPr>
        <w:t xml:space="preserve">Medical Board of Australia </w:t>
      </w:r>
      <w:r w:rsidRPr="00D13AF1">
        <w:t xml:space="preserve">(MBA). The AHPRA acts as an umbrella organisation for 14 National Boards, according to the regulated professions. The AHPRA develops the national scheme for accreditation and registration to ensure consistency in the regulation of medical professionals and </w:t>
      </w:r>
      <w:r w:rsidR="009640B6" w:rsidRPr="00D13AF1">
        <w:t xml:space="preserve">to </w:t>
      </w:r>
      <w:r w:rsidRPr="00D13AF1">
        <w:t xml:space="preserve">bring commonality to values and processes </w:t>
      </w:r>
      <w:r w:rsidR="009640B6" w:rsidRPr="00D13AF1">
        <w:t xml:space="preserve">across </w:t>
      </w:r>
      <w:r w:rsidRPr="00D13AF1">
        <w:t xml:space="preserve">professions. The MBA </w:t>
      </w:r>
      <w:r w:rsidRPr="00D13AF1">
        <w:rPr>
          <w:lang w:eastAsia="en-GB"/>
        </w:rPr>
        <w:t>registers medical practitioners and</w:t>
      </w:r>
      <w:r w:rsidRPr="00D13AF1">
        <w:t xml:space="preserve"> </w:t>
      </w:r>
      <w:r w:rsidRPr="00D13AF1">
        <w:rPr>
          <w:lang w:eastAsia="en-GB"/>
        </w:rPr>
        <w:t xml:space="preserve">develops standards, codes and guidelines for them. Complaints can be submitted to the </w:t>
      </w:r>
      <w:r w:rsidRPr="00D13AF1">
        <w:t>National Health Practitioner Ombudsman. Several voluntary organisations provide additional standards of conduct and promote interests of doctors, GPs (general practitioners), or doctors working in rural areas.</w:t>
      </w:r>
    </w:p>
    <w:p w14:paraId="129CD8A4" w14:textId="65CBFA81" w:rsidR="00E80529" w:rsidRPr="00D13AF1" w:rsidRDefault="00E80529" w:rsidP="00E80529">
      <w:pPr>
        <w:pStyle w:val="BodyEE"/>
      </w:pPr>
      <w:r w:rsidRPr="00D13AF1">
        <w:t xml:space="preserve">In Australia, the preferred term is telehealth rather than telemedicine. The main telehealth policy </w:t>
      </w:r>
      <w:r w:rsidR="009640B6" w:rsidRPr="00D13AF1">
        <w:t xml:space="preserve">statement </w:t>
      </w:r>
      <w:r w:rsidRPr="00D13AF1">
        <w:t>is the MBA’s guidelines for technology-based consultations. These guidelines complement the general code of conduct. The guidelines and the code do not have legally binding status; however, they could be used to assess the doctor’s conduct in case of a complaint.</w:t>
      </w:r>
    </w:p>
    <w:p w14:paraId="262FD3BC" w14:textId="77777777" w:rsidR="00E80529" w:rsidRPr="00D13AF1" w:rsidRDefault="00E80529" w:rsidP="009735A4">
      <w:pPr>
        <w:pStyle w:val="EmphasisPurple"/>
        <w:keepNext/>
      </w:pPr>
      <w:r w:rsidRPr="00D13AF1">
        <w:t>New Zealand</w:t>
      </w:r>
    </w:p>
    <w:p w14:paraId="13DAAA11" w14:textId="6D35AE9B" w:rsidR="00E80529" w:rsidRPr="00D13AF1" w:rsidRDefault="00E80529" w:rsidP="00E80529">
      <w:pPr>
        <w:pStyle w:val="BodyEE"/>
      </w:pPr>
      <w:r w:rsidRPr="00D13AF1">
        <w:t>Similar to Australia, healthcare in New Zealand has a mix of financing from public and private insurance funds. The Ministry of Health is responsible for the national healthcare policy while the 20 District Health Boards are responsible for providing and funding public healthcare.</w:t>
      </w:r>
    </w:p>
    <w:p w14:paraId="46BB0EB0" w14:textId="2B5E244F" w:rsidR="00E80529" w:rsidRPr="00D13AF1" w:rsidRDefault="00E80529" w:rsidP="00E80529">
      <w:pPr>
        <w:pStyle w:val="BodyEE"/>
      </w:pPr>
      <w:r w:rsidRPr="00D13AF1">
        <w:t xml:space="preserve">The </w:t>
      </w:r>
      <w:r w:rsidRPr="00D13AF1">
        <w:rPr>
          <w:rStyle w:val="EmphasisPurpleChar"/>
        </w:rPr>
        <w:t xml:space="preserve">Medical Council of New Zealand </w:t>
      </w:r>
      <w:r w:rsidRPr="00D13AF1">
        <w:t xml:space="preserve">(MCNZ) regulates </w:t>
      </w:r>
      <w:r w:rsidR="001503A7">
        <w:t xml:space="preserve">all </w:t>
      </w:r>
      <w:r w:rsidRPr="00D13AF1">
        <w:t xml:space="preserve">medical doctors in the country. It overseas licencing and registration, and develops standards and codes of conduct for doctors. </w:t>
      </w:r>
    </w:p>
    <w:p w14:paraId="112F5ED7" w14:textId="724CCBD0" w:rsidR="00E80529" w:rsidRPr="00D13AF1" w:rsidRDefault="00E80529" w:rsidP="00E80529">
      <w:pPr>
        <w:pStyle w:val="BodyEE"/>
      </w:pPr>
      <w:r w:rsidRPr="00D13AF1">
        <w:t xml:space="preserve">As in Australia, the New Zealand regulators prefer the term “telehealth”. The MCNZ </w:t>
      </w:r>
      <w:r w:rsidR="00F25876">
        <w:t>revised</w:t>
      </w:r>
      <w:r w:rsidR="00F25876" w:rsidRPr="00D13AF1">
        <w:t xml:space="preserve"> </w:t>
      </w:r>
      <w:r w:rsidRPr="00D13AF1">
        <w:t>its statement on telehealth in 2016</w:t>
      </w:r>
      <w:r w:rsidR="00F25876">
        <w:t xml:space="preserve"> and scheduled the next revision for 2021.</w:t>
      </w:r>
      <w:r w:rsidR="00F25876">
        <w:rPr>
          <w:rStyle w:val="FootnoteReference"/>
        </w:rPr>
        <w:footnoteReference w:id="30"/>
      </w:r>
      <w:r w:rsidR="00F25876">
        <w:t xml:space="preserve"> The statement</w:t>
      </w:r>
      <w:r w:rsidRPr="00D13AF1">
        <w:t xml:space="preserve"> </w:t>
      </w:r>
      <w:r w:rsidR="00F25876">
        <w:t xml:space="preserve">on </w:t>
      </w:r>
      <w:r w:rsidR="00F25876" w:rsidRPr="00D13AF1">
        <w:t xml:space="preserve">telehealth </w:t>
      </w:r>
      <w:r w:rsidRPr="00D13AF1">
        <w:t>applies to all doctors registered with the MCNZ</w:t>
      </w:r>
      <w:r w:rsidR="001503A7">
        <w:t xml:space="preserve"> (i.e. effectively all doctors)</w:t>
      </w:r>
      <w:r w:rsidRPr="00D13AF1">
        <w:t xml:space="preserve">. The MCNZ cannot require foreign doctors to register with the </w:t>
      </w:r>
      <w:r w:rsidR="00FB07F5">
        <w:t>C</w:t>
      </w:r>
      <w:r w:rsidRPr="00D13AF1">
        <w:t>ouncil</w:t>
      </w:r>
      <w:r w:rsidR="00FB07F5">
        <w:t xml:space="preserve">, but it does </w:t>
      </w:r>
      <w:r w:rsidR="003B410F">
        <w:t>encourage them to be registered with the council nevertheless</w:t>
      </w:r>
      <w:r w:rsidRPr="00D13AF1">
        <w:t>. However, the council introduced a special purpose teleradiology registration for overseas practitioners.</w:t>
      </w:r>
    </w:p>
    <w:p w14:paraId="61561CF8" w14:textId="77777777" w:rsidR="00E80529" w:rsidRPr="00D13AF1" w:rsidRDefault="00E80529" w:rsidP="009735A4">
      <w:pPr>
        <w:pStyle w:val="EmphasisPurple"/>
        <w:keepNext/>
      </w:pPr>
      <w:r w:rsidRPr="00D13AF1">
        <w:t>Singapore</w:t>
      </w:r>
    </w:p>
    <w:p w14:paraId="3FA23F25" w14:textId="4AFC8D6D" w:rsidR="00E80529" w:rsidRPr="00D13AF1" w:rsidRDefault="00E80529" w:rsidP="00E80529">
      <w:pPr>
        <w:pStyle w:val="BodyEE"/>
      </w:pPr>
      <w:r w:rsidRPr="00D13AF1">
        <w:t xml:space="preserve">Singapore healthcare receives mixed funding from government funds and insurance companies. The core regulatory organisation is the </w:t>
      </w:r>
      <w:r w:rsidRPr="00D13AF1">
        <w:rPr>
          <w:rStyle w:val="EmphasisPurpleChar"/>
        </w:rPr>
        <w:t xml:space="preserve">Ministry of Health of Singapore </w:t>
      </w:r>
      <w:r w:rsidRPr="00D13AF1">
        <w:t>(</w:t>
      </w:r>
      <w:proofErr w:type="spellStart"/>
      <w:r w:rsidRPr="00D13AF1">
        <w:t>MoH</w:t>
      </w:r>
      <w:r w:rsidR="009640B6" w:rsidRPr="00D13AF1">
        <w:t>S</w:t>
      </w:r>
      <w:proofErr w:type="spellEnd"/>
      <w:r w:rsidRPr="00D13AF1">
        <w:t>). It is responsible for licen</w:t>
      </w:r>
      <w:r w:rsidR="00FC62B7">
        <w:t>s</w:t>
      </w:r>
      <w:r w:rsidRPr="00D13AF1">
        <w:t xml:space="preserve">ing medical organisations, clinics, hospitals, laboratories, etc. The </w:t>
      </w:r>
      <w:proofErr w:type="spellStart"/>
      <w:r w:rsidRPr="00D13AF1">
        <w:t>MoH</w:t>
      </w:r>
      <w:r w:rsidR="009640B6" w:rsidRPr="00D13AF1">
        <w:t>S</w:t>
      </w:r>
      <w:proofErr w:type="spellEnd"/>
      <w:r w:rsidRPr="00D13AF1">
        <w:t xml:space="preserve"> publishes guidelines for medical organisations, processes licen</w:t>
      </w:r>
      <w:r w:rsidR="00FC62B7">
        <w:t>s</w:t>
      </w:r>
      <w:r w:rsidRPr="00D13AF1">
        <w:t>ing application</w:t>
      </w:r>
      <w:r w:rsidR="004C6629">
        <w:t>s</w:t>
      </w:r>
      <w:r w:rsidRPr="00D13AF1">
        <w:t xml:space="preserve"> and conducts inspections. There are seven professional bodies that cover different types of individual professionals (doctors, nurses, dental practitioners, etc.).</w:t>
      </w:r>
    </w:p>
    <w:p w14:paraId="4E5D3B3E" w14:textId="77777777" w:rsidR="00E80529" w:rsidRPr="00D13AF1" w:rsidRDefault="00E80529" w:rsidP="00E80529">
      <w:pPr>
        <w:pStyle w:val="BodyEE"/>
      </w:pPr>
      <w:r w:rsidRPr="00D13AF1">
        <w:t xml:space="preserve">The </w:t>
      </w:r>
      <w:r w:rsidRPr="00D13AF1">
        <w:rPr>
          <w:rStyle w:val="EmphasisPurpleChar"/>
        </w:rPr>
        <w:t xml:space="preserve">Singapore Medical Council </w:t>
      </w:r>
      <w:r w:rsidRPr="00D13AF1">
        <w:t>(SMC) regulates registered medical practitioners in Singapore, including the registration of doctors and development of standards and codes of conduct.</w:t>
      </w:r>
    </w:p>
    <w:p w14:paraId="69B69A54" w14:textId="237DC102" w:rsidR="00E80529" w:rsidRPr="00D13AF1" w:rsidRDefault="00E80529" w:rsidP="00E80529">
      <w:pPr>
        <w:pStyle w:val="BodyEE"/>
      </w:pPr>
      <w:r w:rsidRPr="00D13AF1">
        <w:t xml:space="preserve">Regulation of telemedicine is part of guidelines and ethics standards for doctors published by the SMC. The </w:t>
      </w:r>
      <w:proofErr w:type="spellStart"/>
      <w:r w:rsidRPr="00D13AF1">
        <w:t>MoH</w:t>
      </w:r>
      <w:r w:rsidR="009640B6" w:rsidRPr="00D13AF1">
        <w:t>S</w:t>
      </w:r>
      <w:proofErr w:type="spellEnd"/>
      <w:r w:rsidRPr="00D13AF1">
        <w:t xml:space="preserve"> has also issued a set of National Telemedicine Guidelines to guide healthcare providers on the safe and appropriate delivery of healthcare services through the use of telemedicine.</w:t>
      </w:r>
      <w:r w:rsidR="0050775F">
        <w:t xml:space="preserve"> </w:t>
      </w:r>
      <w:r w:rsidR="004926C8">
        <w:t xml:space="preserve">As explained in the </w:t>
      </w:r>
      <w:r w:rsidR="004926C8" w:rsidRPr="004926C8">
        <w:lastRenderedPageBreak/>
        <w:t>Guidelines Summary Card</w:t>
      </w:r>
      <w:r w:rsidR="004926C8">
        <w:t>, s</w:t>
      </w:r>
      <w:r w:rsidR="0050775F">
        <w:t xml:space="preserve">pecific principles laid in the Guidelines </w:t>
      </w:r>
      <w:r w:rsidR="00D74CA9">
        <w:t>might</w:t>
      </w:r>
      <w:r w:rsidR="0050775F">
        <w:t xml:space="preserve"> be mandatory, strongly encourage</w:t>
      </w:r>
      <w:r w:rsidR="00D74CA9">
        <w:t>d</w:t>
      </w:r>
      <w:r w:rsidR="0050775F">
        <w:t xml:space="preserve"> or optional as indicate</w:t>
      </w:r>
      <w:r w:rsidR="00D74CA9">
        <w:t>d</w:t>
      </w:r>
      <w:r w:rsidR="0050775F">
        <w:t xml:space="preserve"> </w:t>
      </w:r>
      <w:r w:rsidR="00D66167">
        <w:t xml:space="preserve">by </w:t>
      </w:r>
      <w:r w:rsidR="0050775F">
        <w:t>the words “must”, “should”, and “may” respectively.</w:t>
      </w:r>
      <w:r w:rsidR="004926C8">
        <w:rPr>
          <w:rStyle w:val="FootnoteReference"/>
        </w:rPr>
        <w:footnoteReference w:id="31"/>
      </w:r>
    </w:p>
    <w:p w14:paraId="521A3E2E" w14:textId="53D057F5" w:rsidR="00126952" w:rsidRPr="00D13AF1" w:rsidRDefault="00126952" w:rsidP="00126952">
      <w:pPr>
        <w:pStyle w:val="Heading3"/>
      </w:pPr>
      <w:r w:rsidRPr="00D13AF1">
        <w:t>Summary</w:t>
      </w:r>
    </w:p>
    <w:p w14:paraId="000959D4" w14:textId="2082FF2E" w:rsidR="00920D2F" w:rsidRPr="00D13AF1" w:rsidRDefault="009640B6" w:rsidP="00E80529">
      <w:pPr>
        <w:pStyle w:val="BodyEE"/>
      </w:pPr>
      <w:r w:rsidRPr="00D13AF1">
        <w:t>R</w:t>
      </w:r>
      <w:r w:rsidR="00F322DC" w:rsidRPr="00D13AF1">
        <w:t xml:space="preserve">egulatory context varies from country to country in many ways. Regulators </w:t>
      </w:r>
      <w:r w:rsidRPr="00D13AF1">
        <w:t xml:space="preserve">can </w:t>
      </w:r>
      <w:r w:rsidR="00F322DC" w:rsidRPr="00D13AF1">
        <w:t xml:space="preserve">have different objectives, scope for imposing binding regulation, and regulatory tools available to them. </w:t>
      </w:r>
      <w:r w:rsidRPr="00D13AF1">
        <w:t>Indeed o</w:t>
      </w:r>
      <w:r w:rsidR="004B7771" w:rsidRPr="00D13AF1">
        <w:t>ur survey illustrated</w:t>
      </w:r>
      <w:r w:rsidRPr="00D13AF1">
        <w:t xml:space="preserve"> </w:t>
      </w:r>
      <w:r w:rsidR="004B7771" w:rsidRPr="00D13AF1">
        <w:t>that the organisations responsible for (</w:t>
      </w:r>
      <w:r w:rsidRPr="00D13AF1">
        <w:t xml:space="preserve">at least </w:t>
      </w:r>
      <w:r w:rsidR="004B7771" w:rsidRPr="00D13AF1">
        <w:t xml:space="preserve">some aspects of) regulating telemedicine do so through policies or requirements in different </w:t>
      </w:r>
      <w:r w:rsidR="00F04696" w:rsidRPr="00D13AF1">
        <w:t>areas</w:t>
      </w:r>
      <w:r w:rsidR="00EC1CA3">
        <w:t xml:space="preserve"> such as licensing, setting standards, providing trainings etc</w:t>
      </w:r>
      <w:r w:rsidR="00F04696" w:rsidRPr="00D13AF1">
        <w:t>. That said, the most common area where telemedicine-related requirements were developed is ‘standards of wor</w:t>
      </w:r>
      <w:r w:rsidRPr="00D13AF1">
        <w:t>k</w:t>
      </w:r>
      <w:r w:rsidR="00F04696" w:rsidRPr="00D13AF1">
        <w:t>’ (reported by 12 out of 20 respondents).</w:t>
      </w:r>
    </w:p>
    <w:p w14:paraId="76CFAE38" w14:textId="47289023" w:rsidR="00E80529" w:rsidRPr="00D13AF1" w:rsidRDefault="00E80529" w:rsidP="00EC7E67">
      <w:pPr>
        <w:pStyle w:val="Caption"/>
        <w:keepLines/>
      </w:pPr>
      <w:r w:rsidRPr="00D13AF1">
        <w:t xml:space="preserve">Figure </w:t>
      </w:r>
      <w:r w:rsidR="00000000">
        <w:fldChar w:fldCharType="begin"/>
      </w:r>
      <w:r w:rsidR="00000000">
        <w:instrText xml:space="preserve"> STYLEREF 1 \s </w:instrText>
      </w:r>
      <w:r w:rsidR="00000000">
        <w:fldChar w:fldCharType="separate"/>
      </w:r>
      <w:r w:rsidR="00B51130">
        <w:rPr>
          <w:noProof/>
        </w:rPr>
        <w:t>2</w:t>
      </w:r>
      <w:r w:rsidR="00000000">
        <w:rPr>
          <w:noProof/>
        </w:rPr>
        <w:fldChar w:fldCharType="end"/>
      </w:r>
      <w:r w:rsidR="00D0462D">
        <w:t>.</w:t>
      </w:r>
      <w:r w:rsidR="00000000">
        <w:fldChar w:fldCharType="begin"/>
      </w:r>
      <w:r w:rsidR="00000000">
        <w:instrText xml:space="preserve"> SEQ Figure \* ARABIC \s 1 </w:instrText>
      </w:r>
      <w:r w:rsidR="00000000">
        <w:fldChar w:fldCharType="separate"/>
      </w:r>
      <w:r w:rsidR="00B51130">
        <w:rPr>
          <w:noProof/>
        </w:rPr>
        <w:t>1</w:t>
      </w:r>
      <w:r w:rsidR="00000000">
        <w:rPr>
          <w:noProof/>
        </w:rPr>
        <w:fldChar w:fldCharType="end"/>
      </w:r>
      <w:r w:rsidRPr="00D13AF1">
        <w:t>:</w:t>
      </w:r>
      <w:r w:rsidR="00F04696" w:rsidRPr="00D13AF1">
        <w:t xml:space="preserve"> Areas of telemedicine-related requirements</w:t>
      </w:r>
    </w:p>
    <w:p w14:paraId="4D7CE4FB" w14:textId="77777777" w:rsidR="005E5307" w:rsidRPr="00D13AF1" w:rsidRDefault="005E5307" w:rsidP="00EC7E67">
      <w:pPr>
        <w:pStyle w:val="BodyEE"/>
        <w:keepNext/>
        <w:keepLines/>
      </w:pPr>
      <w:r w:rsidRPr="00D13AF1">
        <w:rPr>
          <w:noProof/>
          <w:lang w:eastAsia="en-GB"/>
        </w:rPr>
        <w:drawing>
          <wp:inline distT="0" distB="0" distL="0" distR="0" wp14:anchorId="0180C5AC" wp14:editId="6E08A6EB">
            <wp:extent cx="5400000" cy="27432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B694D32" w14:textId="55CA58C7" w:rsidR="005E5307" w:rsidRPr="00D13AF1" w:rsidRDefault="005E5307" w:rsidP="00EC7E67">
      <w:pPr>
        <w:pStyle w:val="Tablenote"/>
        <w:keepLines/>
      </w:pPr>
      <w:r w:rsidRPr="00D13AF1">
        <w:t>Note: Sample size: 20.</w:t>
      </w:r>
      <w:r w:rsidR="004B7771" w:rsidRPr="00D13AF1">
        <w:t xml:space="preserve"> </w:t>
      </w:r>
      <w:r w:rsidR="009640B6" w:rsidRPr="00D13AF1">
        <w:t xml:space="preserve">It </w:t>
      </w:r>
      <w:r w:rsidR="004B7771" w:rsidRPr="00D13AF1">
        <w:t xml:space="preserve">became </w:t>
      </w:r>
      <w:r w:rsidR="009640B6" w:rsidRPr="00D13AF1">
        <w:t xml:space="preserve">subsequently </w:t>
      </w:r>
      <w:r w:rsidR="004B7771" w:rsidRPr="00D13AF1">
        <w:t xml:space="preserve">apparent in </w:t>
      </w:r>
      <w:r w:rsidR="009640B6" w:rsidRPr="00D13AF1">
        <w:t xml:space="preserve">our </w:t>
      </w:r>
      <w:r w:rsidR="004B7771" w:rsidRPr="00D13AF1">
        <w:t>later research</w:t>
      </w:r>
      <w:r w:rsidR="009640B6" w:rsidRPr="00D13AF1">
        <w:t xml:space="preserve"> that</w:t>
      </w:r>
      <w:r w:rsidR="004B7771" w:rsidRPr="00D13AF1">
        <w:t xml:space="preserve"> respondents who reported ‘Licensing and/or registration’ as one of the areas in which they place telemedicine-related requirements were unlikely to mean a specific telemedicine-only licen</w:t>
      </w:r>
      <w:r w:rsidR="00FC62B7">
        <w:t>c</w:t>
      </w:r>
      <w:r w:rsidR="004B7771" w:rsidRPr="00D13AF1">
        <w:t>e/registration.</w:t>
      </w:r>
      <w:r w:rsidR="000577D1">
        <w:t xml:space="preserve"> Where this was intended, we discuss explicitly in the report. </w:t>
      </w:r>
      <w:r w:rsidR="004B7771" w:rsidRPr="00D13AF1">
        <w:t xml:space="preserve"> </w:t>
      </w:r>
    </w:p>
    <w:p w14:paraId="21C3531A" w14:textId="23EAB7B5" w:rsidR="005E5307" w:rsidRPr="00D13AF1" w:rsidRDefault="005E5307" w:rsidP="00EC7E67">
      <w:pPr>
        <w:pStyle w:val="Tablelastnote"/>
        <w:keepNext/>
        <w:keepLines/>
      </w:pPr>
      <w:r w:rsidRPr="00D13AF1">
        <w:t>Source: Online survey, Europe Economics</w:t>
      </w:r>
      <w:r w:rsidR="009640B6" w:rsidRPr="00D13AF1">
        <w:t>.</w:t>
      </w:r>
    </w:p>
    <w:p w14:paraId="5D57E16A" w14:textId="2ED15041" w:rsidR="005E5307" w:rsidRPr="00D13AF1" w:rsidRDefault="008D786D" w:rsidP="005E5307">
      <w:pPr>
        <w:pStyle w:val="BodyEE"/>
      </w:pPr>
      <w:r w:rsidRPr="00D13AF1">
        <w:t xml:space="preserve">Our survey also confirmed that </w:t>
      </w:r>
      <w:r w:rsidR="001624E6" w:rsidRPr="00D13AF1">
        <w:t xml:space="preserve">a majority </w:t>
      </w:r>
      <w:r w:rsidR="00CF69F4" w:rsidRPr="00D13AF1">
        <w:t xml:space="preserve">of the </w:t>
      </w:r>
      <w:r w:rsidR="001624E6" w:rsidRPr="00D13AF1">
        <w:t xml:space="preserve">jurisdictions with the core set of countries have </w:t>
      </w:r>
      <w:r w:rsidR="00317CF4" w:rsidRPr="00D13AF1">
        <w:t xml:space="preserve">some form of </w:t>
      </w:r>
      <w:r w:rsidR="001624E6" w:rsidRPr="00D13AF1">
        <w:t>formal regulations/policies regarding telemedicine (17 out of 20)</w:t>
      </w:r>
      <w:r w:rsidR="006E59AD" w:rsidRPr="00D13AF1">
        <w:t xml:space="preserve">. </w:t>
      </w:r>
      <w:r w:rsidR="00317CF4" w:rsidRPr="00D13AF1">
        <w:t xml:space="preserve">That said, as </w:t>
      </w:r>
      <w:r w:rsidR="00D4069D" w:rsidRPr="00D13AF1">
        <w:t>indicated in the overview of regulatory frameworks above</w:t>
      </w:r>
      <w:r w:rsidR="00317CF4" w:rsidRPr="00D13AF1">
        <w:t xml:space="preserve">, </w:t>
      </w:r>
      <w:r w:rsidR="00E67856" w:rsidRPr="00D13AF1">
        <w:t xml:space="preserve">many of these regulations and policies are likely to </w:t>
      </w:r>
      <w:r w:rsidR="00F10DB3">
        <w:t xml:space="preserve">be in the form of standards or guidelines / </w:t>
      </w:r>
      <w:r w:rsidR="00E67856" w:rsidRPr="00D13AF1">
        <w:t>codes of conduct rather than</w:t>
      </w:r>
      <w:r w:rsidR="000577D1">
        <w:t xml:space="preserve"> necessarily</w:t>
      </w:r>
      <w:r w:rsidR="00E67856" w:rsidRPr="00D13AF1">
        <w:t xml:space="preserve"> legally </w:t>
      </w:r>
      <w:r w:rsidR="00317CF4" w:rsidRPr="00D13AF1">
        <w:t>binding</w:t>
      </w:r>
      <w:r w:rsidR="00E67856" w:rsidRPr="00D13AF1">
        <w:t xml:space="preserve"> requirements</w:t>
      </w:r>
      <w:r w:rsidR="00D4069D" w:rsidRPr="00D13AF1">
        <w:t>.</w:t>
      </w:r>
      <w:r w:rsidR="00EC7E67">
        <w:t xml:space="preserve"> We discuss this further in section </w:t>
      </w:r>
      <w:r w:rsidR="00EC7E67">
        <w:fldChar w:fldCharType="begin"/>
      </w:r>
      <w:r w:rsidR="00EC7E67">
        <w:instrText xml:space="preserve"> REF _Ref499307802 \r \h </w:instrText>
      </w:r>
      <w:r w:rsidR="00EC7E67">
        <w:fldChar w:fldCharType="separate"/>
      </w:r>
      <w:r w:rsidR="00B51130">
        <w:t>4.4</w:t>
      </w:r>
      <w:r w:rsidR="00EC7E67">
        <w:fldChar w:fldCharType="end"/>
      </w:r>
      <w:r w:rsidR="00EC7E67">
        <w:t xml:space="preserve">. </w:t>
      </w:r>
    </w:p>
    <w:p w14:paraId="23A3539C" w14:textId="57B6EB18" w:rsidR="00B04E59" w:rsidRPr="00D13AF1" w:rsidRDefault="00B04E59" w:rsidP="00EC7E67">
      <w:pPr>
        <w:pStyle w:val="BodyEE"/>
        <w:keepNext/>
        <w:keepLines/>
        <w:rPr>
          <w:b/>
          <w:bCs/>
          <w:sz w:val="20"/>
        </w:rPr>
      </w:pPr>
      <w:r w:rsidRPr="00D13AF1">
        <w:rPr>
          <w:b/>
          <w:bCs/>
          <w:sz w:val="20"/>
        </w:rPr>
        <w:lastRenderedPageBreak/>
        <w:t xml:space="preserve">Figure </w:t>
      </w:r>
      <w:r w:rsidR="00D0462D">
        <w:rPr>
          <w:b/>
          <w:bCs/>
          <w:sz w:val="20"/>
        </w:rPr>
        <w:fldChar w:fldCharType="begin"/>
      </w:r>
      <w:r w:rsidR="00D0462D">
        <w:rPr>
          <w:b/>
          <w:bCs/>
          <w:sz w:val="20"/>
        </w:rPr>
        <w:instrText xml:space="preserve"> STYLEREF 1 \s </w:instrText>
      </w:r>
      <w:r w:rsidR="00D0462D">
        <w:rPr>
          <w:b/>
          <w:bCs/>
          <w:sz w:val="20"/>
        </w:rPr>
        <w:fldChar w:fldCharType="separate"/>
      </w:r>
      <w:r w:rsidR="00B51130">
        <w:rPr>
          <w:b/>
          <w:bCs/>
          <w:noProof/>
          <w:sz w:val="20"/>
        </w:rPr>
        <w:t>2</w:t>
      </w:r>
      <w:r w:rsidR="00D0462D">
        <w:rPr>
          <w:b/>
          <w:bCs/>
          <w:sz w:val="20"/>
        </w:rPr>
        <w:fldChar w:fldCharType="end"/>
      </w:r>
      <w:r w:rsidR="00D0462D">
        <w:rPr>
          <w:b/>
          <w:bCs/>
          <w:sz w:val="20"/>
        </w:rPr>
        <w:t>.</w:t>
      </w:r>
      <w:r w:rsidR="00D0462D">
        <w:rPr>
          <w:b/>
          <w:bCs/>
          <w:sz w:val="20"/>
        </w:rPr>
        <w:fldChar w:fldCharType="begin"/>
      </w:r>
      <w:r w:rsidR="00D0462D">
        <w:rPr>
          <w:b/>
          <w:bCs/>
          <w:sz w:val="20"/>
        </w:rPr>
        <w:instrText xml:space="preserve"> SEQ Figure \* ARABIC \s 1 </w:instrText>
      </w:r>
      <w:r w:rsidR="00D0462D">
        <w:rPr>
          <w:b/>
          <w:bCs/>
          <w:sz w:val="20"/>
        </w:rPr>
        <w:fldChar w:fldCharType="separate"/>
      </w:r>
      <w:r w:rsidR="00B51130">
        <w:rPr>
          <w:b/>
          <w:bCs/>
          <w:noProof/>
          <w:sz w:val="20"/>
        </w:rPr>
        <w:t>2</w:t>
      </w:r>
      <w:r w:rsidR="00D0462D">
        <w:rPr>
          <w:b/>
          <w:bCs/>
          <w:sz w:val="20"/>
        </w:rPr>
        <w:fldChar w:fldCharType="end"/>
      </w:r>
      <w:r w:rsidRPr="00D13AF1">
        <w:rPr>
          <w:b/>
          <w:bCs/>
          <w:sz w:val="20"/>
        </w:rPr>
        <w:t>:</w:t>
      </w:r>
      <w:r w:rsidR="00D4069D" w:rsidRPr="00D13AF1">
        <w:rPr>
          <w:b/>
          <w:bCs/>
          <w:sz w:val="20"/>
        </w:rPr>
        <w:t xml:space="preserve"> Existence and type of telemedicine regulations or policies</w:t>
      </w:r>
    </w:p>
    <w:p w14:paraId="42725E4C" w14:textId="77777777" w:rsidR="005E5307" w:rsidRPr="00D13AF1" w:rsidRDefault="005E5307" w:rsidP="00EC7E67">
      <w:pPr>
        <w:pStyle w:val="BodyEE"/>
        <w:keepNext/>
        <w:keepLines/>
      </w:pPr>
      <w:r w:rsidRPr="00D13AF1">
        <w:rPr>
          <w:noProof/>
          <w:lang w:eastAsia="en-GB"/>
        </w:rPr>
        <w:drawing>
          <wp:inline distT="0" distB="0" distL="0" distR="0" wp14:anchorId="68BBB064" wp14:editId="6BBD1A15">
            <wp:extent cx="5400000" cy="27432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89865D9" w14:textId="0280BDB0" w:rsidR="005E5307" w:rsidRPr="00D13AF1" w:rsidRDefault="005E5307" w:rsidP="00EC7E67">
      <w:pPr>
        <w:pStyle w:val="Tablenote"/>
        <w:keepLines/>
      </w:pPr>
      <w:r w:rsidRPr="00D13AF1">
        <w:t>Note: Sample size: 20.</w:t>
      </w:r>
      <w:r w:rsidR="006E59AD" w:rsidRPr="00D13AF1">
        <w:t xml:space="preserve"> </w:t>
      </w:r>
    </w:p>
    <w:p w14:paraId="4988004F" w14:textId="7E9655F2" w:rsidR="005E5307" w:rsidRDefault="005E5307" w:rsidP="00EC7E67">
      <w:pPr>
        <w:pStyle w:val="Tablelastnote"/>
        <w:keepNext/>
        <w:keepLines/>
      </w:pPr>
      <w:r w:rsidRPr="00D13AF1">
        <w:t>Source: Online survey, Europe Economics</w:t>
      </w:r>
      <w:r w:rsidR="009640B6" w:rsidRPr="00D13AF1">
        <w:t>.</w:t>
      </w:r>
    </w:p>
    <w:p w14:paraId="5CBEC015" w14:textId="7112CBB4" w:rsidR="00D0462D" w:rsidRDefault="003F628E" w:rsidP="003F628E">
      <w:pPr>
        <w:pStyle w:val="BodyEE"/>
      </w:pPr>
      <w:r>
        <w:t xml:space="preserve">The survey results also suggest that those jurisdictions which do not have formal telemedicine regulation are planning to develop such regulation in the near future. Moreover, some of those regulators which already have telemedicine policies in place are also looking into updating or expanding them (see </w:t>
      </w:r>
      <w:r>
        <w:fldChar w:fldCharType="begin"/>
      </w:r>
      <w:r>
        <w:instrText xml:space="preserve"> REF _Ref499634392 \h </w:instrText>
      </w:r>
      <w:r>
        <w:fldChar w:fldCharType="separate"/>
      </w:r>
      <w:r w:rsidR="00B51130">
        <w:t xml:space="preserve">Figure </w:t>
      </w:r>
      <w:r w:rsidR="00B51130">
        <w:rPr>
          <w:noProof/>
        </w:rPr>
        <w:t>2</w:t>
      </w:r>
      <w:r w:rsidR="00B51130">
        <w:t>.</w:t>
      </w:r>
      <w:r w:rsidR="00B51130">
        <w:rPr>
          <w:noProof/>
        </w:rPr>
        <w:t>3</w:t>
      </w:r>
      <w:r>
        <w:fldChar w:fldCharType="end"/>
      </w:r>
      <w:r>
        <w:t xml:space="preserve"> below).</w:t>
      </w:r>
    </w:p>
    <w:p w14:paraId="458BB294" w14:textId="04611893" w:rsidR="00D0462D" w:rsidRDefault="00D0462D" w:rsidP="00EC7E67">
      <w:pPr>
        <w:pStyle w:val="Caption"/>
        <w:keepLines/>
      </w:pPr>
      <w:bookmarkStart w:id="32" w:name="_Ref499634392"/>
      <w:r>
        <w:t xml:space="preserve">Figure </w:t>
      </w:r>
      <w:r w:rsidR="00000000">
        <w:fldChar w:fldCharType="begin"/>
      </w:r>
      <w:r w:rsidR="00000000">
        <w:instrText xml:space="preserve"> STYLEREF 1 \s </w:instrText>
      </w:r>
      <w:r w:rsidR="00000000">
        <w:fldChar w:fldCharType="separate"/>
      </w:r>
      <w:r w:rsidR="00B51130">
        <w:rPr>
          <w:noProof/>
        </w:rPr>
        <w:t>2</w:t>
      </w:r>
      <w:r w:rsidR="00000000">
        <w:rPr>
          <w:noProof/>
        </w:rPr>
        <w:fldChar w:fldCharType="end"/>
      </w:r>
      <w:r>
        <w:t>.</w:t>
      </w:r>
      <w:r w:rsidR="00000000">
        <w:fldChar w:fldCharType="begin"/>
      </w:r>
      <w:r w:rsidR="00000000">
        <w:instrText xml:space="preserve"> SEQ Figure \* ARABIC \s 1 </w:instrText>
      </w:r>
      <w:r w:rsidR="00000000">
        <w:fldChar w:fldCharType="separate"/>
      </w:r>
      <w:r w:rsidR="00B51130">
        <w:rPr>
          <w:noProof/>
        </w:rPr>
        <w:t>3</w:t>
      </w:r>
      <w:r w:rsidR="00000000">
        <w:rPr>
          <w:noProof/>
        </w:rPr>
        <w:fldChar w:fldCharType="end"/>
      </w:r>
      <w:bookmarkEnd w:id="32"/>
      <w:r>
        <w:t>: Plans to develop or update existing telemedicine policy</w:t>
      </w:r>
    </w:p>
    <w:p w14:paraId="1CDBC17E" w14:textId="1370A31C" w:rsidR="00D0462D" w:rsidRPr="00D13AF1" w:rsidRDefault="00D0462D" w:rsidP="00EC7E67">
      <w:pPr>
        <w:pStyle w:val="Tablelastnote"/>
        <w:keepNext/>
        <w:keepLines/>
      </w:pPr>
      <w:r>
        <w:rPr>
          <w:noProof/>
          <w:lang w:eastAsia="en-GB"/>
        </w:rPr>
        <w:drawing>
          <wp:inline distT="0" distB="0" distL="0" distR="0" wp14:anchorId="632E1E38" wp14:editId="4D4F84A1">
            <wp:extent cx="5400000" cy="27432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735D480" w14:textId="77777777" w:rsidR="00D0462D" w:rsidRPr="00D13AF1" w:rsidRDefault="00D0462D" w:rsidP="00EC7E67">
      <w:pPr>
        <w:pStyle w:val="Tablenote"/>
        <w:keepLines/>
      </w:pPr>
      <w:r w:rsidRPr="00D13AF1">
        <w:t xml:space="preserve">Note: Sample size: 20. </w:t>
      </w:r>
    </w:p>
    <w:p w14:paraId="603909B2" w14:textId="4190350A" w:rsidR="00D0462D" w:rsidRDefault="00D0462D" w:rsidP="00EC7E67">
      <w:pPr>
        <w:pStyle w:val="Tablelastnote"/>
        <w:keepNext/>
        <w:keepLines/>
      </w:pPr>
      <w:r w:rsidRPr="00D13AF1">
        <w:t>Source: Online survey, Europe Economics.</w:t>
      </w:r>
    </w:p>
    <w:p w14:paraId="710E9F7F" w14:textId="6F531482" w:rsidR="005C2B38" w:rsidRPr="00D13AF1" w:rsidRDefault="005C2B38" w:rsidP="005C2B38">
      <w:pPr>
        <w:pStyle w:val="BodyEE"/>
      </w:pPr>
      <w:r w:rsidRPr="00D13AF1">
        <w:t>In the remainder of this report we focus on presenting the regulatory approaches to telemedicine at a jurisdiction level. This means that in most instances the results could be presented on a national level. The exceptions are the US</w:t>
      </w:r>
      <w:r w:rsidR="00CF69F4" w:rsidRPr="00D13AF1">
        <w:t>A</w:t>
      </w:r>
      <w:r w:rsidRPr="00D13AF1">
        <w:t xml:space="preserve"> and Canada, where the relevant jurisdictions are states/provinces or territories.</w:t>
      </w:r>
      <w:r w:rsidRPr="00D13AF1">
        <w:rPr>
          <w:rStyle w:val="FootnoteReference"/>
        </w:rPr>
        <w:footnoteReference w:id="32"/>
      </w:r>
      <w:r w:rsidRPr="00D13AF1">
        <w:t xml:space="preserve"> While many of the state-/territory-level regulators adopt solutions which are fairly consistent with solutions adopted by other states/territories</w:t>
      </w:r>
      <w:r w:rsidR="00CF69F4" w:rsidRPr="00D13AF1">
        <w:t xml:space="preserve"> in each country</w:t>
      </w:r>
      <w:r w:rsidRPr="00D13AF1">
        <w:t xml:space="preserve">, there are </w:t>
      </w:r>
      <w:r w:rsidR="00CF69F4" w:rsidRPr="00D13AF1">
        <w:t xml:space="preserve">also </w:t>
      </w:r>
      <w:r w:rsidRPr="00D13AF1">
        <w:t xml:space="preserve">differences as the state-/territory-level </w:t>
      </w:r>
      <w:r w:rsidRPr="00D13AF1">
        <w:lastRenderedPageBreak/>
        <w:t>regulators have full autonomy in developing telemedicine policies and regulations. Therefore, the findings in the remainder of this report will focus on the following 17 jurisdictions:</w:t>
      </w:r>
    </w:p>
    <w:p w14:paraId="5909AEDD" w14:textId="77777777" w:rsidR="005C2B38" w:rsidRPr="00D13AF1" w:rsidRDefault="005C2B38" w:rsidP="005C2B38">
      <w:pPr>
        <w:pStyle w:val="Bulletlevel1"/>
      </w:pPr>
      <w:r w:rsidRPr="00D13AF1">
        <w:t>Australia;</w:t>
      </w:r>
    </w:p>
    <w:p w14:paraId="63864B7F" w14:textId="77777777" w:rsidR="005C2B38" w:rsidRPr="00D13AF1" w:rsidRDefault="005C2B38" w:rsidP="005C2B38">
      <w:pPr>
        <w:pStyle w:val="Bulletlevel1"/>
      </w:pPr>
      <w:r w:rsidRPr="00D13AF1">
        <w:t>Denmark;</w:t>
      </w:r>
    </w:p>
    <w:p w14:paraId="320B209A" w14:textId="77777777" w:rsidR="005C2B38" w:rsidRPr="00D13AF1" w:rsidRDefault="005C2B38" w:rsidP="005C2B38">
      <w:pPr>
        <w:pStyle w:val="Bulletlevel1"/>
      </w:pPr>
      <w:r w:rsidRPr="00D13AF1">
        <w:t>France;</w:t>
      </w:r>
    </w:p>
    <w:p w14:paraId="6FEE8923" w14:textId="77777777" w:rsidR="005C2B38" w:rsidRPr="00D13AF1" w:rsidRDefault="005C2B38" w:rsidP="005C2B38">
      <w:pPr>
        <w:pStyle w:val="Bulletlevel1"/>
      </w:pPr>
      <w:r w:rsidRPr="00D13AF1">
        <w:t>New Zealand;</w:t>
      </w:r>
    </w:p>
    <w:p w14:paraId="2D0FF1B6" w14:textId="77777777" w:rsidR="005C2B38" w:rsidRPr="00D13AF1" w:rsidRDefault="005C2B38" w:rsidP="005C2B38">
      <w:pPr>
        <w:pStyle w:val="Bulletlevel1"/>
      </w:pPr>
      <w:r w:rsidRPr="00D13AF1">
        <w:t>Portugal;</w:t>
      </w:r>
    </w:p>
    <w:p w14:paraId="57B89F78" w14:textId="77777777" w:rsidR="005C2B38" w:rsidRPr="00D13AF1" w:rsidRDefault="005C2B38" w:rsidP="005C2B38">
      <w:pPr>
        <w:pStyle w:val="Bulletlevel1"/>
      </w:pPr>
      <w:r w:rsidRPr="00D13AF1">
        <w:t>Singapore;</w:t>
      </w:r>
    </w:p>
    <w:p w14:paraId="60CA9BF4" w14:textId="77777777" w:rsidR="005C2B38" w:rsidRPr="00D13AF1" w:rsidRDefault="005C2B38" w:rsidP="005C2B38">
      <w:pPr>
        <w:pStyle w:val="Bulletlevel1"/>
      </w:pPr>
      <w:r w:rsidRPr="00D13AF1">
        <w:t>Alberta (Canada);</w:t>
      </w:r>
    </w:p>
    <w:p w14:paraId="57CDC5EB" w14:textId="77777777" w:rsidR="005C2B38" w:rsidRPr="00D13AF1" w:rsidRDefault="005C2B38" w:rsidP="005C2B38">
      <w:pPr>
        <w:pStyle w:val="Bulletlevel1"/>
      </w:pPr>
      <w:r w:rsidRPr="00D13AF1">
        <w:t>British Columbia (Canada);</w:t>
      </w:r>
    </w:p>
    <w:p w14:paraId="0C2E9FE4" w14:textId="14F32304" w:rsidR="005C2B38" w:rsidRPr="00D13AF1" w:rsidRDefault="005C2B38" w:rsidP="005C2B38">
      <w:pPr>
        <w:pStyle w:val="Bulletlevel1"/>
      </w:pPr>
      <w:r w:rsidRPr="00D13AF1">
        <w:t>Newfoun</w:t>
      </w:r>
      <w:r w:rsidR="009640B6" w:rsidRPr="00D13AF1">
        <w:t>d</w:t>
      </w:r>
      <w:r w:rsidRPr="00D13AF1">
        <w:t>land and Labrador (Canada);</w:t>
      </w:r>
    </w:p>
    <w:p w14:paraId="73B8A74C" w14:textId="77777777" w:rsidR="005C2B38" w:rsidRPr="00D13AF1" w:rsidRDefault="005C2B38" w:rsidP="005C2B38">
      <w:pPr>
        <w:pStyle w:val="Bulletlevel1"/>
      </w:pPr>
      <w:r w:rsidRPr="00D13AF1">
        <w:t>Ontario (Canada);</w:t>
      </w:r>
    </w:p>
    <w:p w14:paraId="0DF6F4AA" w14:textId="77777777" w:rsidR="005C2B38" w:rsidRPr="00D13AF1" w:rsidRDefault="005C2B38" w:rsidP="005C2B38">
      <w:pPr>
        <w:pStyle w:val="Bulletlevel1"/>
      </w:pPr>
      <w:r w:rsidRPr="00D13AF1">
        <w:t>Saskatchewan (Canada);</w:t>
      </w:r>
    </w:p>
    <w:p w14:paraId="5614E085" w14:textId="19962D17" w:rsidR="005C2B38" w:rsidRPr="00D13AF1" w:rsidRDefault="005C2B38" w:rsidP="005C2B38">
      <w:pPr>
        <w:pStyle w:val="Bulletlevel1"/>
      </w:pPr>
      <w:r w:rsidRPr="00D13AF1">
        <w:t>California (</w:t>
      </w:r>
      <w:r w:rsidR="00996726">
        <w:t>USA</w:t>
      </w:r>
      <w:r w:rsidRPr="00D13AF1">
        <w:t>);</w:t>
      </w:r>
    </w:p>
    <w:p w14:paraId="79F62215" w14:textId="314C9ADB" w:rsidR="005C2B38" w:rsidRPr="00D13AF1" w:rsidRDefault="005C2B38" w:rsidP="005C2B38">
      <w:pPr>
        <w:pStyle w:val="Bulletlevel1"/>
      </w:pPr>
      <w:r w:rsidRPr="00D13AF1">
        <w:t>Maine (</w:t>
      </w:r>
      <w:r w:rsidR="00996726">
        <w:t>USA</w:t>
      </w:r>
      <w:r w:rsidRPr="00D13AF1">
        <w:t>);</w:t>
      </w:r>
    </w:p>
    <w:p w14:paraId="728682AD" w14:textId="62DD92AE" w:rsidR="005C2B38" w:rsidRPr="00D13AF1" w:rsidRDefault="005C2B38" w:rsidP="005C2B38">
      <w:pPr>
        <w:pStyle w:val="Bulletlevel1"/>
      </w:pPr>
      <w:r w:rsidRPr="00D13AF1">
        <w:t>North Carolina (</w:t>
      </w:r>
      <w:r w:rsidR="00996726">
        <w:t>USA</w:t>
      </w:r>
      <w:r w:rsidRPr="00D13AF1">
        <w:t>);</w:t>
      </w:r>
    </w:p>
    <w:p w14:paraId="2D501B36" w14:textId="69511638" w:rsidR="005C2B38" w:rsidRPr="00D13AF1" w:rsidRDefault="005C2B38" w:rsidP="005C2B38">
      <w:pPr>
        <w:pStyle w:val="Bulletlevel1"/>
      </w:pPr>
      <w:r w:rsidRPr="00D13AF1">
        <w:t>Oklahoma (</w:t>
      </w:r>
      <w:r w:rsidR="00996726">
        <w:t>USA</w:t>
      </w:r>
      <w:r w:rsidRPr="00D13AF1">
        <w:t>);</w:t>
      </w:r>
    </w:p>
    <w:p w14:paraId="7530C3E6" w14:textId="66CE4998" w:rsidR="005C2B38" w:rsidRPr="00D13AF1" w:rsidRDefault="005C2B38" w:rsidP="00244FF6">
      <w:pPr>
        <w:pStyle w:val="Bulletlevel1"/>
        <w:keepNext/>
      </w:pPr>
      <w:r w:rsidRPr="00D13AF1">
        <w:t>Oregon (</w:t>
      </w:r>
      <w:r w:rsidR="00996726">
        <w:t>USA</w:t>
      </w:r>
      <w:r w:rsidRPr="00D13AF1">
        <w:t>);</w:t>
      </w:r>
      <w:r w:rsidR="00CF69F4" w:rsidRPr="00D13AF1">
        <w:t xml:space="preserve"> and</w:t>
      </w:r>
    </w:p>
    <w:p w14:paraId="5320491F" w14:textId="12EA319A" w:rsidR="00F341B4" w:rsidRPr="00D13AF1" w:rsidRDefault="005C2B38" w:rsidP="00F341B4">
      <w:pPr>
        <w:pStyle w:val="Bulletlevel1"/>
      </w:pPr>
      <w:r w:rsidRPr="00D13AF1">
        <w:t>Washington (</w:t>
      </w:r>
      <w:r w:rsidR="00996726">
        <w:t>USA</w:t>
      </w:r>
      <w:r w:rsidRPr="00D13AF1">
        <w:t>).</w:t>
      </w:r>
    </w:p>
    <w:p w14:paraId="082410B6" w14:textId="77777777" w:rsidR="005C2B38" w:rsidRPr="003F01D3" w:rsidRDefault="005C2B38" w:rsidP="003F01D3">
      <w:pPr>
        <w:pStyle w:val="Heading2Pink"/>
        <w:rPr>
          <w:color w:val="683493" w:themeColor="accent1"/>
        </w:rPr>
      </w:pPr>
      <w:bookmarkStart w:id="33" w:name="_Toc499211321"/>
      <w:bookmarkStart w:id="34" w:name="_Ref499292327"/>
      <w:bookmarkStart w:id="35" w:name="_Ref499307492"/>
      <w:bookmarkStart w:id="36" w:name="_Toc504484109"/>
      <w:r w:rsidRPr="003F01D3">
        <w:rPr>
          <w:color w:val="683493" w:themeColor="accent1"/>
        </w:rPr>
        <w:t>Regulating telemedicine in the UK</w:t>
      </w:r>
      <w:bookmarkEnd w:id="33"/>
      <w:bookmarkEnd w:id="34"/>
      <w:bookmarkEnd w:id="35"/>
      <w:bookmarkEnd w:id="36"/>
    </w:p>
    <w:p w14:paraId="14854258" w14:textId="6146A67A" w:rsidR="008E350B" w:rsidRPr="00D13AF1" w:rsidRDefault="008E350B" w:rsidP="008E350B">
      <w:pPr>
        <w:pStyle w:val="BodyEE"/>
      </w:pPr>
      <w:r w:rsidRPr="00D13AF1">
        <w:t>In order to understand the context in which regulating telemedicine in the UK takes place, we provide a short description of the key characteristics of the UK regulatory environment and healthcare system</w:t>
      </w:r>
      <w:r w:rsidR="00CF69F4" w:rsidRPr="00D13AF1">
        <w:t xml:space="preserve"> below</w:t>
      </w:r>
      <w:r w:rsidRPr="00D13AF1">
        <w:t xml:space="preserve">. </w:t>
      </w:r>
      <w:proofErr w:type="gramStart"/>
      <w:r w:rsidRPr="00D13AF1">
        <w:t>In order to</w:t>
      </w:r>
      <w:proofErr w:type="gramEnd"/>
      <w:r w:rsidRPr="00D13AF1">
        <w:t xml:space="preserve"> facilitate comparison, we use the same dimensions along which we summarised the regulatory environment in </w:t>
      </w:r>
      <w:r w:rsidR="00CF69F4" w:rsidRPr="00D13AF1">
        <w:t xml:space="preserve">the </w:t>
      </w:r>
      <w:r w:rsidRPr="00D13AF1">
        <w:t xml:space="preserve">other core countries (see section </w:t>
      </w:r>
      <w:r w:rsidRPr="00D13AF1">
        <w:fldChar w:fldCharType="begin"/>
      </w:r>
      <w:r w:rsidRPr="00D13AF1">
        <w:instrText xml:space="preserve"> REF _Ref499295774 \r \h </w:instrText>
      </w:r>
      <w:r w:rsidRPr="00D13AF1">
        <w:fldChar w:fldCharType="separate"/>
      </w:r>
      <w:r w:rsidR="00B51130">
        <w:t>2.2</w:t>
      </w:r>
      <w:r w:rsidRPr="00D13AF1">
        <w:fldChar w:fldCharType="end"/>
      </w:r>
      <w:r w:rsidRPr="00D13AF1">
        <w:t xml:space="preserve"> above). </w:t>
      </w:r>
    </w:p>
    <w:p w14:paraId="574EEC47" w14:textId="0D6F6DC7" w:rsidR="008E350B" w:rsidRPr="00D13AF1" w:rsidRDefault="008E350B" w:rsidP="008E350B">
      <w:pPr>
        <w:pStyle w:val="BodyEE"/>
      </w:pPr>
      <w:r w:rsidRPr="00D13AF1">
        <w:t xml:space="preserve">We analyse the views </w:t>
      </w:r>
      <w:r w:rsidR="00CF69F4" w:rsidRPr="00D13AF1">
        <w:t xml:space="preserve">that </w:t>
      </w:r>
      <w:r w:rsidRPr="00D13AF1">
        <w:t>UK regulators (other than the GMC) and other bodies have on regulating telemedicine, and in particular in relation to the key research questions this research focuses on.</w:t>
      </w:r>
    </w:p>
    <w:p w14:paraId="09CB567C" w14:textId="77777777" w:rsidR="008E350B" w:rsidRPr="00D13AF1" w:rsidRDefault="008E350B" w:rsidP="00C77B38">
      <w:pPr>
        <w:pStyle w:val="Heading3"/>
      </w:pPr>
      <w:r w:rsidRPr="00D13AF1">
        <w:t>UK regulatory framework</w:t>
      </w:r>
    </w:p>
    <w:p w14:paraId="58C17BBB" w14:textId="77777777" w:rsidR="008E350B" w:rsidRPr="00D13AF1" w:rsidRDefault="008E350B" w:rsidP="008E350B">
      <w:pPr>
        <w:pStyle w:val="BodyEE"/>
      </w:pPr>
      <w:r w:rsidRPr="00D13AF1">
        <w:t xml:space="preserve">The UK National Healthcare System (NHS) is largely financed with public funds. A small number of private healthcare providers operate under the supervision of relevant system regulators. Different organisations are responsible for regulating healthcare providers in the four UK countries: </w:t>
      </w:r>
    </w:p>
    <w:p w14:paraId="11B4A6FA" w14:textId="5C1031D2" w:rsidR="008E350B" w:rsidRPr="00D13AF1" w:rsidRDefault="008E350B" w:rsidP="00BD68A1">
      <w:pPr>
        <w:pStyle w:val="Bulletlevel1"/>
      </w:pPr>
      <w:r w:rsidRPr="00D13AF1">
        <w:t xml:space="preserve">Care Quality Commission </w:t>
      </w:r>
      <w:r w:rsidR="008643B7">
        <w:t xml:space="preserve">(CQC) </w:t>
      </w:r>
      <w:r w:rsidRPr="00D13AF1">
        <w:t>in England,</w:t>
      </w:r>
    </w:p>
    <w:p w14:paraId="5A7689D4" w14:textId="74542B30" w:rsidR="008E350B" w:rsidRPr="00D13AF1" w:rsidRDefault="008E350B" w:rsidP="00BD68A1">
      <w:pPr>
        <w:pStyle w:val="Bulletlevel1"/>
      </w:pPr>
      <w:r w:rsidRPr="00D13AF1">
        <w:t>Healthcare Improvement Scotland</w:t>
      </w:r>
      <w:r w:rsidR="008643B7">
        <w:t xml:space="preserve"> (HIS)</w:t>
      </w:r>
      <w:r w:rsidRPr="00D13AF1">
        <w:t xml:space="preserve">, </w:t>
      </w:r>
    </w:p>
    <w:p w14:paraId="10926F06" w14:textId="5C09D1D6" w:rsidR="008E350B" w:rsidRPr="00D13AF1" w:rsidRDefault="008E350B" w:rsidP="00BD68A1">
      <w:pPr>
        <w:pStyle w:val="Bulletlevel1"/>
      </w:pPr>
      <w:r w:rsidRPr="00D13AF1">
        <w:rPr>
          <w:iCs/>
        </w:rPr>
        <w:t>Healthcare Inspectorate Wales</w:t>
      </w:r>
      <w:r w:rsidR="008643B7">
        <w:rPr>
          <w:iCs/>
        </w:rPr>
        <w:t xml:space="preserve"> (HIW)</w:t>
      </w:r>
      <w:r w:rsidRPr="00D13AF1">
        <w:rPr>
          <w:iCs/>
        </w:rPr>
        <w:t>, and</w:t>
      </w:r>
    </w:p>
    <w:p w14:paraId="5CB9E6F6" w14:textId="1795DC17" w:rsidR="008E350B" w:rsidRPr="00D13AF1" w:rsidRDefault="008E350B" w:rsidP="00BD68A1">
      <w:pPr>
        <w:pStyle w:val="Bulletlevel1"/>
      </w:pPr>
      <w:r w:rsidRPr="00D13AF1">
        <w:t>Regulation and Quality Improvement Authority in Northern Ireland</w:t>
      </w:r>
      <w:r w:rsidR="008643B7">
        <w:t xml:space="preserve"> (RQIA)</w:t>
      </w:r>
      <w:r w:rsidRPr="00D13AF1">
        <w:t>.</w:t>
      </w:r>
    </w:p>
    <w:p w14:paraId="78E56331" w14:textId="5FB09FAE" w:rsidR="004B2847" w:rsidRPr="00D13AF1" w:rsidRDefault="00FF15E4" w:rsidP="008E350B">
      <w:pPr>
        <w:pStyle w:val="BodyEE"/>
      </w:pPr>
      <w:r>
        <w:t>With respect to telemedicine, t</w:t>
      </w:r>
      <w:r w:rsidR="008E350B" w:rsidRPr="00D13AF1">
        <w:t xml:space="preserve">he CQC registers telehealth providers under the regulated activity of ‘transport services, triage and medical advice provided remotely’. Remote medical advice constitutes a regulated activity when it meets certain criteria. Being a </w:t>
      </w:r>
      <w:r w:rsidR="00CF69F4" w:rsidRPr="00D13AF1">
        <w:t xml:space="preserve">regulator of </w:t>
      </w:r>
      <w:r w:rsidR="008E350B" w:rsidRPr="00D13AF1">
        <w:t>healthcare provider</w:t>
      </w:r>
      <w:r w:rsidR="00CF69F4" w:rsidRPr="00D13AF1">
        <w:t>s</w:t>
      </w:r>
      <w:r w:rsidR="008E350B" w:rsidRPr="00D13AF1">
        <w:t>, the CQC does not provide specific requirements for doctors.</w:t>
      </w:r>
      <w:r w:rsidR="000F633E">
        <w:t xml:space="preserve"> </w:t>
      </w:r>
      <w:r w:rsidR="004B2847">
        <w:t xml:space="preserve">Other </w:t>
      </w:r>
      <w:r w:rsidR="000F633E">
        <w:t xml:space="preserve">national </w:t>
      </w:r>
      <w:r w:rsidR="004B2847">
        <w:t xml:space="preserve">regulators seem to have no specific </w:t>
      </w:r>
      <w:r w:rsidR="000F633E">
        <w:t xml:space="preserve">telemedicine </w:t>
      </w:r>
      <w:r w:rsidR="004B2847">
        <w:t>polic</w:t>
      </w:r>
      <w:r w:rsidR="000F633E">
        <w:t xml:space="preserve">ies for healthcare providers (although see on the joint statements below). </w:t>
      </w:r>
    </w:p>
    <w:p w14:paraId="03F7F518" w14:textId="765D71D0" w:rsidR="008E350B" w:rsidRPr="00D13AF1" w:rsidRDefault="008E350B" w:rsidP="008E350B">
      <w:pPr>
        <w:pStyle w:val="BodyEE"/>
      </w:pPr>
      <w:r w:rsidRPr="00D13AF1">
        <w:t>The GMC regulat</w:t>
      </w:r>
      <w:r w:rsidR="00CF69F4" w:rsidRPr="00D13AF1">
        <w:t>es</w:t>
      </w:r>
      <w:r w:rsidRPr="00D13AF1">
        <w:t xml:space="preserve"> doctors across the whole of UK. The GMC is responsible for</w:t>
      </w:r>
      <w:r w:rsidR="00EC7E67">
        <w:t xml:space="preserve"> registering </w:t>
      </w:r>
      <w:r w:rsidR="00C34C38">
        <w:t xml:space="preserve">UK </w:t>
      </w:r>
      <w:r w:rsidR="00EC7E67">
        <w:t>doctors and licensing those who wish to practise medicine</w:t>
      </w:r>
      <w:r w:rsidR="00C34C38">
        <w:t>, but i</w:t>
      </w:r>
      <w:r w:rsidR="0059229F">
        <w:t xml:space="preserve">t cannot </w:t>
      </w:r>
      <w:r w:rsidR="003B410F">
        <w:t>require</w:t>
      </w:r>
      <w:r w:rsidR="003B410F" w:rsidRPr="00D13AF1">
        <w:t xml:space="preserve"> </w:t>
      </w:r>
      <w:r w:rsidRPr="00D13AF1">
        <w:t>doctors outside the UK to register with the GMC, even if they provide remote medical service to a patient</w:t>
      </w:r>
      <w:r w:rsidR="003B410F">
        <w:t xml:space="preserve"> in the UK</w:t>
      </w:r>
      <w:r w:rsidRPr="00D13AF1">
        <w:t>.</w:t>
      </w:r>
    </w:p>
    <w:p w14:paraId="5A824B78" w14:textId="2C6462E0" w:rsidR="008E350B" w:rsidRPr="00D13AF1" w:rsidRDefault="008E350B" w:rsidP="008E350B">
      <w:pPr>
        <w:pStyle w:val="BodyEE"/>
      </w:pPr>
      <w:r w:rsidRPr="00D13AF1">
        <w:lastRenderedPageBreak/>
        <w:t>The GMC and the system regulators in Scotland, Wales and Northern Ireland published joint statements on telemedicine in December 2009.</w:t>
      </w:r>
      <w:r w:rsidR="0059139F">
        <w:rPr>
          <w:rStyle w:val="FootnoteReference"/>
        </w:rPr>
        <w:footnoteReference w:id="33"/>
      </w:r>
      <w:r w:rsidRPr="00D13AF1">
        <w:t xml:space="preserve"> The statements </w:t>
      </w:r>
      <w:r w:rsidR="000F633E">
        <w:t xml:space="preserve">are relatively short and </w:t>
      </w:r>
      <w:r w:rsidRPr="00D13AF1">
        <w:t xml:space="preserve">do not represent statutorily binding regulation for doctors. </w:t>
      </w:r>
    </w:p>
    <w:p w14:paraId="53962BCF" w14:textId="77777777" w:rsidR="008E350B" w:rsidRPr="00D13AF1" w:rsidRDefault="008E350B" w:rsidP="00C77B38">
      <w:pPr>
        <w:pStyle w:val="Heading3"/>
      </w:pPr>
      <w:r w:rsidRPr="00D13AF1">
        <w:t>Regulatory approaches to telemedicine in the UK</w:t>
      </w:r>
    </w:p>
    <w:p w14:paraId="431B8FA6" w14:textId="77777777" w:rsidR="008E350B" w:rsidRPr="00D13AF1" w:rsidRDefault="008E350B" w:rsidP="008E350B">
      <w:pPr>
        <w:pStyle w:val="BodyEE"/>
      </w:pPr>
      <w:r w:rsidRPr="00D13AF1">
        <w:t>As part of our initial desk research, we explored whether other UK regulators and bodies had any public views, policies or statements regarding telemedicine in general, and our research dimensions in particular. Our research covered a number of healthcare professional regulators,</w:t>
      </w:r>
      <w:r w:rsidRPr="00D13AF1">
        <w:rPr>
          <w:vertAlign w:val="superscript"/>
        </w:rPr>
        <w:footnoteReference w:id="34"/>
      </w:r>
      <w:r w:rsidRPr="00D13AF1">
        <w:t xml:space="preserve"> systems regulators,</w:t>
      </w:r>
      <w:r w:rsidRPr="00D13AF1">
        <w:rPr>
          <w:vertAlign w:val="superscript"/>
        </w:rPr>
        <w:footnoteReference w:id="35"/>
      </w:r>
      <w:r w:rsidRPr="00D13AF1">
        <w:t xml:space="preserve"> and some professional associations (most notably the British Medical Association). In many cases, we did not find any relevant mention of telemedicine on the websites or published documents of those organisations, suggesting that telemedicine is not an area they actively regulate or distinguish from other healthcare areas. In other cases, we were able to find documents or sites that mentioned telemedicine, perhaps defined it and discussed some examples, risks, or best practices, but none that could be considered to actually regulate telemedicine or have material implications for developing telemedicine regulation for individual doctors.</w:t>
      </w:r>
    </w:p>
    <w:p w14:paraId="136298EB" w14:textId="795196BF" w:rsidR="008E350B" w:rsidRPr="00D13AF1" w:rsidRDefault="008E350B" w:rsidP="008E350B">
      <w:pPr>
        <w:pStyle w:val="BodyEE"/>
      </w:pPr>
      <w:r w:rsidRPr="00D13AF1">
        <w:t xml:space="preserve">Nevertheless, we further explored the views among some of the UK organisations. In particular, we conducted interviews with the CQC, the </w:t>
      </w:r>
      <w:r w:rsidR="00322009">
        <w:rPr>
          <w:iCs/>
        </w:rPr>
        <w:t>HIW</w:t>
      </w:r>
      <w:r w:rsidRPr="00D13AF1">
        <w:rPr>
          <w:iCs/>
        </w:rPr>
        <w:t xml:space="preserve">, and </w:t>
      </w:r>
      <w:r w:rsidRPr="00D13AF1">
        <w:t>the General Pharmaceutical Council</w:t>
      </w:r>
      <w:r w:rsidR="00322009">
        <w:t xml:space="preserve"> (</w:t>
      </w:r>
      <w:proofErr w:type="spellStart"/>
      <w:r w:rsidR="00322009">
        <w:t>GPhC</w:t>
      </w:r>
      <w:proofErr w:type="spellEnd"/>
      <w:r w:rsidR="00322009">
        <w:t>)</w:t>
      </w:r>
      <w:r w:rsidRPr="00D13AF1">
        <w:t xml:space="preserve"> (which also responded to our online survey).</w:t>
      </w:r>
    </w:p>
    <w:p w14:paraId="48911908" w14:textId="2901C4F5" w:rsidR="008E350B" w:rsidRPr="00D13AF1" w:rsidRDefault="008E350B" w:rsidP="008E350B">
      <w:pPr>
        <w:pStyle w:val="BodyEE"/>
      </w:pPr>
      <w:r w:rsidRPr="00D13AF1">
        <w:t>First, th</w:t>
      </w:r>
      <w:r w:rsidR="00F73DE5" w:rsidRPr="00D13AF1">
        <w:t>e</w:t>
      </w:r>
      <w:r w:rsidRPr="00D13AF1">
        <w:t>se organisations understood telemedicine in different ways. For the CQC, telemedicine generally occurs whenever technology is used to provide care services between the doctor and the patient. Overall, the CQC seems to be of the view that the objective of any regulation in the area of telemedicine should be to ensure the same quality of care regardless of the modality via which healthcare is provided. For healthcare providers this implies that they need to ensure that the method of delivering care is safe and effective.</w:t>
      </w:r>
    </w:p>
    <w:p w14:paraId="017A2173" w14:textId="149B2DA8" w:rsidR="008E350B" w:rsidRPr="00D13AF1" w:rsidRDefault="008E350B" w:rsidP="008E350B">
      <w:pPr>
        <w:pStyle w:val="BodyEE"/>
      </w:pPr>
      <w:r w:rsidRPr="00D13AF1">
        <w:t>In that sense, in the CQC’s view</w:t>
      </w:r>
      <w:r w:rsidR="007A4312">
        <w:t>,</w:t>
      </w:r>
      <w:r w:rsidRPr="00D13AF1">
        <w:t xml:space="preserve"> standards and policies developed predominantly with face-to-face interactions in mind might simply require a few adjustments to ensure they are phrased in a way that applies in the context of telemedicine. </w:t>
      </w:r>
    </w:p>
    <w:p w14:paraId="4561EE93" w14:textId="77777777" w:rsidR="008E350B" w:rsidRPr="00D13AF1" w:rsidRDefault="008E350B" w:rsidP="008E350B">
      <w:pPr>
        <w:pStyle w:val="BodyEE"/>
      </w:pPr>
      <w:r w:rsidRPr="00D13AF1">
        <w:t>The areas in which the CQC considers telemedicine as potentially creating challenges or risks different to those in face-to-face interactions are:</w:t>
      </w:r>
    </w:p>
    <w:p w14:paraId="590A6747" w14:textId="77777777" w:rsidR="008E350B" w:rsidRPr="00D13AF1" w:rsidRDefault="008E350B" w:rsidP="00BD68A1">
      <w:pPr>
        <w:pStyle w:val="Bulletlevel1"/>
      </w:pPr>
      <w:r w:rsidRPr="00D13AF1">
        <w:t>access to patients’ long-term medical records — especially when private healthcare providers are considered;</w:t>
      </w:r>
    </w:p>
    <w:p w14:paraId="7F28E6FB" w14:textId="43EDB1E3" w:rsidR="008E350B" w:rsidRPr="00D13AF1" w:rsidRDefault="008E350B" w:rsidP="00BD68A1">
      <w:pPr>
        <w:pStyle w:val="Bulletlevel1"/>
      </w:pPr>
      <w:r w:rsidRPr="00D13AF1">
        <w:t>identification of the patient, including some key characteristics such as age, gender, body weight etc. — this could be particularly challenging when combined with a lack of access to patients’ medical records;</w:t>
      </w:r>
    </w:p>
    <w:p w14:paraId="5F32235E" w14:textId="203354C8" w:rsidR="008E350B" w:rsidRPr="00D13AF1" w:rsidRDefault="008E350B" w:rsidP="00BD68A1">
      <w:pPr>
        <w:pStyle w:val="Bulletlevel1"/>
      </w:pPr>
      <w:r w:rsidRPr="00D13AF1">
        <w:t>healthcare based on an asynchronous</w:t>
      </w:r>
      <w:r w:rsidR="002245DE">
        <w:t xml:space="preserve"> (not real-time)</w:t>
      </w:r>
      <w:r w:rsidRPr="00D13AF1">
        <w:t>, text-based relationship (e.g. questionnaires or standardised emails) — the quality and reliability of such forms (and procedures specifying when and how a follow-up dialogue should be done) varies enormously across providers;</w:t>
      </w:r>
    </w:p>
    <w:p w14:paraId="2183B47A" w14:textId="032CB370" w:rsidR="008E350B" w:rsidRPr="00D13AF1" w:rsidRDefault="008E350B" w:rsidP="00BD68A1">
      <w:pPr>
        <w:pStyle w:val="Bulletlevel1"/>
      </w:pPr>
      <w:r w:rsidRPr="00D13AF1">
        <w:t xml:space="preserve">sharing information between healthcare professionals — for example around 80 per cent of online pharmacies’ patients take advantage of their right to confidentiality and ask for their medical record not </w:t>
      </w:r>
      <w:r w:rsidRPr="00D13AF1">
        <w:lastRenderedPageBreak/>
        <w:t xml:space="preserve">to be shared with their General Practitioner (GP), which could be viewed as a too literal an interpretation compared to what the intended application of this right was when originally formulated. </w:t>
      </w:r>
    </w:p>
    <w:p w14:paraId="0F76A094" w14:textId="416E86EC" w:rsidR="002245DE" w:rsidRDefault="002245DE" w:rsidP="005C2B38">
      <w:pPr>
        <w:pStyle w:val="BodyEE"/>
      </w:pPr>
      <w:r>
        <w:t xml:space="preserve">We understand from our interview with the </w:t>
      </w:r>
      <w:r w:rsidR="0078104B">
        <w:t xml:space="preserve">HIW </w:t>
      </w:r>
      <w:r>
        <w:t>that</w:t>
      </w:r>
      <w:r w:rsidR="0078104B">
        <w:t xml:space="preserve"> telemedicine is </w:t>
      </w:r>
      <w:r>
        <w:t xml:space="preserve">as yet not common </w:t>
      </w:r>
      <w:r w:rsidR="0078104B">
        <w:t>in Wales</w:t>
      </w:r>
      <w:r>
        <w:t>.</w:t>
      </w:r>
      <w:r w:rsidR="0078104B">
        <w:t xml:space="preserve"> The HIW cited an independent (private) GP offering video consultations as the only example </w:t>
      </w:r>
      <w:r>
        <w:t>they were aware of</w:t>
      </w:r>
      <w:r w:rsidR="0078104B">
        <w:t>. However,</w:t>
      </w:r>
      <w:r>
        <w:t xml:space="preserve"> the HIW expects</w:t>
      </w:r>
      <w:r w:rsidR="0078104B">
        <w:t xml:space="preserve"> telemedicine to develop in the future. In particular, since Wales has many rural and remote areas, telemedicine might prove beneficial for people living in those areas.</w:t>
      </w:r>
      <w:r w:rsidR="0074796C">
        <w:t xml:space="preserve"> </w:t>
      </w:r>
      <w:r w:rsidR="0078104B">
        <w:t>In principle, when registering healthcare providers who would like to offer telemedicine services, the HIW would expect the same standards of care as in face-to-face interaction.</w:t>
      </w:r>
    </w:p>
    <w:p w14:paraId="1E007CE9" w14:textId="54FAF63A" w:rsidR="005C2B38" w:rsidRPr="00D13AF1" w:rsidRDefault="008E350B" w:rsidP="005C2B38">
      <w:pPr>
        <w:pStyle w:val="BodyEE"/>
      </w:pPr>
      <w:r w:rsidRPr="00D13AF1">
        <w:t xml:space="preserve">The </w:t>
      </w:r>
      <w:proofErr w:type="spellStart"/>
      <w:r w:rsidRPr="00D13AF1">
        <w:t>GPhC</w:t>
      </w:r>
      <w:proofErr w:type="spellEnd"/>
      <w:r w:rsidRPr="00D13AF1">
        <w:t xml:space="preserve">, on the other hand, </w:t>
      </w:r>
      <w:r w:rsidR="00EA1DBD">
        <w:t xml:space="preserve">is predominantly focused on </w:t>
      </w:r>
      <w:r w:rsidRPr="00D13AF1">
        <w:t xml:space="preserve">telemedicine </w:t>
      </w:r>
      <w:r w:rsidR="00EA1DBD">
        <w:t>in terms of remote prescribing</w:t>
      </w:r>
      <w:r w:rsidRPr="00D13AF1">
        <w:t xml:space="preserve">. The </w:t>
      </w:r>
      <w:proofErr w:type="spellStart"/>
      <w:r w:rsidR="00F73DE5" w:rsidRPr="00D13AF1">
        <w:t>GPhC</w:t>
      </w:r>
      <w:proofErr w:type="spellEnd"/>
      <w:r w:rsidR="00F73DE5" w:rsidRPr="00D13AF1">
        <w:t xml:space="preserve"> </w:t>
      </w:r>
      <w:r w:rsidRPr="00D13AF1">
        <w:t xml:space="preserve">is mostly concerned with what happens </w:t>
      </w:r>
      <w:r w:rsidRPr="00D13AF1">
        <w:rPr>
          <w:i/>
        </w:rPr>
        <w:t>after</w:t>
      </w:r>
      <w:r w:rsidRPr="00D13AF1">
        <w:t xml:space="preserve"> the prescription is issued by a doctor, which is </w:t>
      </w:r>
      <w:r w:rsidR="00EA1DBD">
        <w:t xml:space="preserve">a narrower focus than telemedicine in general. </w:t>
      </w:r>
      <w:r w:rsidRPr="00D13AF1">
        <w:t xml:space="preserve">With that caveat in mind, the </w:t>
      </w:r>
      <w:proofErr w:type="spellStart"/>
      <w:r w:rsidRPr="00D13AF1">
        <w:t>GPhC’s</w:t>
      </w:r>
      <w:proofErr w:type="spellEnd"/>
      <w:r w:rsidRPr="00D13AF1">
        <w:t xml:space="preserve"> view is that the general standards pharmacies have to comply with should also be complied with when prescribed medications are provided to patients remotely. The Council also noted that pharmacies themselves (i.e. without a doctor) cannot dispense a medicine based on an online questionnaire, or fulfil a prescription which was written by a doctor who is not registered with the GMC (or an equivalent regulator in other Member States). While telemedicine might create challenges for pharmacies to verify prescriptions, in principle, they should exercise due diligence and, if in doubt, reject dispensing the medicine.</w:t>
      </w:r>
    </w:p>
    <w:p w14:paraId="3D974013" w14:textId="77777777" w:rsidR="00993CBE" w:rsidRPr="00D13AF1" w:rsidRDefault="00993CBE" w:rsidP="00993CBE">
      <w:pPr>
        <w:pStyle w:val="Heading1"/>
        <w:ind w:left="709" w:hanging="714"/>
      </w:pPr>
      <w:bookmarkStart w:id="37" w:name="_Toc499025519"/>
      <w:bookmarkStart w:id="38" w:name="_Toc499211322"/>
      <w:bookmarkStart w:id="39" w:name="_Ref499310079"/>
      <w:bookmarkStart w:id="40" w:name="_Ref499537223"/>
      <w:bookmarkStart w:id="41" w:name="_Toc504484110"/>
      <w:bookmarkStart w:id="42" w:name="_Toc499211323"/>
      <w:r w:rsidRPr="00D13AF1">
        <w:lastRenderedPageBreak/>
        <w:t>Definition of Telemedicine</w:t>
      </w:r>
      <w:bookmarkEnd w:id="37"/>
      <w:bookmarkEnd w:id="38"/>
      <w:bookmarkEnd w:id="39"/>
      <w:bookmarkEnd w:id="40"/>
      <w:bookmarkEnd w:id="41"/>
    </w:p>
    <w:p w14:paraId="7D45FBD5" w14:textId="77777777" w:rsidR="005C2B38" w:rsidRPr="003F01D3" w:rsidRDefault="005C2B38" w:rsidP="003F01D3">
      <w:pPr>
        <w:pStyle w:val="Heading2Pink"/>
        <w:rPr>
          <w:color w:val="683493" w:themeColor="accent1"/>
        </w:rPr>
      </w:pPr>
      <w:bookmarkStart w:id="43" w:name="_Toc504484111"/>
      <w:r w:rsidRPr="003F01D3">
        <w:rPr>
          <w:color w:val="683493" w:themeColor="accent1"/>
        </w:rPr>
        <w:t>Introduction</w:t>
      </w:r>
      <w:bookmarkEnd w:id="42"/>
      <w:bookmarkEnd w:id="43"/>
    </w:p>
    <w:p w14:paraId="00DB139E" w14:textId="1201CDB7" w:rsidR="005C2B38" w:rsidRPr="00D13AF1" w:rsidRDefault="005C2B38" w:rsidP="005C2B38">
      <w:pPr>
        <w:pStyle w:val="BodyEE"/>
      </w:pPr>
      <w:r w:rsidRPr="00D13AF1">
        <w:t>Our working definition of telemedicine at the outset of this study was the provision of medical services and patient care at a distance, using information and communication technologies (ICT</w:t>
      </w:r>
      <w:r w:rsidR="00806A55">
        <w:t>)</w:t>
      </w:r>
      <w:r w:rsidRPr="00D13AF1">
        <w:t xml:space="preserve">. While this interpretation of telemedicine is broadly consistent with the definitions adopted by many of the organisations we studied, there is inevitably some variation in their views on what constitutes telemedicine. </w:t>
      </w:r>
    </w:p>
    <w:p w14:paraId="6F8C43FA" w14:textId="77777777" w:rsidR="005C2B38" w:rsidRPr="00D13AF1" w:rsidRDefault="005C2B38" w:rsidP="005C2B38">
      <w:pPr>
        <w:pStyle w:val="BodyEE"/>
      </w:pPr>
      <w:r w:rsidRPr="00D13AF1">
        <w:t>In order to understand the key themes appearing in the definition of telemedicine across countries and regulators, we distinguish between the following aspects:</w:t>
      </w:r>
    </w:p>
    <w:p w14:paraId="7318B4C5" w14:textId="517BF0F7" w:rsidR="005C2B38" w:rsidRPr="00D13AF1" w:rsidRDefault="005C2B38" w:rsidP="005C2B38">
      <w:pPr>
        <w:pStyle w:val="Bulletlevel1"/>
      </w:pPr>
      <w:r w:rsidRPr="00D13AF1">
        <w:t>How are telemedicine services provided? What kind</w:t>
      </w:r>
      <w:r w:rsidR="00E23D56">
        <w:t>s</w:t>
      </w:r>
      <w:r w:rsidRPr="00D13AF1">
        <w:t xml:space="preserve"> of tools are necessary for a medical service to be considered a telemedicine service?</w:t>
      </w:r>
    </w:p>
    <w:p w14:paraId="15DBE4FA" w14:textId="77777777" w:rsidR="005C2B38" w:rsidRPr="00D13AF1" w:rsidRDefault="005C2B38" w:rsidP="005C2B38">
      <w:pPr>
        <w:pStyle w:val="Bulletlevel1"/>
      </w:pPr>
      <w:r w:rsidRPr="00D13AF1">
        <w:t>Who is involved in providing and receiving telemedicine services? Is telemedicine taking place between a patient and a doctor, or does it include a doctor consulting with another doctor with respect to a patient?</w:t>
      </w:r>
    </w:p>
    <w:p w14:paraId="2FEC0497" w14:textId="77777777" w:rsidR="005C2B38" w:rsidRPr="00D13AF1" w:rsidRDefault="005C2B38" w:rsidP="005C2B38">
      <w:pPr>
        <w:pStyle w:val="Bulletlevel1"/>
      </w:pPr>
      <w:r w:rsidRPr="00D13AF1">
        <w:t xml:space="preserve">Where are those involved in providing and receiving telemedicine services geographically located? </w:t>
      </w:r>
    </w:p>
    <w:p w14:paraId="0C78F06C" w14:textId="77777777" w:rsidR="005C2B38" w:rsidRPr="00D13AF1" w:rsidRDefault="005C2B38" w:rsidP="005C2B38">
      <w:pPr>
        <w:pStyle w:val="Bulletlevel1"/>
      </w:pPr>
      <w:r w:rsidRPr="00D13AF1">
        <w:t>What is telemedicine or what could it be used for? Could it be used for diagnosis and treatment as well as consultations?</w:t>
      </w:r>
    </w:p>
    <w:p w14:paraId="16AC115D" w14:textId="77777777" w:rsidR="005C2B38" w:rsidRPr="00D13AF1" w:rsidRDefault="005C2B38" w:rsidP="005C2B38">
      <w:pPr>
        <w:pStyle w:val="Bulletlevel1"/>
      </w:pPr>
      <w:r w:rsidRPr="00D13AF1">
        <w:t>What are the channels for accessing telemedicine services? Are patients acting independently of their primary care provider or is telemedicine part of the services offered by their healthcare provider?</w:t>
      </w:r>
    </w:p>
    <w:p w14:paraId="74A7A6DB" w14:textId="7A73F4B0" w:rsidR="005A4D97" w:rsidRPr="00D13AF1" w:rsidRDefault="00946D0D" w:rsidP="005C2B38">
      <w:pPr>
        <w:pStyle w:val="BodyEE"/>
      </w:pPr>
      <w:r w:rsidRPr="00D13AF1">
        <w:t>T</w:t>
      </w:r>
      <w:r w:rsidR="005C2B38" w:rsidRPr="00D13AF1">
        <w:t xml:space="preserve">his section summarises </w:t>
      </w:r>
      <w:r w:rsidR="009D1F12" w:rsidRPr="00D13AF1">
        <w:t xml:space="preserve">our understanding of how </w:t>
      </w:r>
      <w:r w:rsidR="005C2B38" w:rsidRPr="00D13AF1">
        <w:t xml:space="preserve">telemedicine is </w:t>
      </w:r>
      <w:r w:rsidR="009D1F12" w:rsidRPr="00D13AF1">
        <w:t xml:space="preserve">understood </w:t>
      </w:r>
      <w:r w:rsidR="005C2B38" w:rsidRPr="00D13AF1">
        <w:t xml:space="preserve">in </w:t>
      </w:r>
      <w:r w:rsidR="009D1F12" w:rsidRPr="00D13AF1">
        <w:t xml:space="preserve">various jurisdictions, rather than </w:t>
      </w:r>
      <w:r w:rsidR="00AD171F" w:rsidRPr="00D13AF1">
        <w:t xml:space="preserve">how it is strictly speaking defined in </w:t>
      </w:r>
      <w:r w:rsidR="005C2B38" w:rsidRPr="00D13AF1">
        <w:t xml:space="preserve">policies and statements. For example, a definition might explicitly state that telemedicine could be used for </w:t>
      </w:r>
      <w:r w:rsidR="00CE1C15">
        <w:t>teleradiology</w:t>
      </w:r>
      <w:r w:rsidR="005C2B38" w:rsidRPr="00D13AF1">
        <w:t>, but — at the same time — not mention that it covers interactions between doctors</w:t>
      </w:r>
      <w:r w:rsidR="00AD171F" w:rsidRPr="00D13AF1">
        <w:t>,</w:t>
      </w:r>
      <w:r w:rsidR="005C2B38" w:rsidRPr="00D13AF1">
        <w:t xml:space="preserve"> even though such an interaction is </w:t>
      </w:r>
      <w:r w:rsidR="005A4D97" w:rsidRPr="00D13AF1">
        <w:t>an almost-</w:t>
      </w:r>
      <w:r w:rsidR="005C2B38" w:rsidRPr="00D13AF1">
        <w:t xml:space="preserve">automatic implication of the application of telemedicine to radiology. </w:t>
      </w:r>
      <w:r w:rsidR="005A4D97" w:rsidRPr="00D13AF1">
        <w:t>In such cases — to reflect the actual applications of telemedicine in a given jurisdiction —</w:t>
      </w:r>
      <w:r w:rsidR="00AD171F" w:rsidRPr="00D13AF1">
        <w:t xml:space="preserve"> we </w:t>
      </w:r>
      <w:r w:rsidR="005A4D97" w:rsidRPr="00D13AF1">
        <w:t>expand the formal definition of telemedicine by its implications in terms of our analytical dimensions.</w:t>
      </w:r>
    </w:p>
    <w:p w14:paraId="6F9629BD" w14:textId="77777777" w:rsidR="005C2B38" w:rsidRPr="003F01D3" w:rsidRDefault="005C2B38" w:rsidP="003F01D3">
      <w:pPr>
        <w:pStyle w:val="Heading2Pink"/>
        <w:rPr>
          <w:color w:val="683493" w:themeColor="accent1"/>
        </w:rPr>
      </w:pPr>
      <w:bookmarkStart w:id="44" w:name="_Toc499211324"/>
      <w:bookmarkStart w:id="45" w:name="_Toc504484112"/>
      <w:r w:rsidRPr="003F01D3">
        <w:rPr>
          <w:color w:val="683493" w:themeColor="accent1"/>
        </w:rPr>
        <w:t>Key findings</w:t>
      </w:r>
      <w:bookmarkEnd w:id="44"/>
      <w:bookmarkEnd w:id="45"/>
    </w:p>
    <w:p w14:paraId="6ECC2581" w14:textId="67C46B4C" w:rsidR="005C2B38" w:rsidRDefault="000E72E2" w:rsidP="005C2B38">
      <w:pPr>
        <w:pStyle w:val="BodyEE"/>
      </w:pPr>
      <w:r w:rsidRPr="00D13AF1">
        <w:t>I</w:t>
      </w:r>
      <w:r w:rsidR="005C2B38" w:rsidRPr="00D13AF1">
        <w:t xml:space="preserve">n all jurisdictions the use of </w:t>
      </w:r>
      <w:r w:rsidR="005C2B38" w:rsidRPr="002C5390">
        <w:rPr>
          <w:color w:val="683493" w:themeColor="accent1"/>
        </w:rPr>
        <w:t>information and communication technologies (ICT)</w:t>
      </w:r>
      <w:r w:rsidR="005C2B38" w:rsidRPr="00D13AF1">
        <w:t xml:space="preserve"> is considered an inherent part of telemedicine. </w:t>
      </w:r>
      <w:r w:rsidRPr="00D13AF1">
        <w:t xml:space="preserve">This is in line with our working definition. </w:t>
      </w:r>
      <w:r w:rsidR="005C2B38" w:rsidRPr="00D13AF1">
        <w:t xml:space="preserve">For most of the analysed organisations the use of any form of ICT communication would be sufficient for a medical service to be considered telemedicine, but a few regulators </w:t>
      </w:r>
      <w:r w:rsidR="0052383B">
        <w:t xml:space="preserve">(e.g. the </w:t>
      </w:r>
      <w:r w:rsidR="00996726">
        <w:t>USA</w:t>
      </w:r>
      <w:r w:rsidR="0052383B">
        <w:t xml:space="preserve"> regulators in Maine and Oklahoma) </w:t>
      </w:r>
      <w:r w:rsidR="005C2B38" w:rsidRPr="00D13AF1">
        <w:t>noted that a single-modality communication (such as telephone conversation or email exchange) is not sufficient to be considered telemedicine.</w:t>
      </w:r>
      <w:r w:rsidR="00F05DC8">
        <w:t xml:space="preserve"> See the example of such definition in </w:t>
      </w:r>
      <w:r w:rsidR="00F05DC8">
        <w:fldChar w:fldCharType="begin"/>
      </w:r>
      <w:r w:rsidR="00F05DC8">
        <w:instrText xml:space="preserve"> REF _Ref499634778 \h </w:instrText>
      </w:r>
      <w:r w:rsidR="00F05DC8">
        <w:fldChar w:fldCharType="separate"/>
      </w:r>
      <w:r w:rsidR="00B51130">
        <w:t xml:space="preserve">Table </w:t>
      </w:r>
      <w:r w:rsidR="00B51130">
        <w:rPr>
          <w:noProof/>
        </w:rPr>
        <w:t>3</w:t>
      </w:r>
      <w:r w:rsidR="00B51130">
        <w:t>.</w:t>
      </w:r>
      <w:r w:rsidR="00B51130">
        <w:rPr>
          <w:noProof/>
        </w:rPr>
        <w:t>1</w:t>
      </w:r>
      <w:r w:rsidR="00F05DC8">
        <w:fldChar w:fldCharType="end"/>
      </w:r>
      <w:r w:rsidR="00F05DC8">
        <w:t xml:space="preserve"> below.</w:t>
      </w:r>
    </w:p>
    <w:p w14:paraId="75718C54" w14:textId="1D2C5453" w:rsidR="0052383B" w:rsidRDefault="0052383B" w:rsidP="007E49A1">
      <w:pPr>
        <w:pStyle w:val="Caption"/>
        <w:keepLines/>
      </w:pPr>
      <w:bookmarkStart w:id="46" w:name="_Ref499634778"/>
      <w:r>
        <w:lastRenderedPageBreak/>
        <w:t xml:space="preserve">Table </w:t>
      </w:r>
      <w:r w:rsidR="00000000">
        <w:fldChar w:fldCharType="begin"/>
      </w:r>
      <w:r w:rsidR="00000000">
        <w:instrText xml:space="preserve"> STYLEREF 1 \s </w:instrText>
      </w:r>
      <w:r w:rsidR="00000000">
        <w:fldChar w:fldCharType="separate"/>
      </w:r>
      <w:r w:rsidR="00B51130">
        <w:rPr>
          <w:noProof/>
        </w:rPr>
        <w:t>3</w:t>
      </w:r>
      <w:r w:rsidR="00000000">
        <w:rPr>
          <w:noProof/>
        </w:rPr>
        <w:fldChar w:fldCharType="end"/>
      </w:r>
      <w:r w:rsidR="00EF67D2">
        <w:t>.</w:t>
      </w:r>
      <w:r w:rsidR="00000000">
        <w:fldChar w:fldCharType="begin"/>
      </w:r>
      <w:r w:rsidR="00000000">
        <w:instrText xml:space="preserve"> SEQ Table \* ARABIC \s 1 </w:instrText>
      </w:r>
      <w:r w:rsidR="00000000">
        <w:fldChar w:fldCharType="separate"/>
      </w:r>
      <w:r w:rsidR="00B51130">
        <w:rPr>
          <w:noProof/>
        </w:rPr>
        <w:t>1</w:t>
      </w:r>
      <w:r w:rsidR="00000000">
        <w:rPr>
          <w:noProof/>
        </w:rPr>
        <w:fldChar w:fldCharType="end"/>
      </w:r>
      <w:bookmarkEnd w:id="46"/>
      <w:r>
        <w:t>: Definition of telemedicine</w:t>
      </w:r>
      <w:r w:rsidR="003344E1">
        <w:t xml:space="preserve"> excluding single-modality communication</w:t>
      </w:r>
      <w:r>
        <w:t xml:space="preserve"> — Maine</w:t>
      </w:r>
    </w:p>
    <w:tbl>
      <w:tblPr>
        <w:tblStyle w:val="LightGrid-Accent1"/>
        <w:tblW w:w="0" w:type="auto"/>
        <w:shd w:val="clear" w:color="auto" w:fill="E8E8E8" w:themeFill="accent4" w:themeFillTint="33"/>
        <w:tblLook w:val="04A0" w:firstRow="1" w:lastRow="0" w:firstColumn="1" w:lastColumn="0" w:noHBand="0" w:noVBand="1"/>
      </w:tblPr>
      <w:tblGrid>
        <w:gridCol w:w="9618"/>
      </w:tblGrid>
      <w:tr w:rsidR="0052383B" w:rsidRPr="007C7C15" w14:paraId="46F6BF35" w14:textId="77777777" w:rsidTr="008C0F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4" w:type="dxa"/>
            <w:shd w:val="clear" w:color="auto" w:fill="E8E8E8" w:themeFill="accent4" w:themeFillTint="33"/>
          </w:tcPr>
          <w:p w14:paraId="79C6494B" w14:textId="76A7C56E" w:rsidR="0052383B" w:rsidRPr="007C7C15" w:rsidRDefault="0052383B" w:rsidP="007E49A1">
            <w:pPr>
              <w:pStyle w:val="LongQuotePurple"/>
              <w:keepNext/>
              <w:keepLines/>
              <w:spacing w:after="0"/>
              <w:rPr>
                <w:i/>
              </w:rPr>
            </w:pPr>
            <w:r w:rsidRPr="007C7C15">
              <w:rPr>
                <w:i/>
                <w:sz w:val="22"/>
              </w:rPr>
              <w:t>“Telemedicine” means the practice of medicine or the rendering of health care services using electronic audio-visual communications and information technologies or other means, including interactive audio with asynchronous store-and-forward transmission, between a licensee in one location and a patient in another location with or without an intervening health care provider. Telemedicine includes asynchronous store-and-forward technologies, remote monitoring, and real-time interactive services, including teleradiology and telepathology. Telemedicine shall not include the provision of medical services only through an audio-only telephone, e-mail, instant messaging, facsimile transmission, or U.S. mail or other parcel service, or any combination thereof.</w:t>
            </w:r>
          </w:p>
        </w:tc>
      </w:tr>
    </w:tbl>
    <w:p w14:paraId="6B237668" w14:textId="2ACE7BF2" w:rsidR="0052383B" w:rsidRPr="00D13AF1" w:rsidRDefault="003344E1" w:rsidP="007E49A1">
      <w:pPr>
        <w:pStyle w:val="Tablelastnote"/>
        <w:keepNext/>
        <w:keepLines/>
      </w:pPr>
      <w:r>
        <w:t>Source:</w:t>
      </w:r>
      <w:r w:rsidR="00AD5EA6">
        <w:t xml:space="preserve"> </w:t>
      </w:r>
      <w:r w:rsidR="00DC2F08">
        <w:t xml:space="preserve">Main </w:t>
      </w:r>
      <w:r w:rsidR="00DC2F08" w:rsidRPr="00DC2F08">
        <w:t>B</w:t>
      </w:r>
      <w:r w:rsidR="00DC2F08">
        <w:t>oard of Licensure in Medicine</w:t>
      </w:r>
      <w:r w:rsidR="00DC2F08" w:rsidRPr="00DC2F08">
        <w:t xml:space="preserve"> </w:t>
      </w:r>
      <w:r w:rsidR="00AD5EA6">
        <w:t>“Telemedicine Standards of Practice”.</w:t>
      </w:r>
    </w:p>
    <w:p w14:paraId="28C7AACB" w14:textId="1AD81D28" w:rsidR="005C2B38" w:rsidRPr="00D13AF1" w:rsidRDefault="005C2B38" w:rsidP="005C2B38">
      <w:pPr>
        <w:pStyle w:val="BodyEE"/>
      </w:pPr>
      <w:r w:rsidRPr="00D13AF1">
        <w:t xml:space="preserve">For </w:t>
      </w:r>
      <w:r w:rsidR="00FF4471">
        <w:t xml:space="preserve">almost all </w:t>
      </w:r>
      <w:r w:rsidRPr="00D13AF1">
        <w:t>(</w:t>
      </w:r>
      <w:r w:rsidR="00FF4471" w:rsidRPr="00D13AF1">
        <w:t>1</w:t>
      </w:r>
      <w:r w:rsidR="00FF4471">
        <w:t>6</w:t>
      </w:r>
      <w:r w:rsidRPr="00D13AF1">
        <w:t xml:space="preserve">) of the jurisdictions telemedicine occurs </w:t>
      </w:r>
      <w:r w:rsidRPr="002C5390">
        <w:rPr>
          <w:color w:val="683493" w:themeColor="accent1"/>
        </w:rPr>
        <w:t>between a patient and a doctor</w:t>
      </w:r>
      <w:r w:rsidR="00FF4471">
        <w:t>. In addition to that,</w:t>
      </w:r>
      <w:r w:rsidRPr="00D13AF1">
        <w:t xml:space="preserve"> </w:t>
      </w:r>
      <w:r w:rsidR="00FF4471">
        <w:t xml:space="preserve">most </w:t>
      </w:r>
      <w:r w:rsidRPr="00D13AF1">
        <w:t>(</w:t>
      </w:r>
      <w:r w:rsidR="00FF4471">
        <w:t>10</w:t>
      </w:r>
      <w:r w:rsidRPr="00D13AF1">
        <w:t xml:space="preserve">) also </w:t>
      </w:r>
      <w:r w:rsidR="00FF4471">
        <w:t xml:space="preserve">implicitly or </w:t>
      </w:r>
      <w:r w:rsidRPr="00D13AF1">
        <w:t xml:space="preserve">explicitly acknowledge that consultations between doctors could also be considered as telemedicine. For a small minority (one jurisdiction in our core set, and one </w:t>
      </w:r>
      <w:r w:rsidR="00CA2083" w:rsidRPr="00D13AF1">
        <w:t>other</w:t>
      </w:r>
      <w:r w:rsidRPr="00D13AF1">
        <w:rPr>
          <w:rStyle w:val="FootnoteReference"/>
        </w:rPr>
        <w:footnoteReference w:id="36"/>
      </w:r>
      <w:r w:rsidRPr="00D13AF1">
        <w:t xml:space="preserve">) </w:t>
      </w:r>
      <w:r w:rsidR="00E23D56">
        <w:t xml:space="preserve">the definition of </w:t>
      </w:r>
      <w:r w:rsidRPr="00D13AF1">
        <w:t xml:space="preserve">telemedicine is limited to interactions </w:t>
      </w:r>
      <w:r w:rsidRPr="002C5390">
        <w:rPr>
          <w:color w:val="683493" w:themeColor="accent1"/>
        </w:rPr>
        <w:t>between doctors</w:t>
      </w:r>
      <w:r w:rsidRPr="00D13AF1">
        <w:t xml:space="preserve">, and thus does not cover interactions between patients and doctors. </w:t>
      </w:r>
    </w:p>
    <w:p w14:paraId="0EEFFB00" w14:textId="2FDFA5EE" w:rsidR="005C2B38" w:rsidRPr="00D13AF1" w:rsidRDefault="002710B7" w:rsidP="005C2B38">
      <w:pPr>
        <w:pStyle w:val="BodyEE"/>
      </w:pPr>
      <w:r>
        <w:t xml:space="preserve">A large majority of jurisdictions </w:t>
      </w:r>
      <w:r w:rsidR="005C2B38" w:rsidRPr="00D13AF1">
        <w:t>(</w:t>
      </w:r>
      <w:r w:rsidRPr="00D13AF1">
        <w:t>1</w:t>
      </w:r>
      <w:r>
        <w:t>5</w:t>
      </w:r>
      <w:r w:rsidR="005C2B38" w:rsidRPr="00D13AF1">
        <w:t xml:space="preserve">) consider that </w:t>
      </w:r>
      <w:r w:rsidR="005C2B38" w:rsidRPr="002C5390">
        <w:rPr>
          <w:color w:val="683493" w:themeColor="accent1"/>
        </w:rPr>
        <w:t xml:space="preserve">distance </w:t>
      </w:r>
      <w:r w:rsidR="005C2B38" w:rsidRPr="00D13AF1">
        <w:t xml:space="preserve">between the parties involved in telemedicine is a defining </w:t>
      </w:r>
      <w:r>
        <w:t xml:space="preserve">or otherwise implicit </w:t>
      </w:r>
      <w:r w:rsidR="005C2B38" w:rsidRPr="00D13AF1">
        <w:t>feature of this type of medical service. In all but one case, the definition did not specify whether the doctor needs to be located in a different jurisdiction or country</w:t>
      </w:r>
      <w:r w:rsidR="005C2B38" w:rsidRPr="00D13AF1">
        <w:rPr>
          <w:rStyle w:val="FootnoteReference"/>
        </w:rPr>
        <w:footnoteReference w:id="37"/>
      </w:r>
      <w:r w:rsidR="005C2B38" w:rsidRPr="00D13AF1">
        <w:t xml:space="preserve"> implying that in general telemedicine could occur between parties in the same country or even city, but just not in the same room.</w:t>
      </w:r>
    </w:p>
    <w:p w14:paraId="277CECE5" w14:textId="60647497" w:rsidR="005C2B38" w:rsidRPr="00D13AF1" w:rsidRDefault="009D6A45" w:rsidP="005C2B38">
      <w:pPr>
        <w:pStyle w:val="BodyEE"/>
      </w:pPr>
      <w:r>
        <w:t xml:space="preserve">Based on our research we could also say that (either explicitly or implicitly) the scope </w:t>
      </w:r>
      <w:r w:rsidR="000265B6">
        <w:t xml:space="preserve">of </w:t>
      </w:r>
      <w:r>
        <w:t xml:space="preserve">telemedicine is determined by its application. </w:t>
      </w:r>
      <w:r w:rsidR="00C62D3F">
        <w:t xml:space="preserve">Telemedicine could be most straightforwardly applied to consultations (either between doctors, </w:t>
      </w:r>
      <w:r w:rsidR="008874A5">
        <w:t xml:space="preserve">or </w:t>
      </w:r>
      <w:r w:rsidR="00C62D3F">
        <w:t>between a doctor and a patient). In addition to that, m</w:t>
      </w:r>
      <w:r>
        <w:t>any</w:t>
      </w:r>
      <w:r w:rsidR="00082ACF" w:rsidRPr="00D13AF1">
        <w:t xml:space="preserve"> </w:t>
      </w:r>
      <w:r>
        <w:t xml:space="preserve">jurisdictions seem to acknowledge that </w:t>
      </w:r>
      <w:r w:rsidR="005C2B38" w:rsidRPr="00D13AF1">
        <w:t xml:space="preserve">telemedicine could be used for </w:t>
      </w:r>
      <w:r w:rsidR="005C2B38" w:rsidRPr="002C5390">
        <w:rPr>
          <w:color w:val="683493" w:themeColor="accent1"/>
        </w:rPr>
        <w:t>diagnostics</w:t>
      </w:r>
      <w:r w:rsidRPr="00F05DC8">
        <w:t xml:space="preserve"> (15)</w:t>
      </w:r>
      <w:r w:rsidR="005C2B38" w:rsidRPr="009D6A45">
        <w:t xml:space="preserve">, </w:t>
      </w:r>
      <w:r w:rsidR="00C62D3F">
        <w:t xml:space="preserve">and </w:t>
      </w:r>
      <w:r w:rsidR="005C2B38" w:rsidRPr="002C5390">
        <w:rPr>
          <w:color w:val="683493" w:themeColor="accent1"/>
        </w:rPr>
        <w:t>treatment</w:t>
      </w:r>
      <w:r w:rsidRPr="00F05DC8">
        <w:t xml:space="preserve"> (10</w:t>
      </w:r>
      <w:r w:rsidR="00963EEC">
        <w:t>)</w:t>
      </w:r>
      <w:r w:rsidR="005C2B38" w:rsidRPr="009D6A45">
        <w:t>. Re</w:t>
      </w:r>
      <w:r w:rsidR="005C2B38" w:rsidRPr="00D13AF1">
        <w:t xml:space="preserve">garding diagnostics, we could also distinguish between a ‘final’ diagnosis (e.g. the diagnosis given by a doctor to a patient) — which was considered to be part of telemedicine by </w:t>
      </w:r>
      <w:r w:rsidR="001255F1">
        <w:t>13</w:t>
      </w:r>
      <w:r w:rsidR="001255F1" w:rsidRPr="00D13AF1">
        <w:t xml:space="preserve"> </w:t>
      </w:r>
      <w:r w:rsidR="005C2B38" w:rsidRPr="00D13AF1">
        <w:t xml:space="preserve">jurisdictions, and an ‘intermediate’ diagnosis (e.g. consultation on the interpretation of pathology and radiology tests) — which was </w:t>
      </w:r>
      <w:r w:rsidR="001255F1">
        <w:t xml:space="preserve">explicitly </w:t>
      </w:r>
      <w:r w:rsidR="005C2B38" w:rsidRPr="00D13AF1">
        <w:t xml:space="preserve">mentioned </w:t>
      </w:r>
      <w:r w:rsidR="001255F1">
        <w:t xml:space="preserve">only </w:t>
      </w:r>
      <w:r w:rsidR="005C2B38" w:rsidRPr="00D13AF1">
        <w:t>by two</w:t>
      </w:r>
      <w:r w:rsidR="001255F1">
        <w:t>, but which could be considered as implicit in any jurisdiction where doctor-to-doctor telemedicine consultations occur</w:t>
      </w:r>
      <w:r w:rsidR="005C2B38" w:rsidRPr="00D13AF1">
        <w:t>. Moreover, many of the documents reviewed and regulators spoke</w:t>
      </w:r>
      <w:r w:rsidR="006C73E3" w:rsidRPr="00D13AF1">
        <w:t>n to</w:t>
      </w:r>
      <w:r w:rsidR="005C2B38" w:rsidRPr="00D13AF1">
        <w:t xml:space="preserve"> </w:t>
      </w:r>
      <w:r w:rsidR="00CE7FDD">
        <w:t xml:space="preserve">(e.g. those in the </w:t>
      </w:r>
      <w:r w:rsidR="00996726">
        <w:t>USA</w:t>
      </w:r>
      <w:r w:rsidR="00CE7FDD">
        <w:t xml:space="preserve">) </w:t>
      </w:r>
      <w:r w:rsidR="005C2B38" w:rsidRPr="00D13AF1">
        <w:t>stressed that telemedicine should be understood as just another way of providing healthcare</w:t>
      </w:r>
      <w:r w:rsidR="006C73E3" w:rsidRPr="00D13AF1">
        <w:t>,</w:t>
      </w:r>
      <w:r w:rsidR="005C2B38" w:rsidRPr="00D13AF1">
        <w:t xml:space="preserve"> rather than </w:t>
      </w:r>
      <w:r w:rsidR="006C73E3" w:rsidRPr="00D13AF1">
        <w:t xml:space="preserve">as </w:t>
      </w:r>
      <w:r w:rsidR="005C2B38" w:rsidRPr="00D13AF1">
        <w:t>a distinct medical service</w:t>
      </w:r>
      <w:r w:rsidR="006C73E3" w:rsidRPr="00D13AF1">
        <w:t xml:space="preserve"> in its own right</w:t>
      </w:r>
      <w:r w:rsidR="005C2B38" w:rsidRPr="00D13AF1">
        <w:t xml:space="preserve">. </w:t>
      </w:r>
      <w:r w:rsidR="0024174E">
        <w:t xml:space="preserve">The table below summarises the definitions across jurisdictions. </w:t>
      </w:r>
    </w:p>
    <w:p w14:paraId="66772F8C" w14:textId="673662A5" w:rsidR="00192837" w:rsidRPr="00192837" w:rsidRDefault="00192837" w:rsidP="007E49A1">
      <w:pPr>
        <w:keepNext/>
        <w:keepLines/>
        <w:spacing w:after="200" w:line="240" w:lineRule="auto"/>
        <w:rPr>
          <w:b/>
          <w:bCs/>
          <w:sz w:val="20"/>
        </w:rPr>
      </w:pPr>
      <w:r w:rsidRPr="00192837">
        <w:rPr>
          <w:b/>
          <w:bCs/>
          <w:sz w:val="20"/>
        </w:rPr>
        <w:lastRenderedPageBreak/>
        <w:t xml:space="preserve">Table </w:t>
      </w:r>
      <w:r w:rsidR="00EF67D2">
        <w:rPr>
          <w:b/>
          <w:bCs/>
          <w:sz w:val="20"/>
        </w:rPr>
        <w:fldChar w:fldCharType="begin"/>
      </w:r>
      <w:r w:rsidR="00EF67D2">
        <w:rPr>
          <w:b/>
          <w:bCs/>
          <w:sz w:val="20"/>
        </w:rPr>
        <w:instrText xml:space="preserve"> STYLEREF 1 \s </w:instrText>
      </w:r>
      <w:r w:rsidR="00EF67D2">
        <w:rPr>
          <w:b/>
          <w:bCs/>
          <w:sz w:val="20"/>
        </w:rPr>
        <w:fldChar w:fldCharType="separate"/>
      </w:r>
      <w:r w:rsidR="00B51130">
        <w:rPr>
          <w:b/>
          <w:bCs/>
          <w:noProof/>
          <w:sz w:val="20"/>
        </w:rPr>
        <w:t>3</w:t>
      </w:r>
      <w:r w:rsidR="00EF67D2">
        <w:rPr>
          <w:b/>
          <w:bCs/>
          <w:sz w:val="20"/>
        </w:rPr>
        <w:fldChar w:fldCharType="end"/>
      </w:r>
      <w:r w:rsidR="00EF67D2">
        <w:rPr>
          <w:b/>
          <w:bCs/>
          <w:sz w:val="20"/>
        </w:rPr>
        <w:t>.</w:t>
      </w:r>
      <w:r w:rsidR="00EF67D2">
        <w:rPr>
          <w:b/>
          <w:bCs/>
          <w:sz w:val="20"/>
        </w:rPr>
        <w:fldChar w:fldCharType="begin"/>
      </w:r>
      <w:r w:rsidR="00EF67D2">
        <w:rPr>
          <w:b/>
          <w:bCs/>
          <w:sz w:val="20"/>
        </w:rPr>
        <w:instrText xml:space="preserve"> SEQ Table \* ARABIC \s 1 </w:instrText>
      </w:r>
      <w:r w:rsidR="00EF67D2">
        <w:rPr>
          <w:b/>
          <w:bCs/>
          <w:sz w:val="20"/>
        </w:rPr>
        <w:fldChar w:fldCharType="separate"/>
      </w:r>
      <w:r w:rsidR="00B51130">
        <w:rPr>
          <w:b/>
          <w:bCs/>
          <w:noProof/>
          <w:sz w:val="20"/>
        </w:rPr>
        <w:t>2</w:t>
      </w:r>
      <w:r w:rsidR="00EF67D2">
        <w:rPr>
          <w:b/>
          <w:bCs/>
          <w:sz w:val="20"/>
        </w:rPr>
        <w:fldChar w:fldCharType="end"/>
      </w:r>
      <w:r w:rsidRPr="00192837">
        <w:rPr>
          <w:b/>
          <w:bCs/>
          <w:sz w:val="20"/>
        </w:rPr>
        <w:t>: Definition of telemedicine — summary</w:t>
      </w:r>
    </w:p>
    <w:tbl>
      <w:tblPr>
        <w:tblStyle w:val="LightShading-Accent111"/>
        <w:tblW w:w="0" w:type="auto"/>
        <w:tblLook w:val="04E0" w:firstRow="1" w:lastRow="1" w:firstColumn="1" w:lastColumn="0" w:noHBand="0" w:noVBand="1"/>
      </w:tblPr>
      <w:tblGrid>
        <w:gridCol w:w="2570"/>
        <w:gridCol w:w="1151"/>
        <w:gridCol w:w="1181"/>
        <w:gridCol w:w="1175"/>
        <w:gridCol w:w="1175"/>
        <w:gridCol w:w="1195"/>
        <w:gridCol w:w="1191"/>
      </w:tblGrid>
      <w:tr w:rsidR="00192837" w:rsidRPr="00192837" w14:paraId="345EBC33" w14:textId="77777777" w:rsidTr="004111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0" w:type="dxa"/>
          </w:tcPr>
          <w:p w14:paraId="056807FF"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38383A"/>
                <w:sz w:val="18"/>
                <w:szCs w:val="20"/>
              </w:rPr>
              <w:t>Jurisdiction</w:t>
            </w:r>
          </w:p>
        </w:tc>
        <w:tc>
          <w:tcPr>
            <w:tcW w:w="1199" w:type="dxa"/>
          </w:tcPr>
          <w:p w14:paraId="030777F7"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100000000000" w:firstRow="1" w:lastRow="0" w:firstColumn="0" w:lastColumn="0" w:oddVBand="0" w:evenVBand="0" w:oddHBand="0"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t>ICT</w:t>
            </w:r>
          </w:p>
        </w:tc>
        <w:tc>
          <w:tcPr>
            <w:tcW w:w="1199" w:type="dxa"/>
          </w:tcPr>
          <w:p w14:paraId="5091E64B"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100000000000" w:firstRow="1" w:lastRow="0" w:firstColumn="0" w:lastColumn="0" w:oddVBand="0" w:evenVBand="0" w:oddHBand="0"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t>Distance</w:t>
            </w:r>
          </w:p>
        </w:tc>
        <w:tc>
          <w:tcPr>
            <w:tcW w:w="1199" w:type="dxa"/>
          </w:tcPr>
          <w:p w14:paraId="083CA17F"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100000000000" w:firstRow="1" w:lastRow="0" w:firstColumn="0" w:lastColumn="0" w:oddVBand="0" w:evenVBand="0" w:oddHBand="0"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t xml:space="preserve">Doctor-to-patient </w:t>
            </w:r>
          </w:p>
        </w:tc>
        <w:tc>
          <w:tcPr>
            <w:tcW w:w="1199" w:type="dxa"/>
          </w:tcPr>
          <w:p w14:paraId="190C2BE1"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100000000000" w:firstRow="1" w:lastRow="0" w:firstColumn="0" w:lastColumn="0" w:oddVBand="0" w:evenVBand="0" w:oddHBand="0"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t xml:space="preserve">Doctor-to-doctor </w:t>
            </w:r>
          </w:p>
        </w:tc>
        <w:tc>
          <w:tcPr>
            <w:tcW w:w="1199" w:type="dxa"/>
          </w:tcPr>
          <w:p w14:paraId="02FC06B2"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100000000000" w:firstRow="1" w:lastRow="0" w:firstColumn="0" w:lastColumn="0" w:oddVBand="0" w:evenVBand="0" w:oddHBand="0"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t>For diagnostics</w:t>
            </w:r>
          </w:p>
        </w:tc>
        <w:tc>
          <w:tcPr>
            <w:tcW w:w="1199" w:type="dxa"/>
          </w:tcPr>
          <w:p w14:paraId="199997BC"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100000000000" w:firstRow="1" w:lastRow="0" w:firstColumn="0" w:lastColumn="0" w:oddVBand="0" w:evenVBand="0" w:oddHBand="0"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t>For treatment</w:t>
            </w:r>
          </w:p>
        </w:tc>
      </w:tr>
      <w:tr w:rsidR="00192837" w:rsidRPr="00192837" w14:paraId="06BF9860" w14:textId="77777777" w:rsidTr="004111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3166C426"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Australia</w:t>
            </w:r>
          </w:p>
        </w:tc>
        <w:tc>
          <w:tcPr>
            <w:tcW w:w="1199" w:type="dxa"/>
          </w:tcPr>
          <w:p w14:paraId="4E7FB48E"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143E81C2"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1199" w:type="dxa"/>
          </w:tcPr>
          <w:p w14:paraId="3D049E9B"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754583CF"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1199" w:type="dxa"/>
          </w:tcPr>
          <w:p w14:paraId="06DEA4CC"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2664DEAF"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r>
      <w:tr w:rsidR="00192837" w:rsidRPr="00192837" w14:paraId="44E1F33F" w14:textId="77777777" w:rsidTr="004111E2">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7F454235"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Denmark</w:t>
            </w:r>
          </w:p>
        </w:tc>
        <w:tc>
          <w:tcPr>
            <w:tcW w:w="1199" w:type="dxa"/>
          </w:tcPr>
          <w:p w14:paraId="1F09F952"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5CAE8140"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2DA15283"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4F"/>
            </w:r>
          </w:p>
        </w:tc>
        <w:tc>
          <w:tcPr>
            <w:tcW w:w="1199" w:type="dxa"/>
          </w:tcPr>
          <w:p w14:paraId="20E73266"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60853F7B"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72E13603"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r>
      <w:tr w:rsidR="00192837" w:rsidRPr="00192837" w14:paraId="0A1E28E2" w14:textId="77777777" w:rsidTr="004111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2B3D8FEE"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France</w:t>
            </w:r>
          </w:p>
        </w:tc>
        <w:tc>
          <w:tcPr>
            <w:tcW w:w="1199" w:type="dxa"/>
          </w:tcPr>
          <w:p w14:paraId="73C76158"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42EE5C8A"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4D60DF71"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1868CC91"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077C9A57"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5239AFE8"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r>
      <w:tr w:rsidR="00192837" w:rsidRPr="00192837" w14:paraId="2E97C1E6" w14:textId="77777777" w:rsidTr="004111E2">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42131229"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New Zealand</w:t>
            </w:r>
          </w:p>
        </w:tc>
        <w:tc>
          <w:tcPr>
            <w:tcW w:w="1199" w:type="dxa"/>
          </w:tcPr>
          <w:p w14:paraId="70AC813D"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24E6F2E7"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4B015791"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0D8932BD"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636C4710"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4BEF18D0"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r>
      <w:tr w:rsidR="00192837" w:rsidRPr="00192837" w14:paraId="32F1EF58" w14:textId="77777777" w:rsidTr="004111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0EF66255"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Portugal</w:t>
            </w:r>
          </w:p>
        </w:tc>
        <w:tc>
          <w:tcPr>
            <w:tcW w:w="1199" w:type="dxa"/>
          </w:tcPr>
          <w:p w14:paraId="1D271F30"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00E432C8"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4D7CDAED"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49E79FBF"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55E84C09"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4BB9D374"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r>
      <w:tr w:rsidR="00192837" w:rsidRPr="00192837" w14:paraId="11D16900" w14:textId="77777777" w:rsidTr="004111E2">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0677D385"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Singapore</w:t>
            </w:r>
          </w:p>
        </w:tc>
        <w:tc>
          <w:tcPr>
            <w:tcW w:w="1199" w:type="dxa"/>
          </w:tcPr>
          <w:p w14:paraId="3DFA52E8"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474B73F5"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34AC6A80"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557E8AF0"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72A4FC3D"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3E6DB54F"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r>
      <w:tr w:rsidR="00192837" w:rsidRPr="00192837" w14:paraId="302B4743" w14:textId="77777777" w:rsidTr="004111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29B5DB8D"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Alberta</w:t>
            </w:r>
          </w:p>
        </w:tc>
        <w:tc>
          <w:tcPr>
            <w:tcW w:w="1199" w:type="dxa"/>
          </w:tcPr>
          <w:p w14:paraId="40B46CB1"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64BA8C2E"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63A09E4B"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23E59E6E"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1199" w:type="dxa"/>
          </w:tcPr>
          <w:p w14:paraId="3AFBAD1D"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642D127E"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r>
      <w:tr w:rsidR="00192837" w:rsidRPr="00192837" w14:paraId="0A8EC3B8" w14:textId="77777777" w:rsidTr="004111E2">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0759A6DE"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British Columbia</w:t>
            </w:r>
          </w:p>
        </w:tc>
        <w:tc>
          <w:tcPr>
            <w:tcW w:w="1199" w:type="dxa"/>
          </w:tcPr>
          <w:p w14:paraId="156337BE"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1A5E2421"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289CD0FE"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230A734C"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62F5E7F9"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0ED13299"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r>
      <w:tr w:rsidR="00192837" w:rsidRPr="00192837" w14:paraId="22D428AC" w14:textId="77777777" w:rsidTr="004111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21F71CCC"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Newfoundland and Labrador</w:t>
            </w:r>
          </w:p>
        </w:tc>
        <w:tc>
          <w:tcPr>
            <w:tcW w:w="1199" w:type="dxa"/>
          </w:tcPr>
          <w:p w14:paraId="2018855E"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67C13705"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7A68ACC7"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1CB95910"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0D9A7D94"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7AD0442B"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r>
      <w:tr w:rsidR="00192837" w:rsidRPr="00192837" w14:paraId="71955F5D" w14:textId="77777777" w:rsidTr="004111E2">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40291C7C"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Ontario</w:t>
            </w:r>
          </w:p>
        </w:tc>
        <w:tc>
          <w:tcPr>
            <w:tcW w:w="1199" w:type="dxa"/>
          </w:tcPr>
          <w:p w14:paraId="04369E43"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3E622251"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55CB5D2F"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75C2B328"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1199" w:type="dxa"/>
          </w:tcPr>
          <w:p w14:paraId="495FF2A0"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1199" w:type="dxa"/>
          </w:tcPr>
          <w:p w14:paraId="00EBCFF3"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r>
      <w:tr w:rsidR="00192837" w:rsidRPr="00192837" w14:paraId="5F81C852" w14:textId="77777777" w:rsidTr="004111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0A785492"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Saskatchewan</w:t>
            </w:r>
          </w:p>
        </w:tc>
        <w:tc>
          <w:tcPr>
            <w:tcW w:w="1199" w:type="dxa"/>
          </w:tcPr>
          <w:p w14:paraId="455125B4"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55203ADD"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507F0D45"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352CF9DE"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197A7F69"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0B7696BF"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r>
      <w:tr w:rsidR="00192837" w:rsidRPr="00192837" w14:paraId="0D632256" w14:textId="77777777" w:rsidTr="004111E2">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10EECEB4"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California</w:t>
            </w:r>
          </w:p>
        </w:tc>
        <w:tc>
          <w:tcPr>
            <w:tcW w:w="1199" w:type="dxa"/>
          </w:tcPr>
          <w:p w14:paraId="347C8BDC"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290E40CE"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22D8D60F"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7398D244"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1199" w:type="dxa"/>
          </w:tcPr>
          <w:p w14:paraId="48C76C38"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258F8161"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r>
      <w:tr w:rsidR="00192837" w:rsidRPr="00192837" w14:paraId="026AA1BB" w14:textId="77777777" w:rsidTr="004111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2F28E448"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Maine</w:t>
            </w:r>
          </w:p>
        </w:tc>
        <w:tc>
          <w:tcPr>
            <w:tcW w:w="1199" w:type="dxa"/>
          </w:tcPr>
          <w:p w14:paraId="4ECA69FC"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4650BB7E"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2235AD89"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004F35AB"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79CA8CE0"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6A8B7093"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r>
      <w:tr w:rsidR="00192837" w:rsidRPr="00192837" w14:paraId="20A22438" w14:textId="77777777" w:rsidTr="004111E2">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4FCB2CBE"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North Carolina</w:t>
            </w:r>
          </w:p>
        </w:tc>
        <w:tc>
          <w:tcPr>
            <w:tcW w:w="1199" w:type="dxa"/>
          </w:tcPr>
          <w:p w14:paraId="40805C81"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1769856D"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463061CA"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49246F41"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1199" w:type="dxa"/>
          </w:tcPr>
          <w:p w14:paraId="15CCE788"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1199" w:type="dxa"/>
          </w:tcPr>
          <w:p w14:paraId="70DB1ADB"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r>
      <w:tr w:rsidR="00192837" w:rsidRPr="00192837" w14:paraId="0E685B1A" w14:textId="77777777" w:rsidTr="004111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0754381D"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Oklahoma</w:t>
            </w:r>
          </w:p>
        </w:tc>
        <w:tc>
          <w:tcPr>
            <w:tcW w:w="1199" w:type="dxa"/>
          </w:tcPr>
          <w:p w14:paraId="44F953C0"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2C0ED4D4"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1199" w:type="dxa"/>
          </w:tcPr>
          <w:p w14:paraId="500787F4"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4BF78BA8"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72B59B12"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3C0B0916"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r>
      <w:tr w:rsidR="00192837" w:rsidRPr="00192837" w14:paraId="0AB22AD7" w14:textId="77777777" w:rsidTr="004111E2">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547B9A35"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Oregon</w:t>
            </w:r>
          </w:p>
        </w:tc>
        <w:tc>
          <w:tcPr>
            <w:tcW w:w="1199" w:type="dxa"/>
          </w:tcPr>
          <w:p w14:paraId="24D7D213"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06A2EF2F"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33BE8E1B"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305E65D8"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1199" w:type="dxa"/>
          </w:tcPr>
          <w:p w14:paraId="3075E69D"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361CD207"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r>
      <w:tr w:rsidR="00192837" w:rsidRPr="00192837" w14:paraId="752C8F4A" w14:textId="77777777" w:rsidTr="004111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70223AD7"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Washington</w:t>
            </w:r>
          </w:p>
        </w:tc>
        <w:tc>
          <w:tcPr>
            <w:tcW w:w="1199" w:type="dxa"/>
          </w:tcPr>
          <w:p w14:paraId="6C3847E8"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462B8E96"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1009DB59"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6530AA6A"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1199" w:type="dxa"/>
          </w:tcPr>
          <w:p w14:paraId="1706907B"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99" w:type="dxa"/>
          </w:tcPr>
          <w:p w14:paraId="71E18EB4"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r>
      <w:tr w:rsidR="00192837" w:rsidRPr="00192837" w14:paraId="70C2290D" w14:textId="77777777" w:rsidTr="004111E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49820C7C"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000000"/>
                <w:sz w:val="18"/>
                <w:szCs w:val="20"/>
              </w:rPr>
            </w:pPr>
            <w:r w:rsidRPr="00192837">
              <w:rPr>
                <w:rFonts w:eastAsia="Gill Sans MT" w:cs="Times New Roman"/>
                <w:color w:val="000000"/>
                <w:sz w:val="18"/>
                <w:szCs w:val="20"/>
              </w:rPr>
              <w:t>Total</w:t>
            </w:r>
          </w:p>
        </w:tc>
        <w:tc>
          <w:tcPr>
            <w:tcW w:w="1199" w:type="dxa"/>
          </w:tcPr>
          <w:p w14:paraId="1D25BB9A"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10000000000" w:firstRow="0" w:lastRow="1" w:firstColumn="0" w:lastColumn="0" w:oddVBand="0" w:evenVBand="0" w:oddHBand="0"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t>17</w:t>
            </w:r>
          </w:p>
        </w:tc>
        <w:tc>
          <w:tcPr>
            <w:tcW w:w="1199" w:type="dxa"/>
          </w:tcPr>
          <w:p w14:paraId="4B9AD285"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10000000000" w:firstRow="0" w:lastRow="1" w:firstColumn="0" w:lastColumn="0" w:oddVBand="0" w:evenVBand="0" w:oddHBand="0"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t>15</w:t>
            </w:r>
          </w:p>
        </w:tc>
        <w:tc>
          <w:tcPr>
            <w:tcW w:w="1199" w:type="dxa"/>
          </w:tcPr>
          <w:p w14:paraId="0D8B0E6A"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10000000000" w:firstRow="0" w:lastRow="1" w:firstColumn="0" w:lastColumn="0" w:oddVBand="0" w:evenVBand="0" w:oddHBand="0"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t>16</w:t>
            </w:r>
          </w:p>
        </w:tc>
        <w:tc>
          <w:tcPr>
            <w:tcW w:w="1199" w:type="dxa"/>
          </w:tcPr>
          <w:p w14:paraId="2AB4A0AC"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10000000000" w:firstRow="0" w:lastRow="1" w:firstColumn="0" w:lastColumn="0" w:oddVBand="0" w:evenVBand="0" w:oddHBand="0"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t>10</w:t>
            </w:r>
          </w:p>
        </w:tc>
        <w:tc>
          <w:tcPr>
            <w:tcW w:w="1199" w:type="dxa"/>
          </w:tcPr>
          <w:p w14:paraId="6E84A7BF"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10000000000" w:firstRow="0" w:lastRow="1" w:firstColumn="0" w:lastColumn="0" w:oddVBand="0" w:evenVBand="0" w:oddHBand="0"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t>15</w:t>
            </w:r>
          </w:p>
        </w:tc>
        <w:tc>
          <w:tcPr>
            <w:tcW w:w="1199" w:type="dxa"/>
          </w:tcPr>
          <w:p w14:paraId="72242C3E" w14:textId="77777777" w:rsidR="00192837" w:rsidRPr="00192837" w:rsidRDefault="00192837" w:rsidP="007E49A1">
            <w:pPr>
              <w:keepNext/>
              <w:keepLines/>
              <w:tabs>
                <w:tab w:val="clear" w:pos="280"/>
                <w:tab w:val="clear" w:pos="4800"/>
                <w:tab w:val="clear" w:pos="5780"/>
              </w:tabs>
              <w:suppressAutoHyphens w:val="0"/>
              <w:autoSpaceDE/>
              <w:autoSpaceDN/>
              <w:adjustRightInd/>
              <w:spacing w:line="264" w:lineRule="auto"/>
              <w:jc w:val="center"/>
              <w:textAlignment w:val="auto"/>
              <w:cnfStyle w:val="010000000000" w:firstRow="0" w:lastRow="1" w:firstColumn="0" w:lastColumn="0" w:oddVBand="0" w:evenVBand="0" w:oddHBand="0"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t>10</w:t>
            </w:r>
          </w:p>
        </w:tc>
      </w:tr>
    </w:tbl>
    <w:p w14:paraId="66653567" w14:textId="77777777" w:rsidR="00C95007" w:rsidRDefault="00C95007" w:rsidP="00C95007">
      <w:pPr>
        <w:pStyle w:val="Tablenote"/>
        <w:keepLines/>
      </w:pPr>
      <w:r>
        <w:t xml:space="preserve">Note: Cells with no mark mean the telemedicine regulation does not explicitly mention this issue. </w:t>
      </w:r>
    </w:p>
    <w:p w14:paraId="63ADD287" w14:textId="4435FE2F" w:rsidR="00192837" w:rsidRPr="00192837" w:rsidRDefault="00192837" w:rsidP="007E49A1">
      <w:pPr>
        <w:keepNext/>
        <w:keepLines/>
        <w:tabs>
          <w:tab w:val="clear" w:pos="280"/>
          <w:tab w:val="clear" w:pos="4800"/>
          <w:tab w:val="clear" w:pos="5780"/>
        </w:tabs>
        <w:suppressAutoHyphens w:val="0"/>
        <w:autoSpaceDE/>
        <w:autoSpaceDN/>
        <w:adjustRightInd/>
        <w:spacing w:after="120" w:line="264" w:lineRule="auto"/>
        <w:textAlignment w:val="auto"/>
        <w:rPr>
          <w:sz w:val="16"/>
          <w:szCs w:val="16"/>
        </w:rPr>
      </w:pPr>
      <w:r w:rsidRPr="00192837">
        <w:rPr>
          <w:sz w:val="16"/>
          <w:szCs w:val="16"/>
        </w:rPr>
        <w:t>Source: Europe Economics</w:t>
      </w:r>
    </w:p>
    <w:p w14:paraId="7E98C203" w14:textId="77777777" w:rsidR="005C2B38" w:rsidRPr="00D13AF1" w:rsidRDefault="005C2B38" w:rsidP="005C2B38">
      <w:pPr>
        <w:pStyle w:val="BodyEE"/>
      </w:pPr>
    </w:p>
    <w:p w14:paraId="4557EF77" w14:textId="77777777" w:rsidR="005C2B38" w:rsidRPr="00D13AF1" w:rsidRDefault="005C2B38" w:rsidP="005C2B38">
      <w:pPr>
        <w:pStyle w:val="BodyEE"/>
      </w:pPr>
    </w:p>
    <w:p w14:paraId="598A842B" w14:textId="77777777" w:rsidR="005C2B38" w:rsidRPr="00D13AF1" w:rsidRDefault="005C2B38" w:rsidP="005C2B38">
      <w:pPr>
        <w:pStyle w:val="BodyEE"/>
      </w:pPr>
    </w:p>
    <w:p w14:paraId="31FD3A97" w14:textId="77777777" w:rsidR="005C2B38" w:rsidRPr="00D13AF1" w:rsidRDefault="005C2B38" w:rsidP="0074570C">
      <w:pPr>
        <w:pStyle w:val="Heading1"/>
        <w:ind w:left="709" w:hanging="714"/>
        <w:jc w:val="left"/>
      </w:pPr>
      <w:bookmarkStart w:id="47" w:name="_Toc499025520"/>
      <w:bookmarkStart w:id="48" w:name="_Toc499211325"/>
      <w:bookmarkStart w:id="49" w:name="_Ref499306971"/>
      <w:bookmarkStart w:id="50" w:name="_Ref499310084"/>
      <w:bookmarkStart w:id="51" w:name="_Toc504484113"/>
      <w:r w:rsidRPr="00D13AF1">
        <w:lastRenderedPageBreak/>
        <w:t>Requirements for Healthcare Professionals</w:t>
      </w:r>
      <w:bookmarkEnd w:id="47"/>
      <w:bookmarkEnd w:id="48"/>
      <w:bookmarkEnd w:id="49"/>
      <w:bookmarkEnd w:id="50"/>
      <w:bookmarkEnd w:id="51"/>
    </w:p>
    <w:p w14:paraId="5ABD8BF2" w14:textId="6274FB88" w:rsidR="005C2B38" w:rsidRPr="00D13AF1" w:rsidRDefault="005C2B38" w:rsidP="005C2B38">
      <w:pPr>
        <w:pStyle w:val="BodyEE"/>
      </w:pPr>
      <w:r w:rsidRPr="00D13AF1">
        <w:t xml:space="preserve">In this chapter we discuss the key requirements imposed on or applicable to healthcare practitioners in general, and doctors in particular. We distinguish between </w:t>
      </w:r>
      <w:r w:rsidR="00E23D56">
        <w:t xml:space="preserve">entry </w:t>
      </w:r>
      <w:r w:rsidRPr="00D13AF1">
        <w:t xml:space="preserve">requirements, i.e. the requirements </w:t>
      </w:r>
      <w:r w:rsidR="00E23D56">
        <w:t xml:space="preserve">for registration/licensing that </w:t>
      </w:r>
      <w:r w:rsidRPr="00D13AF1">
        <w:t>healthcare practitioners need to satisfy before they begin to practi</w:t>
      </w:r>
      <w:r w:rsidR="00D907A8">
        <w:t>s</w:t>
      </w:r>
      <w:r w:rsidRPr="00D13AF1">
        <w:t xml:space="preserve">e telemedicine (section </w:t>
      </w:r>
      <w:r w:rsidRPr="00D13AF1">
        <w:fldChar w:fldCharType="begin"/>
      </w:r>
      <w:r w:rsidRPr="00D13AF1">
        <w:instrText xml:space="preserve"> REF _Ref499133246 \r \h </w:instrText>
      </w:r>
      <w:r w:rsidRPr="00D13AF1">
        <w:fldChar w:fldCharType="separate"/>
      </w:r>
      <w:r w:rsidR="00B51130">
        <w:t>4.1</w:t>
      </w:r>
      <w:r w:rsidRPr="00D13AF1">
        <w:fldChar w:fldCharType="end"/>
      </w:r>
      <w:r w:rsidRPr="00D13AF1">
        <w:t xml:space="preserve">), and </w:t>
      </w:r>
      <w:r w:rsidR="00E23D56">
        <w:t xml:space="preserve">ongoing </w:t>
      </w:r>
      <w:r w:rsidRPr="00D13AF1">
        <w:t xml:space="preserve">requirements and standards which should be adhered to when providing telemedicine services (section </w:t>
      </w:r>
      <w:r w:rsidRPr="00D13AF1">
        <w:fldChar w:fldCharType="begin"/>
      </w:r>
      <w:r w:rsidRPr="00D13AF1">
        <w:instrText xml:space="preserve"> REF _Ref499133249 \r \h </w:instrText>
      </w:r>
      <w:r w:rsidRPr="00D13AF1">
        <w:fldChar w:fldCharType="separate"/>
      </w:r>
      <w:r w:rsidR="00B51130">
        <w:t>4.2</w:t>
      </w:r>
      <w:r w:rsidRPr="00D13AF1">
        <w:fldChar w:fldCharType="end"/>
      </w:r>
      <w:r w:rsidRPr="00D13AF1">
        <w:t>).</w:t>
      </w:r>
    </w:p>
    <w:p w14:paraId="34AE9BA1" w14:textId="2E3616E7" w:rsidR="005C2B38" w:rsidRPr="00D13AF1" w:rsidRDefault="005C2B38" w:rsidP="005C2B38">
      <w:pPr>
        <w:pStyle w:val="BodyEE"/>
      </w:pPr>
      <w:r w:rsidRPr="00D13AF1">
        <w:t xml:space="preserve">In our discussion of the licensing requirements in section </w:t>
      </w:r>
      <w:r w:rsidRPr="00D13AF1">
        <w:fldChar w:fldCharType="begin"/>
      </w:r>
      <w:r w:rsidRPr="00D13AF1">
        <w:instrText xml:space="preserve"> REF _Ref499133246 \r \h </w:instrText>
      </w:r>
      <w:r w:rsidRPr="00D13AF1">
        <w:fldChar w:fldCharType="separate"/>
      </w:r>
      <w:r w:rsidR="00B51130">
        <w:t>4.1</w:t>
      </w:r>
      <w:r w:rsidRPr="00D13AF1">
        <w:fldChar w:fldCharType="end"/>
      </w:r>
      <w:r w:rsidRPr="00D13AF1">
        <w:t xml:space="preserve">, we also cover the issues associated with cases where telemedicine services are provided across different jurisdictions. </w:t>
      </w:r>
      <w:r w:rsidR="00511DD8" w:rsidRPr="00D13AF1">
        <w:t xml:space="preserve">Since </w:t>
      </w:r>
      <w:r w:rsidRPr="00D13AF1">
        <w:t>(at least in the context of telemedicine) licensing appears to be the strongest regulatory tool available to the organisations included in our research, and because telemedicine is generally considered not to be materially different from other medical services, the main approach among our sample to address the possibility of cross-border provision of telemedicine involves licens</w:t>
      </w:r>
      <w:r w:rsidR="00511DD8" w:rsidRPr="00D13AF1">
        <w:t>ing</w:t>
      </w:r>
      <w:r w:rsidRPr="00D13AF1">
        <w:t>.</w:t>
      </w:r>
    </w:p>
    <w:p w14:paraId="29954BBA" w14:textId="77777777" w:rsidR="005C2B38" w:rsidRPr="00D13AF1" w:rsidRDefault="005C2B38" w:rsidP="005C2B38">
      <w:pPr>
        <w:pStyle w:val="BodyEE"/>
      </w:pPr>
      <w:r w:rsidRPr="00D13AF1">
        <w:t xml:space="preserve">We also analyse the implications these requirements and broader regulatory frameworks have for where ultimate responsibility for patient outcomes lies (section </w:t>
      </w:r>
      <w:r w:rsidRPr="00D13AF1">
        <w:fldChar w:fldCharType="begin"/>
      </w:r>
      <w:r w:rsidRPr="00D13AF1">
        <w:instrText xml:space="preserve"> REF _Ref499133253 \r \h </w:instrText>
      </w:r>
      <w:r w:rsidRPr="00D13AF1">
        <w:fldChar w:fldCharType="separate"/>
      </w:r>
      <w:r w:rsidR="00B51130">
        <w:t>4.3</w:t>
      </w:r>
      <w:r w:rsidRPr="00D13AF1">
        <w:fldChar w:fldCharType="end"/>
      </w:r>
      <w:r w:rsidRPr="00D13AF1">
        <w:t xml:space="preserve">). </w:t>
      </w:r>
    </w:p>
    <w:p w14:paraId="5F86E90C" w14:textId="77777777" w:rsidR="005C2B38" w:rsidRPr="003F01D3" w:rsidRDefault="005C2B38" w:rsidP="003F01D3">
      <w:pPr>
        <w:pStyle w:val="Heading2Pink"/>
        <w:rPr>
          <w:color w:val="683493" w:themeColor="accent1"/>
        </w:rPr>
      </w:pPr>
      <w:bookmarkStart w:id="52" w:name="_Toc499025521"/>
      <w:bookmarkStart w:id="53" w:name="_Ref499133246"/>
      <w:bookmarkStart w:id="54" w:name="_Toc499211326"/>
      <w:bookmarkStart w:id="55" w:name="_Toc504484114"/>
      <w:r w:rsidRPr="003F01D3">
        <w:rPr>
          <w:color w:val="683493" w:themeColor="accent1"/>
        </w:rPr>
        <w:t>Licensing</w:t>
      </w:r>
      <w:bookmarkEnd w:id="52"/>
      <w:r w:rsidRPr="003F01D3">
        <w:rPr>
          <w:color w:val="683493" w:themeColor="accent1"/>
        </w:rPr>
        <w:t xml:space="preserve"> and cross-border requirements</w:t>
      </w:r>
      <w:bookmarkEnd w:id="53"/>
      <w:bookmarkEnd w:id="54"/>
      <w:bookmarkEnd w:id="55"/>
    </w:p>
    <w:p w14:paraId="55A76054" w14:textId="530FE385" w:rsidR="005C2B38" w:rsidRPr="00D13AF1" w:rsidRDefault="005C2B38" w:rsidP="005C2B38">
      <w:pPr>
        <w:pStyle w:val="BodyEE"/>
      </w:pPr>
      <w:r w:rsidRPr="00D13AF1">
        <w:t xml:space="preserve">In all the jurisdictions </w:t>
      </w:r>
      <w:r w:rsidR="00511DD8" w:rsidRPr="00D13AF1">
        <w:t>in our sample</w:t>
      </w:r>
      <w:r w:rsidRPr="00D13AF1">
        <w:t xml:space="preserve"> a doctor needs to be licensed or registered in order to practi</w:t>
      </w:r>
      <w:r w:rsidR="00F3707E">
        <w:t>s</w:t>
      </w:r>
      <w:r w:rsidRPr="00D13AF1">
        <w:t>e medicine.</w:t>
      </w:r>
      <w:r w:rsidR="009E4D8D" w:rsidRPr="009E4D8D">
        <w:rPr>
          <w:lang w:val="en-US"/>
        </w:rPr>
        <w:t xml:space="preserve"> </w:t>
      </w:r>
      <w:r w:rsidR="00812DF2">
        <w:rPr>
          <w:lang w:val="en-US"/>
        </w:rPr>
        <w:t>I</w:t>
      </w:r>
      <w:r w:rsidR="009E4D8D" w:rsidRPr="00993CBE">
        <w:rPr>
          <w:lang w:val="en-US"/>
        </w:rPr>
        <w:t xml:space="preserve">n this report we use </w:t>
      </w:r>
      <w:r w:rsidR="00C22BC8">
        <w:rPr>
          <w:lang w:val="en-US"/>
        </w:rPr>
        <w:t>the terms</w:t>
      </w:r>
      <w:r w:rsidR="009E4D8D" w:rsidRPr="00993CBE">
        <w:rPr>
          <w:lang w:val="en-US"/>
        </w:rPr>
        <w:t xml:space="preserve"> interchangeably to mean </w:t>
      </w:r>
      <w:r w:rsidR="009D1B31">
        <w:rPr>
          <w:lang w:val="en-US"/>
        </w:rPr>
        <w:t xml:space="preserve">an entry requirement for </w:t>
      </w:r>
      <w:proofErr w:type="spellStart"/>
      <w:r w:rsidR="009D1B31">
        <w:rPr>
          <w:lang w:val="en-US"/>
        </w:rPr>
        <w:t>practis</w:t>
      </w:r>
      <w:r w:rsidR="009E4D8D" w:rsidRPr="00993CBE">
        <w:rPr>
          <w:lang w:val="en-US"/>
        </w:rPr>
        <w:t>ing</w:t>
      </w:r>
      <w:proofErr w:type="spellEnd"/>
      <w:r w:rsidR="009E4D8D" w:rsidRPr="00993CBE">
        <w:rPr>
          <w:lang w:val="en-US"/>
        </w:rPr>
        <w:t xml:space="preserve"> as a doctor</w:t>
      </w:r>
      <w:r w:rsidR="009E4D8D">
        <w:rPr>
          <w:lang w:val="en-US"/>
        </w:rPr>
        <w:t>.</w:t>
      </w:r>
      <w:r w:rsidRPr="00D13AF1">
        <w:t xml:space="preserve"> In this section we provide an overview of how this requirement is applied in the context of telemedicine, especially when medical services are provided by a doctor based in a different jurisdiction to the patient.</w:t>
      </w:r>
    </w:p>
    <w:p w14:paraId="112750BC" w14:textId="0BD25F2F" w:rsidR="005C2B38" w:rsidRPr="00D13AF1" w:rsidRDefault="005C2B38" w:rsidP="005C2B38">
      <w:pPr>
        <w:pStyle w:val="Heading3"/>
      </w:pPr>
      <w:r w:rsidRPr="00D13AF1">
        <w:t xml:space="preserve">Licensing requirements and the location of </w:t>
      </w:r>
      <w:r w:rsidR="00511DD8" w:rsidRPr="00D13AF1">
        <w:t xml:space="preserve">a </w:t>
      </w:r>
      <w:r w:rsidRPr="00D13AF1">
        <w:t>medical service</w:t>
      </w:r>
    </w:p>
    <w:p w14:paraId="2C50E416" w14:textId="4067476B" w:rsidR="005C2B38" w:rsidRPr="00D13AF1" w:rsidRDefault="005C2B38" w:rsidP="005C2B38">
      <w:pPr>
        <w:pStyle w:val="BodyEE"/>
      </w:pPr>
      <w:r w:rsidRPr="00D13AF1">
        <w:t>Before discussing the licensing requirements in the context of telemedicine, it is important to distinguish between two interpretations of where a medical service is occurring</w:t>
      </w:r>
      <w:r w:rsidR="00511DD8" w:rsidRPr="00D13AF1">
        <w:t xml:space="preserve"> when</w:t>
      </w:r>
      <w:r w:rsidRPr="00D13AF1">
        <w:t xml:space="preserve"> the parties involved are not in the same location. In principle, the medical service could be deemed to take place in the jurisdic</w:t>
      </w:r>
      <w:r w:rsidR="00626A99">
        <w:t>tion of the patient,</w:t>
      </w:r>
      <w:r w:rsidRPr="00D13AF1">
        <w:t xml:space="preserve"> in the jurisdiction of the doctor providing telemedicine</w:t>
      </w:r>
      <w:r w:rsidR="00626A99">
        <w:t>, or</w:t>
      </w:r>
      <w:r w:rsidR="00626A99" w:rsidRPr="00626A99">
        <w:t xml:space="preserve"> in the jur</w:t>
      </w:r>
      <w:r w:rsidR="00982311">
        <w:t>isdiction where the intermediating company</w:t>
      </w:r>
      <w:r w:rsidR="00626A99" w:rsidRPr="00626A99">
        <w:t xml:space="preserve"> is located</w:t>
      </w:r>
      <w:r w:rsidR="00A4074E">
        <w:t xml:space="preserve"> (i.e. where the </w:t>
      </w:r>
      <w:r w:rsidR="0050174F">
        <w:t>organisation via which telemedicine is provided is registered)</w:t>
      </w:r>
      <w:r w:rsidR="00626A99" w:rsidRPr="00626A99">
        <w:t xml:space="preserve">. </w:t>
      </w:r>
    </w:p>
    <w:p w14:paraId="364AE4C7" w14:textId="6C15DC6F" w:rsidR="005C2B38" w:rsidRPr="00D13AF1" w:rsidRDefault="005C2B38" w:rsidP="005C2B38">
      <w:pPr>
        <w:pStyle w:val="BodyEE"/>
      </w:pPr>
      <w:r w:rsidRPr="00D13AF1">
        <w:t xml:space="preserve">Based on our research, the </w:t>
      </w:r>
      <w:r w:rsidR="00996726">
        <w:t>USA</w:t>
      </w:r>
      <w:r w:rsidRPr="00D13AF1">
        <w:t xml:space="preserve"> state-regulators (and most of the Canadian ones) broadly agree that the relevant jurisdiction is that of the patient, and that doctors must comply with the regulations in the patient’s jurisdiction. The European Directive on electronic commerce, on the other hand, establishes that the service provider (i.e. the doctor) should comply with the legal requirements in </w:t>
      </w:r>
      <w:r w:rsidR="00A940D9">
        <w:t>their</w:t>
      </w:r>
      <w:r w:rsidRPr="00D13AF1">
        <w:t xml:space="preserve"> jurisdiction rather than with the requirements in the </w:t>
      </w:r>
      <w:r w:rsidR="00511DD8" w:rsidRPr="00D13AF1">
        <w:t>customer</w:t>
      </w:r>
      <w:r w:rsidRPr="00D13AF1">
        <w:t xml:space="preserve">’s </w:t>
      </w:r>
      <w:r w:rsidR="00511DD8" w:rsidRPr="00D13AF1">
        <w:t xml:space="preserve">(i.e. the patient’s) </w:t>
      </w:r>
      <w:r w:rsidRPr="00D13AF1">
        <w:t>jurisdiction.</w:t>
      </w:r>
      <w:r w:rsidRPr="00D13AF1">
        <w:rPr>
          <w:rStyle w:val="FootnoteReference"/>
        </w:rPr>
        <w:footnoteReference w:id="38"/>
      </w:r>
      <w:r w:rsidRPr="00D13AF1">
        <w:t xml:space="preserve"> </w:t>
      </w:r>
    </w:p>
    <w:p w14:paraId="72377663" w14:textId="3CE28525" w:rsidR="005C2B38" w:rsidRPr="00D13AF1" w:rsidRDefault="005C2B38" w:rsidP="005C2B38">
      <w:pPr>
        <w:pStyle w:val="BodyEE"/>
      </w:pPr>
      <w:r w:rsidRPr="00D13AF1">
        <w:t xml:space="preserve">This basic distinction to a large extent determines the licensing requirements — in jurisdictions where the location of a telemedicine service is considered to be in the patient’s jurisdiction a ‘local’ </w:t>
      </w:r>
      <w:r w:rsidR="00511DD8" w:rsidRPr="00D13AF1">
        <w:t>licen</w:t>
      </w:r>
      <w:r w:rsidR="00F3707E">
        <w:t>c</w:t>
      </w:r>
      <w:r w:rsidR="00511DD8" w:rsidRPr="00D13AF1">
        <w:t xml:space="preserve">e </w:t>
      </w:r>
      <w:r w:rsidRPr="00D13AF1">
        <w:t xml:space="preserve">is </w:t>
      </w:r>
      <w:r w:rsidR="00E23D56">
        <w:t xml:space="preserve">often </w:t>
      </w:r>
      <w:r w:rsidRPr="00D13AF1">
        <w:t>required;</w:t>
      </w:r>
      <w:r w:rsidRPr="00D13AF1">
        <w:rPr>
          <w:rStyle w:val="FootnoteReference"/>
        </w:rPr>
        <w:footnoteReference w:id="39"/>
      </w:r>
      <w:r w:rsidRPr="00D13AF1">
        <w:t xml:space="preserve"> in jurisdictions where telemedicine is considered to take place in the doctor’s jurisdiction the </w:t>
      </w:r>
      <w:r w:rsidRPr="00D13AF1">
        <w:lastRenderedPageBreak/>
        <w:t xml:space="preserve">doctor is only expected to be registered with </w:t>
      </w:r>
      <w:r w:rsidR="00A940D9">
        <w:t>their</w:t>
      </w:r>
      <w:r w:rsidRPr="00D13AF1">
        <w:t xml:space="preserve"> regulator and does not need to seek additional licensing with the regulator in the patient’s jurisdiction.</w:t>
      </w:r>
    </w:p>
    <w:p w14:paraId="12C86442" w14:textId="2FEA8DB5" w:rsidR="00844E29" w:rsidRDefault="005C2B38" w:rsidP="005C2B38">
      <w:pPr>
        <w:pStyle w:val="BodyEE"/>
      </w:pPr>
      <w:r w:rsidRPr="00D13AF1">
        <w:t xml:space="preserve">The rationale behind the </w:t>
      </w:r>
      <w:r w:rsidR="00996726">
        <w:t>USA</w:t>
      </w:r>
      <w:r w:rsidRPr="00D13AF1">
        <w:t xml:space="preserve"> interpretation is that should anything go wrong, the patient should have recourse to a regional regulatory body, which could then investigate the complaint on the patient’s behalf. In our fieldwork</w:t>
      </w:r>
      <w:r w:rsidR="00511DD8" w:rsidRPr="00D13AF1">
        <w:t>,</w:t>
      </w:r>
      <w:r w:rsidRPr="00D13AF1">
        <w:t xml:space="preserve"> the FMRAC </w:t>
      </w:r>
      <w:r w:rsidR="000E2644" w:rsidRPr="00D13AF1">
        <w:t xml:space="preserve">(Canada) </w:t>
      </w:r>
      <w:r w:rsidRPr="00D13AF1">
        <w:t xml:space="preserve">also noted that most of the province-/territory-level regulators agree that the patient’s jurisdiction is the one in which a doctor should be registered, and those that do not require a local </w:t>
      </w:r>
      <w:r w:rsidR="003F3330" w:rsidRPr="00D13AF1">
        <w:t>licen</w:t>
      </w:r>
      <w:r w:rsidR="002D0CAE">
        <w:t>c</w:t>
      </w:r>
      <w:r w:rsidR="003F3330" w:rsidRPr="00D13AF1">
        <w:t>e</w:t>
      </w:r>
      <w:r w:rsidR="00511DD8" w:rsidRPr="00D13AF1">
        <w:t>,</w:t>
      </w:r>
      <w:r w:rsidRPr="00D13AF1">
        <w:t xml:space="preserve"> at the very minimum require the practitioner to be registered with at least one Canadian regulator. </w:t>
      </w:r>
      <w:r w:rsidR="00163806">
        <w:t>The Medical Board of Australia also require</w:t>
      </w:r>
      <w:r w:rsidR="009D1B31">
        <w:t>s</w:t>
      </w:r>
      <w:r w:rsidR="00163806">
        <w:t xml:space="preserve"> doctors treating patients in Australia to be registered with the Board regardless of where the doctor is located. </w:t>
      </w:r>
      <w:r w:rsidRPr="00D13AF1">
        <w:t xml:space="preserve">This ensures that there is always at least one regulator which could investigate a patient’s complaint regarding telemedicine service he or she received. </w:t>
      </w:r>
    </w:p>
    <w:p w14:paraId="54C5BAD6" w14:textId="7E28B1E8" w:rsidR="005C2B38" w:rsidRDefault="00844E29" w:rsidP="005C2B38">
      <w:pPr>
        <w:pStyle w:val="BodyEE"/>
      </w:pPr>
      <w:r>
        <w:t>An interesting example in this case is</w:t>
      </w:r>
      <w:r w:rsidR="00C06E1B">
        <w:t xml:space="preserve"> New Zealand,</w:t>
      </w:r>
      <w:r>
        <w:t xml:space="preserve"> where</w:t>
      </w:r>
      <w:r w:rsidR="00C06E1B">
        <w:t xml:space="preserve"> the</w:t>
      </w:r>
      <w:r>
        <w:t xml:space="preserve"> Medical Council (MCNZ) </w:t>
      </w:r>
      <w:r w:rsidRPr="00D13AF1">
        <w:t>do</w:t>
      </w:r>
      <w:r>
        <w:t>es</w:t>
      </w:r>
      <w:r w:rsidRPr="00D13AF1">
        <w:t xml:space="preserve"> not have </w:t>
      </w:r>
      <w:r>
        <w:t>the</w:t>
      </w:r>
      <w:r w:rsidRPr="00D13AF1">
        <w:t xml:space="preserve"> authority to require doctors </w:t>
      </w:r>
      <w:r>
        <w:t xml:space="preserve">from other jurisdictions </w:t>
      </w:r>
      <w:r w:rsidRPr="00D13AF1">
        <w:t>providing care to patients in N</w:t>
      </w:r>
      <w:r>
        <w:t xml:space="preserve">ew </w:t>
      </w:r>
      <w:r w:rsidRPr="00D13AF1">
        <w:t>Z</w:t>
      </w:r>
      <w:r>
        <w:t>ealand</w:t>
      </w:r>
      <w:r w:rsidRPr="00D13AF1">
        <w:t xml:space="preserve"> to be registered with </w:t>
      </w:r>
      <w:r>
        <w:t>the MCNZ</w:t>
      </w:r>
      <w:r w:rsidRPr="00D13AF1">
        <w:t xml:space="preserve">. As such, </w:t>
      </w:r>
      <w:r>
        <w:t>its</w:t>
      </w:r>
      <w:r w:rsidRPr="00D13AF1">
        <w:t xml:space="preserve"> statement on </w:t>
      </w:r>
      <w:r>
        <w:t>t</w:t>
      </w:r>
      <w:r w:rsidRPr="00D13AF1">
        <w:t xml:space="preserve">elehealth uses the phrase "you </w:t>
      </w:r>
      <w:r w:rsidRPr="00844E29">
        <w:rPr>
          <w:i/>
        </w:rPr>
        <w:t>should</w:t>
      </w:r>
      <w:r w:rsidRPr="00D13AF1">
        <w:t xml:space="preserve"> therefore be registered with the Council" rather than "you </w:t>
      </w:r>
      <w:r w:rsidRPr="00844E29">
        <w:rPr>
          <w:i/>
        </w:rPr>
        <w:t>must</w:t>
      </w:r>
      <w:r w:rsidRPr="00D13AF1">
        <w:t xml:space="preserve"> therefore be registered with the Council".</w:t>
      </w:r>
      <w:r>
        <w:t xml:space="preserve"> S</w:t>
      </w:r>
      <w:r w:rsidR="003732A3">
        <w:t xml:space="preserve">ee the exact formulation in </w:t>
      </w:r>
      <w:r w:rsidR="003732A3">
        <w:fldChar w:fldCharType="begin"/>
      </w:r>
      <w:r w:rsidR="003732A3">
        <w:instrText xml:space="preserve"> REF _Ref499639103 \h </w:instrText>
      </w:r>
      <w:r w:rsidR="003732A3">
        <w:fldChar w:fldCharType="separate"/>
      </w:r>
      <w:r w:rsidR="00B51130">
        <w:t xml:space="preserve">Table </w:t>
      </w:r>
      <w:r w:rsidR="00B51130">
        <w:rPr>
          <w:noProof/>
        </w:rPr>
        <w:t>4</w:t>
      </w:r>
      <w:r w:rsidR="00B51130">
        <w:t>.</w:t>
      </w:r>
      <w:r w:rsidR="00B51130">
        <w:rPr>
          <w:noProof/>
        </w:rPr>
        <w:t>1</w:t>
      </w:r>
      <w:r w:rsidR="003732A3">
        <w:fldChar w:fldCharType="end"/>
      </w:r>
      <w:r w:rsidR="003732A3">
        <w:t xml:space="preserve"> below.</w:t>
      </w:r>
    </w:p>
    <w:p w14:paraId="4BE81B35" w14:textId="544B3165" w:rsidR="003732A3" w:rsidRDefault="003732A3" w:rsidP="009D1B31">
      <w:pPr>
        <w:pStyle w:val="Caption"/>
        <w:keepLines/>
      </w:pPr>
      <w:bookmarkStart w:id="56" w:name="_Ref499639103"/>
      <w:r>
        <w:t xml:space="preserve">Table </w:t>
      </w:r>
      <w:r w:rsidR="00000000">
        <w:fldChar w:fldCharType="begin"/>
      </w:r>
      <w:r w:rsidR="00000000">
        <w:instrText xml:space="preserve"> STYLEREF 1 \s </w:instrText>
      </w:r>
      <w:r w:rsidR="00000000">
        <w:fldChar w:fldCharType="separate"/>
      </w:r>
      <w:r w:rsidR="00B51130">
        <w:rPr>
          <w:noProof/>
        </w:rPr>
        <w:t>4</w:t>
      </w:r>
      <w:r w:rsidR="00000000">
        <w:rPr>
          <w:noProof/>
        </w:rPr>
        <w:fldChar w:fldCharType="end"/>
      </w:r>
      <w:r w:rsidR="00EF67D2">
        <w:t>.</w:t>
      </w:r>
      <w:r w:rsidR="00000000">
        <w:fldChar w:fldCharType="begin"/>
      </w:r>
      <w:r w:rsidR="00000000">
        <w:instrText xml:space="preserve"> SEQ Table \* ARABIC \s 1 </w:instrText>
      </w:r>
      <w:r w:rsidR="00000000">
        <w:fldChar w:fldCharType="separate"/>
      </w:r>
      <w:r w:rsidR="00B51130">
        <w:rPr>
          <w:noProof/>
        </w:rPr>
        <w:t>1</w:t>
      </w:r>
      <w:r w:rsidR="00000000">
        <w:rPr>
          <w:noProof/>
        </w:rPr>
        <w:fldChar w:fldCharType="end"/>
      </w:r>
      <w:bookmarkEnd w:id="56"/>
      <w:r>
        <w:t>:</w:t>
      </w:r>
      <w:r w:rsidR="00F91076">
        <w:t xml:space="preserve"> </w:t>
      </w:r>
      <w:r w:rsidR="00CE60E6">
        <w:t xml:space="preserve">Registration </w:t>
      </w:r>
      <w:r w:rsidR="00F91076">
        <w:t>requirement in New Zealand</w:t>
      </w:r>
    </w:p>
    <w:tbl>
      <w:tblPr>
        <w:tblStyle w:val="LightGrid-Accent1"/>
        <w:tblW w:w="0" w:type="auto"/>
        <w:shd w:val="clear" w:color="auto" w:fill="E8E8E8" w:themeFill="accent4" w:themeFillTint="33"/>
        <w:tblLook w:val="04A0" w:firstRow="1" w:lastRow="0" w:firstColumn="1" w:lastColumn="0" w:noHBand="0" w:noVBand="1"/>
      </w:tblPr>
      <w:tblGrid>
        <w:gridCol w:w="9618"/>
      </w:tblGrid>
      <w:tr w:rsidR="003732A3" w14:paraId="3B9060C0" w14:textId="77777777" w:rsidTr="00F910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4" w:type="dxa"/>
            <w:shd w:val="clear" w:color="auto" w:fill="E8E8E8" w:themeFill="accent4" w:themeFillTint="33"/>
          </w:tcPr>
          <w:p w14:paraId="33541402" w14:textId="2A736EE8" w:rsidR="003732A3" w:rsidRPr="003732A3" w:rsidRDefault="003732A3" w:rsidP="009D1B31">
            <w:pPr>
              <w:pStyle w:val="LongQuotePurple"/>
              <w:keepNext/>
              <w:keepLines/>
              <w:spacing w:after="0"/>
              <w:rPr>
                <w:i/>
                <w:sz w:val="22"/>
              </w:rPr>
            </w:pPr>
            <w:r w:rsidRPr="003732A3">
              <w:rPr>
                <w:i/>
                <w:sz w:val="22"/>
              </w:rPr>
              <w:t>As a doctor, if you provide care to New Zealand-based patients via telehealth, the Council holds the view that you are practising medicine within New Zealand and you should therefore be registered with the Council. When practising telehealth, you will be subject to the same requirements as doctors registered in and practising in New Zealand. These include the Medical Council’s competence, conduct and health procedures and the complaints resolution processes of the office of the Health and Disability Commissioner. The Council will also notify the appropriate regulatory authorities in other countries if concerns have been raised about your practice.</w:t>
            </w:r>
          </w:p>
        </w:tc>
      </w:tr>
    </w:tbl>
    <w:p w14:paraId="28256916" w14:textId="0C2CF47E" w:rsidR="00C06E1B" w:rsidRPr="00D13AF1" w:rsidRDefault="003732A3" w:rsidP="009D1B31">
      <w:pPr>
        <w:pStyle w:val="Tablelastnote"/>
        <w:keepNext/>
        <w:keepLines/>
      </w:pPr>
      <w:r>
        <w:t>Source: MCNZ, Statement on telehealth.</w:t>
      </w:r>
    </w:p>
    <w:p w14:paraId="3C4C419E" w14:textId="77777777" w:rsidR="00993CBE" w:rsidRPr="00D13AF1" w:rsidRDefault="00993CBE" w:rsidP="00993CBE">
      <w:pPr>
        <w:pStyle w:val="BodyEE"/>
      </w:pPr>
      <w:r w:rsidRPr="00D13AF1">
        <w:t>Within the European Union, on the other hand, telemedicine seems to fall under a broader category of services provided across borders.</w:t>
      </w:r>
      <w:r w:rsidRPr="00D13AF1">
        <w:rPr>
          <w:rStyle w:val="FootnoteReference"/>
        </w:rPr>
        <w:footnoteReference w:id="40"/>
      </w:r>
      <w:r w:rsidRPr="00D13AF1">
        <w:t xml:space="preserve"> This implies that for telemedicine, similar to other services, the relevant jurisdiction is considered to be that at the origin of the service (i.e. where the doctor is) rather than the location of the consumer/patient.  </w:t>
      </w:r>
    </w:p>
    <w:p w14:paraId="74A291E7" w14:textId="150D3D39" w:rsidR="005C2B38" w:rsidRPr="00D13AF1" w:rsidRDefault="00391000" w:rsidP="005C2B38">
      <w:pPr>
        <w:pStyle w:val="Heading3"/>
      </w:pPr>
      <w:r>
        <w:t>Type of licen</w:t>
      </w:r>
      <w:r w:rsidR="00E7301E">
        <w:t>c</w:t>
      </w:r>
      <w:r w:rsidR="005C2B38" w:rsidRPr="00D13AF1">
        <w:t>e</w:t>
      </w:r>
    </w:p>
    <w:p w14:paraId="1BC43A7D" w14:textId="0F8EA2F5" w:rsidR="005C2B38" w:rsidRPr="00D13AF1" w:rsidRDefault="005C2B38" w:rsidP="005C2B38">
      <w:pPr>
        <w:pStyle w:val="BodyEE"/>
      </w:pPr>
      <w:r w:rsidRPr="00D13AF1">
        <w:t xml:space="preserve">Where a </w:t>
      </w:r>
      <w:r w:rsidR="00391000">
        <w:t>licen</w:t>
      </w:r>
      <w:r w:rsidR="00E7301E">
        <w:t>c</w:t>
      </w:r>
      <w:r w:rsidR="00511DD8" w:rsidRPr="00D13AF1">
        <w:t xml:space="preserve">e </w:t>
      </w:r>
      <w:r w:rsidRPr="00D13AF1">
        <w:t>for practi</w:t>
      </w:r>
      <w:r w:rsidR="00E7301E">
        <w:t>s</w:t>
      </w:r>
      <w:r w:rsidRPr="00D13AF1">
        <w:t>ing telemedicine is required, there is usually no distinct</w:t>
      </w:r>
      <w:r w:rsidR="00391000">
        <w:t>ion between ‘telemedicine licen</w:t>
      </w:r>
      <w:r w:rsidR="00E7301E">
        <w:t>c</w:t>
      </w:r>
      <w:r w:rsidRPr="00D13AF1">
        <w:t>e’ and the standard ‘medica</w:t>
      </w:r>
      <w:r w:rsidR="00391000">
        <w:t>l licen</w:t>
      </w:r>
      <w:r w:rsidR="00E7301E">
        <w:t>c</w:t>
      </w:r>
      <w:r w:rsidRPr="00D13AF1">
        <w:t xml:space="preserve">e’, i.e. regardless of whether the doctor provides services remotely or face-to-face, he or she will be required to have the same </w:t>
      </w:r>
      <w:r w:rsidR="00391000">
        <w:t>licen</w:t>
      </w:r>
      <w:r w:rsidR="00E7301E">
        <w:t>c</w:t>
      </w:r>
      <w:r w:rsidR="00511DD8" w:rsidRPr="00D13AF1">
        <w:t>e</w:t>
      </w:r>
      <w:r w:rsidRPr="00D13AF1">
        <w:t xml:space="preserve">. This is consistent with the understanding that telemedicine is just another way of providing the same medical services </w:t>
      </w:r>
      <w:r w:rsidR="00511DD8" w:rsidRPr="00D13AF1">
        <w:t>as</w:t>
      </w:r>
      <w:r w:rsidRPr="00D13AF1">
        <w:t xml:space="preserve"> are provided face-to-face, rather than being a different type of medical service</w:t>
      </w:r>
      <w:r w:rsidR="00511DD8" w:rsidRPr="00D13AF1">
        <w:t xml:space="preserve"> in its own right</w:t>
      </w:r>
      <w:r w:rsidRPr="00D13AF1">
        <w:t>.</w:t>
      </w:r>
    </w:p>
    <w:p w14:paraId="42039979" w14:textId="373092F5" w:rsidR="00C572E2" w:rsidRPr="00D13AF1" w:rsidRDefault="005C2B38" w:rsidP="005C2B38">
      <w:pPr>
        <w:pStyle w:val="BodyEE"/>
      </w:pPr>
      <w:r w:rsidRPr="00D13AF1">
        <w:t>That said, there are several jurisdictions where some form of special ‘telemedicine licen</w:t>
      </w:r>
      <w:r w:rsidR="0052554F">
        <w:t>c</w:t>
      </w:r>
      <w:r w:rsidRPr="00D13AF1">
        <w:t>e’ is available</w:t>
      </w:r>
      <w:r w:rsidR="003B410F">
        <w:t xml:space="preserve"> — i.e. could be used in place of the standard licence as long as the medical services are limited to telemedicine (and, sometimes, a small number of patients)</w:t>
      </w:r>
      <w:r w:rsidRPr="00D13AF1">
        <w:t>.</w:t>
      </w:r>
      <w:r w:rsidR="003B410F">
        <w:rPr>
          <w:rStyle w:val="FootnoteReference"/>
        </w:rPr>
        <w:footnoteReference w:id="41"/>
      </w:r>
      <w:r w:rsidRPr="00D13AF1">
        <w:t xml:space="preserve"> First, there are a number of </w:t>
      </w:r>
      <w:r w:rsidR="00996726">
        <w:t>USA</w:t>
      </w:r>
      <w:r w:rsidRPr="00D13AF1">
        <w:t xml:space="preserve"> states which </w:t>
      </w:r>
      <w:r w:rsidR="00511DD8" w:rsidRPr="00D13AF1">
        <w:t xml:space="preserve">have </w:t>
      </w:r>
      <w:r w:rsidR="008515C1" w:rsidRPr="00D13AF1">
        <w:t xml:space="preserve">(or have had) </w:t>
      </w:r>
      <w:r w:rsidR="00391000">
        <w:t>a special licen</w:t>
      </w:r>
      <w:r w:rsidR="0052554F">
        <w:t>c</w:t>
      </w:r>
      <w:r w:rsidRPr="00D13AF1">
        <w:t>e for telemedicine service</w:t>
      </w:r>
      <w:r w:rsidR="00511DD8" w:rsidRPr="00D13AF1">
        <w:t>s</w:t>
      </w:r>
      <w:r w:rsidRPr="00D13AF1">
        <w:t xml:space="preserve"> only.</w:t>
      </w:r>
      <w:r w:rsidRPr="00D13AF1">
        <w:rPr>
          <w:rStyle w:val="FootnoteReference"/>
        </w:rPr>
        <w:footnoteReference w:id="42"/>
      </w:r>
      <w:r w:rsidRPr="00D13AF1">
        <w:t xml:space="preserve"> This special ‘telemedicine licen</w:t>
      </w:r>
      <w:r w:rsidR="0052554F">
        <w:t>c</w:t>
      </w:r>
      <w:r w:rsidRPr="00D13AF1">
        <w:t>e’ is an abbreviated licen</w:t>
      </w:r>
      <w:r w:rsidR="0052554F">
        <w:t>c</w:t>
      </w:r>
      <w:r w:rsidRPr="00D13AF1">
        <w:t xml:space="preserve">e </w:t>
      </w:r>
      <w:r w:rsidRPr="00D13AF1">
        <w:lastRenderedPageBreak/>
        <w:t xml:space="preserve">(e.g. granted at a lesser fee or in a shorter timeframe) available only to physicians providing remote services. The motivation behind such </w:t>
      </w:r>
      <w:r w:rsidR="00391000">
        <w:t>licen</w:t>
      </w:r>
      <w:r w:rsidR="0052554F">
        <w:t>c</w:t>
      </w:r>
      <w:r w:rsidR="008515C1" w:rsidRPr="00D13AF1">
        <w:t xml:space="preserve">es was </w:t>
      </w:r>
      <w:r w:rsidRPr="00D13AF1">
        <w:t xml:space="preserve">to improve access to healthcare, especially in more rural </w:t>
      </w:r>
      <w:r w:rsidR="008515C1" w:rsidRPr="00D13AF1">
        <w:t xml:space="preserve">areas </w:t>
      </w:r>
      <w:r w:rsidRPr="00D13AF1">
        <w:t>w</w:t>
      </w:r>
      <w:r w:rsidR="008515C1" w:rsidRPr="00D13AF1">
        <w:t>ith</w:t>
      </w:r>
      <w:r w:rsidRPr="00D13AF1">
        <w:t xml:space="preserve"> shortages of physicians. That said, the FSMB </w:t>
      </w:r>
      <w:r w:rsidR="000E2644" w:rsidRPr="00D13AF1">
        <w:t>(</w:t>
      </w:r>
      <w:r w:rsidR="00996726">
        <w:t>USA</w:t>
      </w:r>
      <w:r w:rsidR="000E2644" w:rsidRPr="00D13AF1">
        <w:t xml:space="preserve">) </w:t>
      </w:r>
      <w:r w:rsidRPr="00D13AF1">
        <w:t>note</w:t>
      </w:r>
      <w:r w:rsidR="008515C1" w:rsidRPr="00D13AF1">
        <w:t>s</w:t>
      </w:r>
      <w:r w:rsidRPr="00D13AF1">
        <w:t xml:space="preserve"> that this model is not widely used — partly because other regulatory solutions to cross-state provision of medical services have been developed </w:t>
      </w:r>
      <w:r w:rsidR="008515C1" w:rsidRPr="00D13AF1">
        <w:t>subsequently</w:t>
      </w:r>
      <w:r w:rsidRPr="00D13AF1">
        <w:t>,</w:t>
      </w:r>
      <w:r w:rsidRPr="00D13AF1">
        <w:rPr>
          <w:rStyle w:val="FootnoteReference"/>
        </w:rPr>
        <w:footnoteReference w:id="43"/>
      </w:r>
      <w:r w:rsidRPr="00D13AF1">
        <w:t xml:space="preserve"> and partly because there are other reasons physicians might want to be fully licensed in the states where they practi</w:t>
      </w:r>
      <w:r w:rsidR="0052554F">
        <w:t>s</w:t>
      </w:r>
      <w:r w:rsidRPr="00D13AF1">
        <w:t>e medicine.</w:t>
      </w:r>
      <w:r w:rsidR="000E2644" w:rsidRPr="00D13AF1">
        <w:t xml:space="preserve"> </w:t>
      </w:r>
    </w:p>
    <w:p w14:paraId="520492B8" w14:textId="08DA6AAE" w:rsidR="005C2B38" w:rsidRPr="00D13AF1" w:rsidRDefault="000E2644" w:rsidP="005C2B38">
      <w:pPr>
        <w:pStyle w:val="BodyEE"/>
      </w:pPr>
      <w:r w:rsidRPr="00D13AF1">
        <w:t xml:space="preserve">Second, </w:t>
      </w:r>
      <w:r w:rsidR="00F004CD" w:rsidRPr="00D13AF1">
        <w:t xml:space="preserve">one of the province-regulators in Canada </w:t>
      </w:r>
      <w:r w:rsidR="008515C1" w:rsidRPr="00D13AF1">
        <w:t xml:space="preserve">noted </w:t>
      </w:r>
      <w:r w:rsidR="00F004CD" w:rsidRPr="00D13AF1">
        <w:t>that</w:t>
      </w:r>
      <w:r w:rsidR="00BB0201" w:rsidRPr="00D13AF1">
        <w:t xml:space="preserve"> — in order not to discourage doctors and specialist</w:t>
      </w:r>
      <w:r w:rsidR="008515C1" w:rsidRPr="00D13AF1">
        <w:t>s</w:t>
      </w:r>
      <w:r w:rsidR="00BB0201" w:rsidRPr="00D13AF1">
        <w:t xml:space="preserve"> from other Canadian provinces from providing telemedicine services in </w:t>
      </w:r>
      <w:r w:rsidR="00E23D56">
        <w:t>this province</w:t>
      </w:r>
      <w:r w:rsidR="00BB0201" w:rsidRPr="00D13AF1">
        <w:t xml:space="preserve"> —</w:t>
      </w:r>
      <w:r w:rsidR="00A502B4" w:rsidRPr="00D13AF1">
        <w:t xml:space="preserve"> the </w:t>
      </w:r>
      <w:r w:rsidR="00391000">
        <w:t>licen</w:t>
      </w:r>
      <w:r w:rsidR="0052554F">
        <w:t>c</w:t>
      </w:r>
      <w:r w:rsidR="008515C1" w:rsidRPr="00D13AF1">
        <w:t xml:space="preserve">e </w:t>
      </w:r>
      <w:r w:rsidR="00A502B4" w:rsidRPr="00D13AF1">
        <w:t xml:space="preserve">cost is </w:t>
      </w:r>
      <w:r w:rsidR="00C572E2" w:rsidRPr="00D13AF1">
        <w:t>linked to the number of patients treated remotely. Specifically, no licen</w:t>
      </w:r>
      <w:r w:rsidR="0052554F">
        <w:t>c</w:t>
      </w:r>
      <w:r w:rsidR="00C572E2" w:rsidRPr="00D13AF1">
        <w:t xml:space="preserve">e fee would apply if a doctor treats </w:t>
      </w:r>
      <w:r w:rsidR="008515C1" w:rsidRPr="00D13AF1">
        <w:t xml:space="preserve">fewer </w:t>
      </w:r>
      <w:r w:rsidR="00C572E2" w:rsidRPr="00D13AF1">
        <w:t xml:space="preserve">than 12 patients, a discounted fee would apply to </w:t>
      </w:r>
      <w:r w:rsidR="00364A32" w:rsidRPr="00D13AF1">
        <w:t xml:space="preserve">doctors treating between 12 and 52 patients, and a full fee would be charged for those treating more than 52 patients. </w:t>
      </w:r>
    </w:p>
    <w:p w14:paraId="075CD7CC" w14:textId="070F9BB5" w:rsidR="00192837" w:rsidRPr="00192837" w:rsidRDefault="00192837" w:rsidP="009D1B31">
      <w:pPr>
        <w:keepNext/>
        <w:keepLines/>
        <w:spacing w:after="200" w:line="240" w:lineRule="auto"/>
        <w:rPr>
          <w:b/>
          <w:bCs/>
          <w:sz w:val="20"/>
        </w:rPr>
      </w:pPr>
      <w:r w:rsidRPr="00192837">
        <w:rPr>
          <w:b/>
          <w:bCs/>
          <w:sz w:val="20"/>
        </w:rPr>
        <w:t xml:space="preserve">Table </w:t>
      </w:r>
      <w:r w:rsidR="00EF67D2">
        <w:rPr>
          <w:b/>
          <w:bCs/>
          <w:sz w:val="20"/>
        </w:rPr>
        <w:fldChar w:fldCharType="begin"/>
      </w:r>
      <w:r w:rsidR="00EF67D2">
        <w:rPr>
          <w:b/>
          <w:bCs/>
          <w:sz w:val="20"/>
        </w:rPr>
        <w:instrText xml:space="preserve"> STYLEREF 1 \s </w:instrText>
      </w:r>
      <w:r w:rsidR="00EF67D2">
        <w:rPr>
          <w:b/>
          <w:bCs/>
          <w:sz w:val="20"/>
        </w:rPr>
        <w:fldChar w:fldCharType="separate"/>
      </w:r>
      <w:r w:rsidR="00B51130">
        <w:rPr>
          <w:b/>
          <w:bCs/>
          <w:noProof/>
          <w:sz w:val="20"/>
        </w:rPr>
        <w:t>4</w:t>
      </w:r>
      <w:r w:rsidR="00EF67D2">
        <w:rPr>
          <w:b/>
          <w:bCs/>
          <w:sz w:val="20"/>
        </w:rPr>
        <w:fldChar w:fldCharType="end"/>
      </w:r>
      <w:r w:rsidR="00EF67D2">
        <w:rPr>
          <w:b/>
          <w:bCs/>
          <w:sz w:val="20"/>
        </w:rPr>
        <w:t>.</w:t>
      </w:r>
      <w:r w:rsidR="00EF67D2">
        <w:rPr>
          <w:b/>
          <w:bCs/>
          <w:sz w:val="20"/>
        </w:rPr>
        <w:fldChar w:fldCharType="begin"/>
      </w:r>
      <w:r w:rsidR="00EF67D2">
        <w:rPr>
          <w:b/>
          <w:bCs/>
          <w:sz w:val="20"/>
        </w:rPr>
        <w:instrText xml:space="preserve"> SEQ Table \* ARABIC \s 1 </w:instrText>
      </w:r>
      <w:r w:rsidR="00EF67D2">
        <w:rPr>
          <w:b/>
          <w:bCs/>
          <w:sz w:val="20"/>
        </w:rPr>
        <w:fldChar w:fldCharType="separate"/>
      </w:r>
      <w:r w:rsidR="00B51130">
        <w:rPr>
          <w:b/>
          <w:bCs/>
          <w:noProof/>
          <w:sz w:val="20"/>
        </w:rPr>
        <w:t>2</w:t>
      </w:r>
      <w:r w:rsidR="00EF67D2">
        <w:rPr>
          <w:b/>
          <w:bCs/>
          <w:sz w:val="20"/>
        </w:rPr>
        <w:fldChar w:fldCharType="end"/>
      </w:r>
      <w:r w:rsidRPr="00192837">
        <w:rPr>
          <w:b/>
          <w:bCs/>
          <w:sz w:val="20"/>
        </w:rPr>
        <w:t>: Licensing requirements — summary</w:t>
      </w:r>
    </w:p>
    <w:tbl>
      <w:tblPr>
        <w:tblStyle w:val="LightShading-Accent112"/>
        <w:tblW w:w="5000" w:type="pct"/>
        <w:tblLook w:val="04E0" w:firstRow="1" w:lastRow="1" w:firstColumn="1" w:lastColumn="0" w:noHBand="0" w:noVBand="1"/>
      </w:tblPr>
      <w:tblGrid>
        <w:gridCol w:w="4911"/>
        <w:gridCol w:w="2514"/>
        <w:gridCol w:w="2213"/>
      </w:tblGrid>
      <w:tr w:rsidR="00890624" w:rsidRPr="00192837" w14:paraId="01AAC0EB" w14:textId="77777777" w:rsidTr="005C3C5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7" w:type="pct"/>
          </w:tcPr>
          <w:p w14:paraId="0FCF6C5A" w14:textId="77777777" w:rsidR="00890624" w:rsidRPr="00192837" w:rsidRDefault="00890624" w:rsidP="009D1B31">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38383A"/>
                <w:sz w:val="18"/>
                <w:szCs w:val="20"/>
              </w:rPr>
              <w:t>Jurisdiction</w:t>
            </w:r>
          </w:p>
        </w:tc>
        <w:tc>
          <w:tcPr>
            <w:tcW w:w="1304" w:type="pct"/>
          </w:tcPr>
          <w:p w14:paraId="237C77DD" w14:textId="3FE3F7EE" w:rsidR="00890624" w:rsidRPr="00192837" w:rsidRDefault="002D75C5" w:rsidP="009D1B31">
            <w:pPr>
              <w:keepNext/>
              <w:keepLines/>
              <w:tabs>
                <w:tab w:val="clear" w:pos="280"/>
                <w:tab w:val="clear" w:pos="4800"/>
                <w:tab w:val="clear" w:pos="5780"/>
              </w:tabs>
              <w:suppressAutoHyphens w:val="0"/>
              <w:autoSpaceDE/>
              <w:autoSpaceDN/>
              <w:adjustRightInd/>
              <w:spacing w:line="264" w:lineRule="auto"/>
              <w:jc w:val="center"/>
              <w:textAlignment w:val="auto"/>
              <w:cnfStyle w:val="100000000000" w:firstRow="1" w:lastRow="0" w:firstColumn="0" w:lastColumn="0" w:oddVBand="0" w:evenVBand="0" w:oddHBand="0"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Telemedicine only</w:t>
            </w:r>
            <w:r w:rsidR="00890624" w:rsidRPr="00192837">
              <w:rPr>
                <w:rFonts w:eastAsia="Gill Sans MT" w:cs="Times New Roman"/>
                <w:color w:val="38383A"/>
                <w:sz w:val="18"/>
                <w:szCs w:val="20"/>
              </w:rPr>
              <w:t xml:space="preserve"> licen</w:t>
            </w:r>
            <w:r w:rsidR="0052554F">
              <w:rPr>
                <w:rFonts w:eastAsia="Gill Sans MT" w:cs="Times New Roman"/>
                <w:color w:val="38383A"/>
                <w:sz w:val="18"/>
                <w:szCs w:val="20"/>
              </w:rPr>
              <w:t>c</w:t>
            </w:r>
            <w:r w:rsidR="00890624" w:rsidRPr="00192837">
              <w:rPr>
                <w:rFonts w:eastAsia="Gill Sans MT" w:cs="Times New Roman"/>
                <w:color w:val="38383A"/>
                <w:sz w:val="18"/>
                <w:szCs w:val="20"/>
              </w:rPr>
              <w:t>e</w:t>
            </w:r>
          </w:p>
        </w:tc>
        <w:tc>
          <w:tcPr>
            <w:tcW w:w="1148" w:type="pct"/>
          </w:tcPr>
          <w:p w14:paraId="790F117A" w14:textId="27AB3DCE" w:rsidR="00890624" w:rsidRPr="00192837" w:rsidRDefault="00890624" w:rsidP="009D1B31">
            <w:pPr>
              <w:keepNext/>
              <w:keepLines/>
              <w:tabs>
                <w:tab w:val="clear" w:pos="280"/>
                <w:tab w:val="clear" w:pos="4800"/>
                <w:tab w:val="clear" w:pos="5780"/>
              </w:tabs>
              <w:suppressAutoHyphens w:val="0"/>
              <w:autoSpaceDE/>
              <w:autoSpaceDN/>
              <w:adjustRightInd/>
              <w:spacing w:line="264" w:lineRule="auto"/>
              <w:jc w:val="center"/>
              <w:textAlignment w:val="auto"/>
              <w:cnfStyle w:val="100000000000" w:firstRow="1" w:lastRow="0" w:firstColumn="0" w:lastColumn="0" w:oddVBand="0" w:evenVBand="0" w:oddHBand="0"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t>Local licen</w:t>
            </w:r>
            <w:r w:rsidR="0052554F">
              <w:rPr>
                <w:rFonts w:eastAsia="Gill Sans MT" w:cs="Times New Roman"/>
                <w:color w:val="38383A"/>
                <w:sz w:val="18"/>
                <w:szCs w:val="20"/>
              </w:rPr>
              <w:t>c</w:t>
            </w:r>
            <w:r w:rsidRPr="00192837">
              <w:rPr>
                <w:rFonts w:eastAsia="Gill Sans MT" w:cs="Times New Roman"/>
                <w:color w:val="38383A"/>
                <w:sz w:val="18"/>
                <w:szCs w:val="20"/>
              </w:rPr>
              <w:t>e</w:t>
            </w:r>
          </w:p>
        </w:tc>
      </w:tr>
      <w:tr w:rsidR="00890624" w:rsidRPr="00192837" w14:paraId="2718B79D" w14:textId="77777777" w:rsidTr="005C3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pct"/>
          </w:tcPr>
          <w:p w14:paraId="0EB7B843" w14:textId="77777777" w:rsidR="00890624" w:rsidRPr="00192837" w:rsidRDefault="00890624" w:rsidP="009D1B31">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Australia</w:t>
            </w:r>
          </w:p>
        </w:tc>
        <w:tc>
          <w:tcPr>
            <w:tcW w:w="1304" w:type="pct"/>
          </w:tcPr>
          <w:p w14:paraId="3924A15C" w14:textId="28401731" w:rsidR="00890624" w:rsidRPr="00192837" w:rsidRDefault="00890624"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sym w:font="Wingdings 2" w:char="F04F"/>
            </w:r>
          </w:p>
        </w:tc>
        <w:tc>
          <w:tcPr>
            <w:tcW w:w="1148" w:type="pct"/>
          </w:tcPr>
          <w:p w14:paraId="4D4F07AF" w14:textId="7F3F0AFE" w:rsidR="00890624" w:rsidRPr="00192837" w:rsidRDefault="00163806"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r>
      <w:tr w:rsidR="00890624" w:rsidRPr="00192837" w14:paraId="73A9A2F3" w14:textId="77777777" w:rsidTr="005C3C5E">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pct"/>
          </w:tcPr>
          <w:p w14:paraId="7A48BC53" w14:textId="77777777" w:rsidR="00890624" w:rsidRPr="00192837" w:rsidRDefault="00890624" w:rsidP="009D1B31">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Denmark</w:t>
            </w:r>
          </w:p>
        </w:tc>
        <w:tc>
          <w:tcPr>
            <w:tcW w:w="1304" w:type="pct"/>
            <w:vAlign w:val="top"/>
          </w:tcPr>
          <w:p w14:paraId="536DC87E" w14:textId="35A6C3E0" w:rsidR="00890624" w:rsidRPr="00192837" w:rsidRDefault="00890624"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032A83">
              <w:rPr>
                <w:rFonts w:eastAsia="Gill Sans MT" w:cs="Times New Roman"/>
                <w:color w:val="38383A"/>
                <w:sz w:val="18"/>
                <w:szCs w:val="20"/>
              </w:rPr>
              <w:sym w:font="Wingdings 2" w:char="F04F"/>
            </w:r>
          </w:p>
        </w:tc>
        <w:tc>
          <w:tcPr>
            <w:tcW w:w="1148" w:type="pct"/>
            <w:vAlign w:val="top"/>
          </w:tcPr>
          <w:p w14:paraId="35B16BDB" w14:textId="0DD99010" w:rsidR="00890624" w:rsidRPr="00192837" w:rsidRDefault="00890624"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4B5FE8">
              <w:rPr>
                <w:rFonts w:eastAsia="Gill Sans MT" w:cs="Times New Roman"/>
                <w:color w:val="38383A"/>
                <w:sz w:val="18"/>
                <w:szCs w:val="20"/>
              </w:rPr>
              <w:sym w:font="Wingdings 2" w:char="F04F"/>
            </w:r>
          </w:p>
        </w:tc>
      </w:tr>
      <w:tr w:rsidR="00890624" w:rsidRPr="00192837" w14:paraId="13111EA6" w14:textId="77777777" w:rsidTr="005C3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pct"/>
          </w:tcPr>
          <w:p w14:paraId="4DDD33C5" w14:textId="77777777" w:rsidR="00890624" w:rsidRPr="00192837" w:rsidRDefault="00890624" w:rsidP="009D1B31">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France</w:t>
            </w:r>
          </w:p>
        </w:tc>
        <w:tc>
          <w:tcPr>
            <w:tcW w:w="1304" w:type="pct"/>
            <w:vAlign w:val="top"/>
          </w:tcPr>
          <w:p w14:paraId="3A17F132" w14:textId="59B54163" w:rsidR="00890624" w:rsidRPr="00192837" w:rsidRDefault="00890624"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032A83">
              <w:rPr>
                <w:rFonts w:eastAsia="Gill Sans MT" w:cs="Times New Roman"/>
                <w:color w:val="38383A"/>
                <w:sz w:val="18"/>
                <w:szCs w:val="20"/>
              </w:rPr>
              <w:sym w:font="Wingdings 2" w:char="F04F"/>
            </w:r>
          </w:p>
        </w:tc>
        <w:tc>
          <w:tcPr>
            <w:tcW w:w="1148" w:type="pct"/>
            <w:vAlign w:val="top"/>
          </w:tcPr>
          <w:p w14:paraId="438CE2D5" w14:textId="6E785FB2" w:rsidR="00890624" w:rsidRPr="00192837" w:rsidRDefault="00890624"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4B5FE8">
              <w:rPr>
                <w:rFonts w:eastAsia="Gill Sans MT" w:cs="Times New Roman"/>
                <w:color w:val="38383A"/>
                <w:sz w:val="18"/>
                <w:szCs w:val="20"/>
              </w:rPr>
              <w:sym w:font="Wingdings 2" w:char="F04F"/>
            </w:r>
          </w:p>
        </w:tc>
      </w:tr>
      <w:tr w:rsidR="00890624" w:rsidRPr="00192837" w14:paraId="5C7A2DE2" w14:textId="77777777" w:rsidTr="005C3C5E">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pct"/>
          </w:tcPr>
          <w:p w14:paraId="12D170F1" w14:textId="77777777" w:rsidR="00890624" w:rsidRPr="00192837" w:rsidRDefault="00890624" w:rsidP="009D1B31">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New Zealand</w:t>
            </w:r>
          </w:p>
        </w:tc>
        <w:tc>
          <w:tcPr>
            <w:tcW w:w="1304" w:type="pct"/>
            <w:vAlign w:val="top"/>
          </w:tcPr>
          <w:p w14:paraId="07E68E98" w14:textId="199A6B14" w:rsidR="00890624" w:rsidRPr="00192837" w:rsidRDefault="00890624"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032A83">
              <w:rPr>
                <w:rFonts w:eastAsia="Gill Sans MT" w:cs="Times New Roman"/>
                <w:color w:val="38383A"/>
                <w:sz w:val="18"/>
                <w:szCs w:val="20"/>
              </w:rPr>
              <w:sym w:font="Wingdings 2" w:char="F04F"/>
            </w:r>
          </w:p>
        </w:tc>
        <w:tc>
          <w:tcPr>
            <w:tcW w:w="1148" w:type="pct"/>
          </w:tcPr>
          <w:p w14:paraId="32F903CF" w14:textId="048BB519" w:rsidR="00890624" w:rsidRPr="00192837" w:rsidRDefault="00D54F00"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encouraged</w:t>
            </w:r>
          </w:p>
        </w:tc>
      </w:tr>
      <w:tr w:rsidR="00890624" w:rsidRPr="00192837" w14:paraId="537486E0" w14:textId="77777777" w:rsidTr="005C3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pct"/>
          </w:tcPr>
          <w:p w14:paraId="563F2F10" w14:textId="77777777" w:rsidR="00890624" w:rsidRPr="00192837" w:rsidRDefault="00890624" w:rsidP="009D1B31">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Portugal</w:t>
            </w:r>
          </w:p>
        </w:tc>
        <w:tc>
          <w:tcPr>
            <w:tcW w:w="1304" w:type="pct"/>
            <w:vAlign w:val="top"/>
          </w:tcPr>
          <w:p w14:paraId="50FD4B3C" w14:textId="540A9842" w:rsidR="00890624" w:rsidRPr="00192837" w:rsidRDefault="00890624"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032A83">
              <w:rPr>
                <w:rFonts w:eastAsia="Gill Sans MT" w:cs="Times New Roman"/>
                <w:color w:val="38383A"/>
                <w:sz w:val="18"/>
                <w:szCs w:val="20"/>
              </w:rPr>
              <w:sym w:font="Wingdings 2" w:char="F04F"/>
            </w:r>
          </w:p>
        </w:tc>
        <w:tc>
          <w:tcPr>
            <w:tcW w:w="1148" w:type="pct"/>
          </w:tcPr>
          <w:p w14:paraId="203C0F25" w14:textId="1AFC1E1C" w:rsidR="00890624" w:rsidRPr="00192837" w:rsidRDefault="00890624"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032A83">
              <w:rPr>
                <w:rFonts w:eastAsia="Gill Sans MT" w:cs="Times New Roman"/>
                <w:color w:val="38383A"/>
                <w:sz w:val="18"/>
                <w:szCs w:val="20"/>
              </w:rPr>
              <w:sym w:font="Wingdings 2" w:char="F04F"/>
            </w:r>
          </w:p>
        </w:tc>
      </w:tr>
      <w:tr w:rsidR="00890624" w:rsidRPr="00192837" w14:paraId="5899E854" w14:textId="77777777" w:rsidTr="005C3C5E">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pct"/>
          </w:tcPr>
          <w:p w14:paraId="38672ABF" w14:textId="77777777" w:rsidR="00890624" w:rsidRPr="00192837" w:rsidRDefault="00890624" w:rsidP="009D1B31">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Singapore</w:t>
            </w:r>
          </w:p>
        </w:tc>
        <w:tc>
          <w:tcPr>
            <w:tcW w:w="1304" w:type="pct"/>
            <w:vAlign w:val="top"/>
          </w:tcPr>
          <w:p w14:paraId="68DFC663" w14:textId="35800C72" w:rsidR="00890624" w:rsidRPr="00192837" w:rsidRDefault="00890624"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032A83">
              <w:rPr>
                <w:rFonts w:eastAsia="Gill Sans MT" w:cs="Times New Roman"/>
                <w:color w:val="38383A"/>
                <w:sz w:val="18"/>
                <w:szCs w:val="20"/>
              </w:rPr>
              <w:sym w:font="Wingdings 2" w:char="F04F"/>
            </w:r>
          </w:p>
        </w:tc>
        <w:tc>
          <w:tcPr>
            <w:tcW w:w="1148" w:type="pct"/>
          </w:tcPr>
          <w:p w14:paraId="6BCABE78" w14:textId="77777777" w:rsidR="00890624" w:rsidRPr="00192837" w:rsidRDefault="00890624"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r>
      <w:tr w:rsidR="00890624" w:rsidRPr="00192837" w14:paraId="4ECD5A7D" w14:textId="77777777" w:rsidTr="005C3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pct"/>
          </w:tcPr>
          <w:p w14:paraId="2372C372" w14:textId="77777777" w:rsidR="00890624" w:rsidRPr="00192837" w:rsidRDefault="00890624" w:rsidP="009D1B31">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Alberta</w:t>
            </w:r>
          </w:p>
        </w:tc>
        <w:tc>
          <w:tcPr>
            <w:tcW w:w="1304" w:type="pct"/>
            <w:vAlign w:val="top"/>
          </w:tcPr>
          <w:p w14:paraId="04C0B998" w14:textId="0C6A3D8B" w:rsidR="00890624" w:rsidRPr="00192837" w:rsidRDefault="00890624"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032A83">
              <w:rPr>
                <w:rFonts w:eastAsia="Gill Sans MT" w:cs="Times New Roman"/>
                <w:color w:val="38383A"/>
                <w:sz w:val="18"/>
                <w:szCs w:val="20"/>
              </w:rPr>
              <w:sym w:font="Wingdings 2" w:char="F04F"/>
            </w:r>
          </w:p>
        </w:tc>
        <w:tc>
          <w:tcPr>
            <w:tcW w:w="1148" w:type="pct"/>
          </w:tcPr>
          <w:p w14:paraId="709CB323" w14:textId="403BFCF4" w:rsidR="00890624" w:rsidRPr="00192837" w:rsidRDefault="00D54F00"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r>
      <w:tr w:rsidR="00890624" w:rsidRPr="00192837" w14:paraId="512460BD" w14:textId="77777777" w:rsidTr="005C3C5E">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pct"/>
          </w:tcPr>
          <w:p w14:paraId="371557BC" w14:textId="77777777" w:rsidR="00890624" w:rsidRPr="00192837" w:rsidRDefault="00890624" w:rsidP="009D1B31">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British Columbia</w:t>
            </w:r>
          </w:p>
        </w:tc>
        <w:tc>
          <w:tcPr>
            <w:tcW w:w="1304" w:type="pct"/>
            <w:vAlign w:val="top"/>
          </w:tcPr>
          <w:p w14:paraId="48D39778" w14:textId="62C7C5F3" w:rsidR="00890624" w:rsidRPr="00192837" w:rsidRDefault="00890624"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032A83">
              <w:rPr>
                <w:rFonts w:eastAsia="Gill Sans MT" w:cs="Times New Roman"/>
                <w:color w:val="38383A"/>
                <w:sz w:val="18"/>
                <w:szCs w:val="20"/>
              </w:rPr>
              <w:sym w:font="Wingdings 2" w:char="F04F"/>
            </w:r>
          </w:p>
        </w:tc>
        <w:tc>
          <w:tcPr>
            <w:tcW w:w="1148" w:type="pct"/>
          </w:tcPr>
          <w:p w14:paraId="7866BE11" w14:textId="6B580678" w:rsidR="00890624" w:rsidRPr="00192837" w:rsidRDefault="00D54F00"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032A83">
              <w:rPr>
                <w:rFonts w:eastAsia="Gill Sans MT" w:cs="Times New Roman"/>
                <w:color w:val="38383A"/>
                <w:sz w:val="18"/>
                <w:szCs w:val="20"/>
              </w:rPr>
              <w:sym w:font="Wingdings 2" w:char="F04F"/>
            </w:r>
          </w:p>
        </w:tc>
      </w:tr>
      <w:tr w:rsidR="00890624" w:rsidRPr="00192837" w14:paraId="40ED8AF3" w14:textId="77777777" w:rsidTr="005C3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pct"/>
          </w:tcPr>
          <w:p w14:paraId="7BA00F31" w14:textId="77777777" w:rsidR="00890624" w:rsidRPr="00192837" w:rsidRDefault="00890624" w:rsidP="009D1B31">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Newfoundland and Labrador</w:t>
            </w:r>
          </w:p>
        </w:tc>
        <w:tc>
          <w:tcPr>
            <w:tcW w:w="1304" w:type="pct"/>
            <w:vAlign w:val="top"/>
          </w:tcPr>
          <w:p w14:paraId="4673D784" w14:textId="2501EDEB" w:rsidR="00890624" w:rsidRPr="00192837" w:rsidRDefault="00890624"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032A83">
              <w:rPr>
                <w:rFonts w:eastAsia="Gill Sans MT" w:cs="Times New Roman"/>
                <w:color w:val="38383A"/>
                <w:sz w:val="18"/>
                <w:szCs w:val="20"/>
              </w:rPr>
              <w:sym w:font="Wingdings 2" w:char="F04F"/>
            </w:r>
          </w:p>
        </w:tc>
        <w:tc>
          <w:tcPr>
            <w:tcW w:w="1148" w:type="pct"/>
          </w:tcPr>
          <w:p w14:paraId="651FC196" w14:textId="2AFD1CC3" w:rsidR="00890624" w:rsidRPr="00192837" w:rsidRDefault="00D54F00"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032A83">
              <w:rPr>
                <w:rFonts w:eastAsia="Gill Sans MT" w:cs="Times New Roman"/>
                <w:color w:val="38383A"/>
                <w:sz w:val="18"/>
                <w:szCs w:val="20"/>
              </w:rPr>
              <w:sym w:font="Wingdings 2" w:char="F04F"/>
            </w:r>
          </w:p>
        </w:tc>
      </w:tr>
      <w:tr w:rsidR="00890624" w:rsidRPr="00192837" w14:paraId="358089B8" w14:textId="77777777" w:rsidTr="005C3C5E">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pct"/>
          </w:tcPr>
          <w:p w14:paraId="73F871F4" w14:textId="77777777" w:rsidR="00890624" w:rsidRPr="00192837" w:rsidRDefault="00890624" w:rsidP="009D1B31">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Ontario</w:t>
            </w:r>
          </w:p>
        </w:tc>
        <w:tc>
          <w:tcPr>
            <w:tcW w:w="1304" w:type="pct"/>
            <w:vAlign w:val="top"/>
          </w:tcPr>
          <w:p w14:paraId="1D388A24" w14:textId="561126C3" w:rsidR="00890624" w:rsidRPr="00192837" w:rsidRDefault="00890624"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032A83">
              <w:rPr>
                <w:rFonts w:eastAsia="Gill Sans MT" w:cs="Times New Roman"/>
                <w:color w:val="38383A"/>
                <w:sz w:val="18"/>
                <w:szCs w:val="20"/>
              </w:rPr>
              <w:sym w:font="Wingdings 2" w:char="F04F"/>
            </w:r>
          </w:p>
        </w:tc>
        <w:tc>
          <w:tcPr>
            <w:tcW w:w="1148" w:type="pct"/>
          </w:tcPr>
          <w:p w14:paraId="1D183B28" w14:textId="5F81CACE" w:rsidR="00890624" w:rsidRPr="00192837" w:rsidRDefault="0052564D"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032A83">
              <w:rPr>
                <w:rFonts w:eastAsia="Gill Sans MT" w:cs="Times New Roman"/>
                <w:color w:val="38383A"/>
                <w:sz w:val="18"/>
                <w:szCs w:val="20"/>
              </w:rPr>
              <w:sym w:font="Wingdings 2" w:char="F04F"/>
            </w:r>
          </w:p>
        </w:tc>
      </w:tr>
      <w:tr w:rsidR="00890624" w:rsidRPr="00192837" w14:paraId="303F0AD2" w14:textId="77777777" w:rsidTr="005C3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pct"/>
          </w:tcPr>
          <w:p w14:paraId="1F30215A" w14:textId="77777777" w:rsidR="00890624" w:rsidRPr="00192837" w:rsidRDefault="00890624" w:rsidP="009D1B31">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Saskatchewan</w:t>
            </w:r>
          </w:p>
        </w:tc>
        <w:tc>
          <w:tcPr>
            <w:tcW w:w="1304" w:type="pct"/>
            <w:vAlign w:val="top"/>
          </w:tcPr>
          <w:p w14:paraId="147C3471" w14:textId="47E4ADC1" w:rsidR="00890624" w:rsidRPr="00192837" w:rsidRDefault="00550AE3"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1148" w:type="pct"/>
          </w:tcPr>
          <w:p w14:paraId="7BF4961C" w14:textId="0907C6AE" w:rsidR="00890624" w:rsidRPr="00192837" w:rsidRDefault="0052564D"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r>
      <w:tr w:rsidR="00890624" w:rsidRPr="00192837" w14:paraId="58BEC7B9" w14:textId="77777777" w:rsidTr="005C3C5E">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pct"/>
          </w:tcPr>
          <w:p w14:paraId="7D8EFA7E" w14:textId="77777777" w:rsidR="00890624" w:rsidRPr="00192837" w:rsidRDefault="00890624" w:rsidP="009D1B31">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California</w:t>
            </w:r>
          </w:p>
        </w:tc>
        <w:tc>
          <w:tcPr>
            <w:tcW w:w="1304" w:type="pct"/>
            <w:vAlign w:val="top"/>
          </w:tcPr>
          <w:p w14:paraId="712CBCAA" w14:textId="511B884D" w:rsidR="00890624" w:rsidRPr="00192837" w:rsidRDefault="00890624"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032A83">
              <w:rPr>
                <w:rFonts w:eastAsia="Gill Sans MT" w:cs="Times New Roman"/>
                <w:color w:val="38383A"/>
                <w:sz w:val="18"/>
                <w:szCs w:val="20"/>
              </w:rPr>
              <w:sym w:font="Wingdings 2" w:char="F04F"/>
            </w:r>
          </w:p>
        </w:tc>
        <w:tc>
          <w:tcPr>
            <w:tcW w:w="1148" w:type="pct"/>
            <w:vAlign w:val="top"/>
          </w:tcPr>
          <w:p w14:paraId="5C4EC090" w14:textId="36DE5EF8" w:rsidR="00890624" w:rsidRPr="00192837" w:rsidRDefault="00890624"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r>
      <w:tr w:rsidR="00890624" w:rsidRPr="00192837" w14:paraId="0DE7EAB6" w14:textId="77777777" w:rsidTr="005C3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pct"/>
          </w:tcPr>
          <w:p w14:paraId="2A00DEF2" w14:textId="77777777" w:rsidR="00890624" w:rsidRPr="00192837" w:rsidRDefault="00890624" w:rsidP="009D1B31">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Maine</w:t>
            </w:r>
          </w:p>
        </w:tc>
        <w:tc>
          <w:tcPr>
            <w:tcW w:w="1304" w:type="pct"/>
            <w:vAlign w:val="top"/>
          </w:tcPr>
          <w:p w14:paraId="7E75C27A" w14:textId="2848D567" w:rsidR="00890624" w:rsidRPr="00192837" w:rsidRDefault="00890624"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032A83">
              <w:rPr>
                <w:rFonts w:eastAsia="Gill Sans MT" w:cs="Times New Roman"/>
                <w:color w:val="38383A"/>
                <w:sz w:val="18"/>
                <w:szCs w:val="20"/>
              </w:rPr>
              <w:sym w:font="Wingdings 2" w:char="F04F"/>
            </w:r>
          </w:p>
        </w:tc>
        <w:tc>
          <w:tcPr>
            <w:tcW w:w="1148" w:type="pct"/>
            <w:vAlign w:val="top"/>
          </w:tcPr>
          <w:p w14:paraId="06B2B6FD" w14:textId="0BEE187A" w:rsidR="00890624" w:rsidRPr="00192837" w:rsidRDefault="00890624"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r>
      <w:tr w:rsidR="00890624" w:rsidRPr="00192837" w14:paraId="38038467" w14:textId="77777777" w:rsidTr="005C3C5E">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pct"/>
          </w:tcPr>
          <w:p w14:paraId="1523FC58" w14:textId="77777777" w:rsidR="00890624" w:rsidRPr="00192837" w:rsidRDefault="00890624" w:rsidP="009D1B31">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North Carolina</w:t>
            </w:r>
          </w:p>
        </w:tc>
        <w:tc>
          <w:tcPr>
            <w:tcW w:w="1304" w:type="pct"/>
            <w:vAlign w:val="top"/>
          </w:tcPr>
          <w:p w14:paraId="20948699" w14:textId="0D2FABAF" w:rsidR="00890624" w:rsidRPr="00192837" w:rsidRDefault="00890624"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032A83">
              <w:rPr>
                <w:rFonts w:eastAsia="Gill Sans MT" w:cs="Times New Roman"/>
                <w:color w:val="38383A"/>
                <w:sz w:val="18"/>
                <w:szCs w:val="20"/>
              </w:rPr>
              <w:sym w:font="Wingdings 2" w:char="F04F"/>
            </w:r>
          </w:p>
        </w:tc>
        <w:tc>
          <w:tcPr>
            <w:tcW w:w="1148" w:type="pct"/>
            <w:vAlign w:val="top"/>
          </w:tcPr>
          <w:p w14:paraId="7CFC721F" w14:textId="482DC5A1" w:rsidR="00890624" w:rsidRPr="00192837" w:rsidRDefault="00890624"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r>
      <w:tr w:rsidR="00890624" w:rsidRPr="00192837" w14:paraId="16C8A95A" w14:textId="77777777" w:rsidTr="005C3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pct"/>
          </w:tcPr>
          <w:p w14:paraId="79FB3802" w14:textId="77777777" w:rsidR="00890624" w:rsidRPr="00192837" w:rsidRDefault="00890624" w:rsidP="009D1B31">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Oklahoma</w:t>
            </w:r>
          </w:p>
        </w:tc>
        <w:tc>
          <w:tcPr>
            <w:tcW w:w="1304" w:type="pct"/>
            <w:vAlign w:val="top"/>
          </w:tcPr>
          <w:p w14:paraId="35A0A7B4" w14:textId="78DA1530" w:rsidR="00890624" w:rsidRPr="00192837" w:rsidRDefault="00890624"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032A83">
              <w:rPr>
                <w:rFonts w:eastAsia="Gill Sans MT" w:cs="Times New Roman"/>
                <w:color w:val="38383A"/>
                <w:sz w:val="18"/>
                <w:szCs w:val="20"/>
              </w:rPr>
              <w:sym w:font="Wingdings 2" w:char="F04F"/>
            </w:r>
          </w:p>
        </w:tc>
        <w:tc>
          <w:tcPr>
            <w:tcW w:w="1148" w:type="pct"/>
            <w:vAlign w:val="top"/>
          </w:tcPr>
          <w:p w14:paraId="6F4E6B58" w14:textId="1F038C01" w:rsidR="00890624" w:rsidRPr="00192837" w:rsidRDefault="00890624"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r>
      <w:tr w:rsidR="00890624" w:rsidRPr="00192837" w14:paraId="556F0077" w14:textId="77777777" w:rsidTr="005C3C5E">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pct"/>
          </w:tcPr>
          <w:p w14:paraId="2B15A79B" w14:textId="77777777" w:rsidR="00890624" w:rsidRPr="00192837" w:rsidRDefault="00890624" w:rsidP="009D1B31">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Oregon</w:t>
            </w:r>
          </w:p>
        </w:tc>
        <w:tc>
          <w:tcPr>
            <w:tcW w:w="1304" w:type="pct"/>
            <w:vAlign w:val="top"/>
          </w:tcPr>
          <w:p w14:paraId="78CBAAD7" w14:textId="616BD09D" w:rsidR="00890624" w:rsidRPr="00192837" w:rsidRDefault="00890624"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032A83">
              <w:rPr>
                <w:rFonts w:eastAsia="Gill Sans MT" w:cs="Times New Roman"/>
                <w:color w:val="38383A"/>
                <w:sz w:val="18"/>
                <w:szCs w:val="20"/>
              </w:rPr>
              <w:sym w:font="Wingdings 2" w:char="F04F"/>
            </w:r>
          </w:p>
        </w:tc>
        <w:tc>
          <w:tcPr>
            <w:tcW w:w="1148" w:type="pct"/>
            <w:vAlign w:val="top"/>
          </w:tcPr>
          <w:p w14:paraId="3865E986" w14:textId="661EC606" w:rsidR="00890624" w:rsidRPr="00192837" w:rsidRDefault="00890624"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r>
      <w:tr w:rsidR="00890624" w:rsidRPr="00192837" w14:paraId="67BE391E" w14:textId="77777777" w:rsidTr="005C3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pct"/>
          </w:tcPr>
          <w:p w14:paraId="1E71CA45" w14:textId="77777777" w:rsidR="00890624" w:rsidRPr="00192837" w:rsidRDefault="00890624" w:rsidP="009D1B31">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Washington</w:t>
            </w:r>
          </w:p>
        </w:tc>
        <w:tc>
          <w:tcPr>
            <w:tcW w:w="1304" w:type="pct"/>
            <w:vAlign w:val="top"/>
          </w:tcPr>
          <w:p w14:paraId="0E698845" w14:textId="002F12BF" w:rsidR="00890624" w:rsidRPr="00192837" w:rsidRDefault="00890624"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032A83">
              <w:rPr>
                <w:rFonts w:eastAsia="Gill Sans MT" w:cs="Times New Roman"/>
                <w:color w:val="38383A"/>
                <w:sz w:val="18"/>
                <w:szCs w:val="20"/>
              </w:rPr>
              <w:sym w:font="Wingdings 2" w:char="F04F"/>
            </w:r>
          </w:p>
        </w:tc>
        <w:tc>
          <w:tcPr>
            <w:tcW w:w="1148" w:type="pct"/>
            <w:vAlign w:val="top"/>
          </w:tcPr>
          <w:p w14:paraId="019D7252" w14:textId="459FAED8" w:rsidR="00890624" w:rsidRPr="00192837" w:rsidRDefault="00890624"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r>
      <w:tr w:rsidR="00890624" w:rsidRPr="00192837" w14:paraId="1BC5653C" w14:textId="77777777" w:rsidTr="005C3C5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pct"/>
          </w:tcPr>
          <w:p w14:paraId="07A2336E" w14:textId="77777777" w:rsidR="00890624" w:rsidRPr="00192837" w:rsidRDefault="00890624" w:rsidP="009D1B31">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000000"/>
                <w:sz w:val="18"/>
                <w:szCs w:val="20"/>
              </w:rPr>
            </w:pPr>
            <w:r w:rsidRPr="00192837">
              <w:rPr>
                <w:rFonts w:eastAsia="Gill Sans MT" w:cs="Times New Roman"/>
                <w:color w:val="000000"/>
                <w:sz w:val="18"/>
                <w:szCs w:val="20"/>
              </w:rPr>
              <w:t>Total</w:t>
            </w:r>
          </w:p>
        </w:tc>
        <w:tc>
          <w:tcPr>
            <w:tcW w:w="1304" w:type="pct"/>
          </w:tcPr>
          <w:p w14:paraId="749BBC47" w14:textId="03A6288D" w:rsidR="00890624" w:rsidRPr="00192837" w:rsidRDefault="004A42B7"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10000000000" w:firstRow="0" w:lastRow="1" w:firstColumn="0" w:lastColumn="0" w:oddVBand="0" w:evenVBand="0" w:oddHBand="0"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1</w:t>
            </w:r>
          </w:p>
        </w:tc>
        <w:tc>
          <w:tcPr>
            <w:tcW w:w="1148" w:type="pct"/>
          </w:tcPr>
          <w:p w14:paraId="1592EE46" w14:textId="114E25D8" w:rsidR="00890624" w:rsidRPr="00192837" w:rsidRDefault="0052564D"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10000000000" w:firstRow="0" w:lastRow="1" w:firstColumn="0" w:lastColumn="0" w:oddVBand="0" w:evenVBand="0" w:oddHBand="0"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9</w:t>
            </w:r>
          </w:p>
        </w:tc>
      </w:tr>
    </w:tbl>
    <w:p w14:paraId="6C687D90" w14:textId="6A646828" w:rsidR="00D3711B" w:rsidRDefault="00D3711B" w:rsidP="009D1B31">
      <w:pPr>
        <w:pStyle w:val="Tablenote"/>
        <w:keepLines/>
      </w:pPr>
      <w:r>
        <w:t xml:space="preserve">Note: </w:t>
      </w:r>
      <w:r w:rsidRPr="00D3711B">
        <w:t>Here, and elsewhere in this report, by ‘local’ we mean in the jurisdiction of the patient</w:t>
      </w:r>
      <w:r>
        <w:t>.</w:t>
      </w:r>
    </w:p>
    <w:p w14:paraId="7BC31674" w14:textId="15E318AA" w:rsidR="00C95007" w:rsidRDefault="00C95007" w:rsidP="009D1B31">
      <w:pPr>
        <w:pStyle w:val="Tablenote"/>
        <w:keepLines/>
      </w:pPr>
      <w:r>
        <w:t xml:space="preserve">Cells with no mark mean the telemedicine regulation does not explicitly mention this issue. </w:t>
      </w:r>
    </w:p>
    <w:p w14:paraId="0FD206D5" w14:textId="0F250519" w:rsidR="00192837" w:rsidRPr="00D13AF1" w:rsidRDefault="00192837" w:rsidP="009D1B31">
      <w:pPr>
        <w:keepNext/>
        <w:keepLines/>
        <w:tabs>
          <w:tab w:val="clear" w:pos="280"/>
          <w:tab w:val="clear" w:pos="4800"/>
          <w:tab w:val="clear" w:pos="5780"/>
        </w:tabs>
        <w:suppressAutoHyphens w:val="0"/>
        <w:autoSpaceDE/>
        <w:autoSpaceDN/>
        <w:adjustRightInd/>
        <w:spacing w:after="120" w:line="264" w:lineRule="auto"/>
        <w:textAlignment w:val="auto"/>
        <w:rPr>
          <w:sz w:val="16"/>
          <w:szCs w:val="16"/>
        </w:rPr>
      </w:pPr>
      <w:r w:rsidRPr="00192837">
        <w:rPr>
          <w:sz w:val="16"/>
          <w:szCs w:val="16"/>
        </w:rPr>
        <w:t>Source: Europe Economics</w:t>
      </w:r>
      <w:r w:rsidRPr="00D13AF1">
        <w:rPr>
          <w:sz w:val="16"/>
          <w:szCs w:val="16"/>
        </w:rPr>
        <w:t>.</w:t>
      </w:r>
    </w:p>
    <w:p w14:paraId="0D2790BB" w14:textId="77777777" w:rsidR="005C2B38" w:rsidRPr="003F01D3" w:rsidRDefault="005C2B38" w:rsidP="003F01D3">
      <w:pPr>
        <w:pStyle w:val="Heading2Pink"/>
        <w:rPr>
          <w:color w:val="683493" w:themeColor="accent1"/>
        </w:rPr>
      </w:pPr>
      <w:bookmarkStart w:id="57" w:name="_Toc499025522"/>
      <w:bookmarkStart w:id="58" w:name="_Ref499133249"/>
      <w:bookmarkStart w:id="59" w:name="_Toc499211327"/>
      <w:bookmarkStart w:id="60" w:name="_Toc504484115"/>
      <w:r w:rsidRPr="003F01D3">
        <w:rPr>
          <w:color w:val="683493" w:themeColor="accent1"/>
        </w:rPr>
        <w:t>Requirements and standards for the provision of telemedicine</w:t>
      </w:r>
      <w:bookmarkEnd w:id="57"/>
      <w:bookmarkEnd w:id="58"/>
      <w:bookmarkEnd w:id="59"/>
      <w:bookmarkEnd w:id="60"/>
    </w:p>
    <w:p w14:paraId="41E7FF12" w14:textId="77777777" w:rsidR="005C2B38" w:rsidRPr="00D13AF1" w:rsidRDefault="005C2B38" w:rsidP="005C2B38">
      <w:pPr>
        <w:pStyle w:val="BodyEE"/>
      </w:pPr>
      <w:r w:rsidRPr="00D13AF1">
        <w:t>We distinguish between three main categories of requirements:</w:t>
      </w:r>
    </w:p>
    <w:p w14:paraId="7C3124A9" w14:textId="77777777" w:rsidR="005C2B38" w:rsidRPr="00D13AF1" w:rsidRDefault="005C2B38" w:rsidP="005C2B38">
      <w:pPr>
        <w:pStyle w:val="Bulletlevel1"/>
      </w:pPr>
      <w:r w:rsidRPr="00D13AF1">
        <w:t>general requirements — applicable to telemedicine services as a whole;</w:t>
      </w:r>
    </w:p>
    <w:p w14:paraId="04586068" w14:textId="77777777" w:rsidR="005C2B38" w:rsidRPr="00D13AF1" w:rsidRDefault="005C2B38" w:rsidP="005C2B38">
      <w:pPr>
        <w:pStyle w:val="Bulletlevel1"/>
      </w:pPr>
      <w:r w:rsidRPr="00D13AF1">
        <w:t>procedural requirements — relevant for the interaction between patient and doctor itself; and</w:t>
      </w:r>
    </w:p>
    <w:p w14:paraId="4D7736BE" w14:textId="77777777" w:rsidR="005C2B38" w:rsidRPr="00D13AF1" w:rsidRDefault="005C2B38" w:rsidP="00890AD1">
      <w:pPr>
        <w:pStyle w:val="Bulletlevel1"/>
        <w:keepNext/>
      </w:pPr>
      <w:r w:rsidRPr="00D13AF1">
        <w:t xml:space="preserve">specific requirements — which relate to </w:t>
      </w:r>
      <w:proofErr w:type="gramStart"/>
      <w:r w:rsidRPr="00D13AF1">
        <w:t>particular applications</w:t>
      </w:r>
      <w:proofErr w:type="gramEnd"/>
      <w:r w:rsidRPr="00D13AF1">
        <w:t xml:space="preserve"> of telemedicine.</w:t>
      </w:r>
    </w:p>
    <w:p w14:paraId="717C035E" w14:textId="77777777" w:rsidR="005C2B38" w:rsidRPr="00D13AF1" w:rsidRDefault="005C2B38" w:rsidP="005C2B38">
      <w:pPr>
        <w:pStyle w:val="BodyEE"/>
      </w:pPr>
      <w:r w:rsidRPr="00D13AF1">
        <w:t>Below, we present our key findings for each of these categories in turn.</w:t>
      </w:r>
    </w:p>
    <w:p w14:paraId="3D9A2004" w14:textId="77777777" w:rsidR="005C2B38" w:rsidRPr="00D13AF1" w:rsidRDefault="005C2B38" w:rsidP="005C2B38">
      <w:pPr>
        <w:pStyle w:val="Heading3"/>
      </w:pPr>
      <w:r w:rsidRPr="00D13AF1">
        <w:lastRenderedPageBreak/>
        <w:t>General requirements</w:t>
      </w:r>
    </w:p>
    <w:p w14:paraId="5CCAFE76" w14:textId="66DD9018" w:rsidR="005C2B38" w:rsidRPr="00D13AF1" w:rsidRDefault="005C2B38" w:rsidP="005C2B38">
      <w:pPr>
        <w:pStyle w:val="BodyEE"/>
      </w:pPr>
      <w:r w:rsidRPr="00D13AF1">
        <w:t>General requirements predominantly focus on establishing when telemedicine may be used. The key general requirements or standard</w:t>
      </w:r>
      <w:r w:rsidR="00AF42B9">
        <w:t>s</w:t>
      </w:r>
      <w:r w:rsidRPr="00D13AF1">
        <w:t xml:space="preserve"> we identified in our research are listed below. In general these requirements seek to ensure that telemedicine replicates as far as possible traditional face-to-face care.</w:t>
      </w:r>
    </w:p>
    <w:p w14:paraId="7290D9DE" w14:textId="7CD51DCE" w:rsidR="005C2B38" w:rsidRPr="00D13AF1" w:rsidRDefault="005C2B38" w:rsidP="005C2B38">
      <w:pPr>
        <w:pStyle w:val="Bulletlevel1"/>
      </w:pPr>
      <w:r w:rsidRPr="00D13AF1">
        <w:rPr>
          <w:rStyle w:val="EmphasisPurpleChar"/>
        </w:rPr>
        <w:t>Ensuring the same standard of care</w:t>
      </w:r>
      <w:r w:rsidRPr="00D13AF1">
        <w:t xml:space="preserve"> is provided via telemedicine as via face-to-face care. This requirement is consistent with the </w:t>
      </w:r>
      <w:r w:rsidR="009465C9" w:rsidRPr="00D13AF1">
        <w:t xml:space="preserve">understanding </w:t>
      </w:r>
      <w:r w:rsidRPr="00D13AF1">
        <w:t xml:space="preserve">of telemedicine as just another way of providing medical service rather than as a distinct service. Out of the 17 jurisdictions in our core sample, </w:t>
      </w:r>
      <w:r w:rsidR="00F33DCC" w:rsidRPr="00D13AF1">
        <w:t>1</w:t>
      </w:r>
      <w:r w:rsidR="00663E92">
        <w:t>3</w:t>
      </w:r>
      <w:r w:rsidR="00F33DCC" w:rsidRPr="00D13AF1">
        <w:t xml:space="preserve"> </w:t>
      </w:r>
      <w:r w:rsidR="00663E92">
        <w:t xml:space="preserve">explicitly </w:t>
      </w:r>
      <w:r w:rsidRPr="00D13AF1">
        <w:t xml:space="preserve">included </w:t>
      </w:r>
      <w:r w:rsidR="008C0FFA" w:rsidRPr="00D13AF1">
        <w:t>this requirement</w:t>
      </w:r>
      <w:r w:rsidRPr="00D13AF1">
        <w:t xml:space="preserve"> in their policies or standards.</w:t>
      </w:r>
    </w:p>
    <w:p w14:paraId="0F5843B3" w14:textId="77777777" w:rsidR="00881F2C" w:rsidRPr="00D13AF1" w:rsidRDefault="00881F2C" w:rsidP="00881F2C">
      <w:pPr>
        <w:pStyle w:val="Bulletlevel1"/>
      </w:pPr>
      <w:r w:rsidRPr="00D13AF1">
        <w:rPr>
          <w:rStyle w:val="EmphasisPurpleChar"/>
        </w:rPr>
        <w:t>Having access to sufficient information</w:t>
      </w:r>
      <w:r w:rsidRPr="00D13AF1">
        <w:t xml:space="preserve"> — be it medical records, medical history or other information provided by the patient or the referring doctor. Since in telemedicine the patient cannot be physically examined by the doctor, the latter will be more reliant on medical records or other information from the patient’s history. This requirement — while more specific and thus limited to a particular aspect of providing medical services —</w:t>
      </w:r>
      <w:r>
        <w:t xml:space="preserve"> </w:t>
      </w:r>
      <w:r w:rsidRPr="00D13AF1">
        <w:t xml:space="preserve">aims to ensure telemedicine is applied in a safe manner, broadly equivalent to face-to-face services. It is included as part of policies or standards in </w:t>
      </w:r>
      <w:r>
        <w:t>9</w:t>
      </w:r>
      <w:r w:rsidRPr="00D13AF1">
        <w:t xml:space="preserve"> jurisdictions. </w:t>
      </w:r>
    </w:p>
    <w:p w14:paraId="3A031428" w14:textId="140FDACE" w:rsidR="005C2B38" w:rsidRPr="00D13AF1" w:rsidRDefault="005C2B38" w:rsidP="005C2B38">
      <w:pPr>
        <w:pStyle w:val="Bulletlevel1"/>
      </w:pPr>
      <w:r w:rsidRPr="00D13AF1">
        <w:rPr>
          <w:rStyle w:val="EmphasisPurpleChar"/>
        </w:rPr>
        <w:t>Assessing the appropriateness of telemedicin</w:t>
      </w:r>
      <w:r w:rsidRPr="00D13AF1">
        <w:t xml:space="preserve">e. This requirement means that each time a doctor provides telemedicine services he or she should first determine whether telemedicine is an appropriate way of providing healthcare in the particular case. ‘Appropriateness’ could </w:t>
      </w:r>
      <w:r w:rsidR="00881F2C">
        <w:t xml:space="preserve">also </w:t>
      </w:r>
      <w:r w:rsidRPr="00D13AF1">
        <w:t xml:space="preserve">be seen as equivalent to ‘the same standard of care’ in the sense that the objective of both requirements is to ensure that telemedicine is not a justification for inferior quality of care. There is only partial overlap between jurisdictions including this requirement in their standards — of the 7 jurisdictions which included these ‘appropriateness’ requirements, </w:t>
      </w:r>
      <w:r w:rsidR="00E36B0E">
        <w:t>four</w:t>
      </w:r>
      <w:r w:rsidRPr="00D13AF1">
        <w:t xml:space="preserve"> also mentioned that the standard of care in telemedicine should be the same as in other medical services. As such, only </w:t>
      </w:r>
      <w:r w:rsidR="00F33DCC">
        <w:t>one</w:t>
      </w:r>
      <w:r w:rsidR="00F33DCC" w:rsidRPr="00D13AF1">
        <w:t xml:space="preserve"> </w:t>
      </w:r>
      <w:r w:rsidRPr="00D13AF1">
        <w:t>regulator did not mention either of the two requirements explicitly.</w:t>
      </w:r>
    </w:p>
    <w:p w14:paraId="7E79F864" w14:textId="193B091B" w:rsidR="0050131B" w:rsidRDefault="005C2B38" w:rsidP="0050131B">
      <w:pPr>
        <w:pStyle w:val="Bulletlevel1"/>
      </w:pPr>
      <w:r w:rsidRPr="00D13AF1">
        <w:rPr>
          <w:rStyle w:val="EmphasisPurpleChar"/>
        </w:rPr>
        <w:t>Having an already established relationship with the patient.</w:t>
      </w:r>
      <w:r w:rsidRPr="00D13AF1">
        <w:t xml:space="preserve"> This requirement limits the applicability of telemedicine to situations where doctor and patient already have a relationship which was previously established face-to-face. It could be viewed as the most definitive requirement to ensure that the doctor is not missing any relevant information necessary to form a diagnosis. Only one jurisdiction in our core set applies this requirement.</w:t>
      </w:r>
      <w:r w:rsidRPr="00D13AF1">
        <w:rPr>
          <w:rStyle w:val="FootnoteReference"/>
        </w:rPr>
        <w:footnoteReference w:id="44"/>
      </w:r>
    </w:p>
    <w:p w14:paraId="69966D9D" w14:textId="288567A8" w:rsidR="0050131B" w:rsidRPr="00192837" w:rsidRDefault="0050131B" w:rsidP="009D1B31">
      <w:pPr>
        <w:keepNext/>
        <w:keepLines/>
        <w:spacing w:after="200" w:line="240" w:lineRule="auto"/>
        <w:rPr>
          <w:b/>
          <w:bCs/>
          <w:sz w:val="20"/>
        </w:rPr>
      </w:pPr>
      <w:r w:rsidRPr="00360C2B">
        <w:rPr>
          <w:b/>
          <w:bCs/>
          <w:sz w:val="20"/>
        </w:rPr>
        <w:lastRenderedPageBreak/>
        <w:t xml:space="preserve"> </w:t>
      </w:r>
      <w:r w:rsidRPr="00192837">
        <w:rPr>
          <w:b/>
          <w:bCs/>
          <w:sz w:val="20"/>
        </w:rPr>
        <w:t xml:space="preserve">Table </w:t>
      </w:r>
      <w:r w:rsidR="00EF67D2">
        <w:rPr>
          <w:b/>
          <w:bCs/>
          <w:sz w:val="20"/>
        </w:rPr>
        <w:fldChar w:fldCharType="begin"/>
      </w:r>
      <w:r w:rsidR="00EF67D2">
        <w:rPr>
          <w:b/>
          <w:bCs/>
          <w:sz w:val="20"/>
        </w:rPr>
        <w:instrText xml:space="preserve"> STYLEREF 1 \s </w:instrText>
      </w:r>
      <w:r w:rsidR="00EF67D2">
        <w:rPr>
          <w:b/>
          <w:bCs/>
          <w:sz w:val="20"/>
        </w:rPr>
        <w:fldChar w:fldCharType="separate"/>
      </w:r>
      <w:r w:rsidR="00B51130">
        <w:rPr>
          <w:b/>
          <w:bCs/>
          <w:noProof/>
          <w:sz w:val="20"/>
        </w:rPr>
        <w:t>4</w:t>
      </w:r>
      <w:r w:rsidR="00EF67D2">
        <w:rPr>
          <w:b/>
          <w:bCs/>
          <w:sz w:val="20"/>
        </w:rPr>
        <w:fldChar w:fldCharType="end"/>
      </w:r>
      <w:r w:rsidR="00EF67D2">
        <w:rPr>
          <w:b/>
          <w:bCs/>
          <w:sz w:val="20"/>
        </w:rPr>
        <w:t>.</w:t>
      </w:r>
      <w:r w:rsidR="00EF67D2">
        <w:rPr>
          <w:b/>
          <w:bCs/>
          <w:sz w:val="20"/>
        </w:rPr>
        <w:fldChar w:fldCharType="begin"/>
      </w:r>
      <w:r w:rsidR="00EF67D2">
        <w:rPr>
          <w:b/>
          <w:bCs/>
          <w:sz w:val="20"/>
        </w:rPr>
        <w:instrText xml:space="preserve"> SEQ Table \* ARABIC \s 1 </w:instrText>
      </w:r>
      <w:r w:rsidR="00EF67D2">
        <w:rPr>
          <w:b/>
          <w:bCs/>
          <w:sz w:val="20"/>
        </w:rPr>
        <w:fldChar w:fldCharType="separate"/>
      </w:r>
      <w:r w:rsidR="00B51130">
        <w:rPr>
          <w:b/>
          <w:bCs/>
          <w:noProof/>
          <w:sz w:val="20"/>
        </w:rPr>
        <w:t>3</w:t>
      </w:r>
      <w:r w:rsidR="00EF67D2">
        <w:rPr>
          <w:b/>
          <w:bCs/>
          <w:sz w:val="20"/>
        </w:rPr>
        <w:fldChar w:fldCharType="end"/>
      </w:r>
      <w:r w:rsidRPr="00192837">
        <w:rPr>
          <w:b/>
          <w:bCs/>
          <w:sz w:val="20"/>
        </w:rPr>
        <w:t xml:space="preserve">: Telemedicine </w:t>
      </w:r>
      <w:r>
        <w:rPr>
          <w:b/>
          <w:bCs/>
          <w:sz w:val="20"/>
        </w:rPr>
        <w:t xml:space="preserve">general </w:t>
      </w:r>
      <w:r w:rsidRPr="00192837">
        <w:rPr>
          <w:b/>
          <w:bCs/>
          <w:sz w:val="20"/>
        </w:rPr>
        <w:t>requirements — summary</w:t>
      </w:r>
    </w:p>
    <w:tbl>
      <w:tblPr>
        <w:tblStyle w:val="LightShading-Accent113"/>
        <w:tblW w:w="5000" w:type="pct"/>
        <w:tblLook w:val="04E0" w:firstRow="1" w:lastRow="1" w:firstColumn="1" w:lastColumn="0" w:noHBand="0" w:noVBand="1"/>
      </w:tblPr>
      <w:tblGrid>
        <w:gridCol w:w="3129"/>
        <w:gridCol w:w="1459"/>
        <w:gridCol w:w="1517"/>
        <w:gridCol w:w="2020"/>
        <w:gridCol w:w="1513"/>
      </w:tblGrid>
      <w:tr w:rsidR="0046317C" w:rsidRPr="00192837" w14:paraId="559173C3" w14:textId="77777777" w:rsidTr="00FA3F5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23" w:type="pct"/>
          </w:tcPr>
          <w:p w14:paraId="4AF8136D" w14:textId="77777777" w:rsidR="0046317C" w:rsidRPr="00192837" w:rsidRDefault="0046317C" w:rsidP="009D1B31">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38383A"/>
                <w:sz w:val="18"/>
                <w:szCs w:val="20"/>
              </w:rPr>
              <w:t>Jurisdiction</w:t>
            </w:r>
          </w:p>
        </w:tc>
        <w:tc>
          <w:tcPr>
            <w:tcW w:w="757" w:type="pct"/>
          </w:tcPr>
          <w:p w14:paraId="2A0E0BF3" w14:textId="0C6E08B0" w:rsidR="0046317C" w:rsidRPr="00192837" w:rsidRDefault="0046317C" w:rsidP="009D1B31">
            <w:pPr>
              <w:keepNext/>
              <w:keepLines/>
              <w:tabs>
                <w:tab w:val="clear" w:pos="280"/>
                <w:tab w:val="clear" w:pos="4800"/>
                <w:tab w:val="clear" w:pos="5780"/>
              </w:tabs>
              <w:suppressAutoHyphens w:val="0"/>
              <w:autoSpaceDE/>
              <w:autoSpaceDN/>
              <w:adjustRightInd/>
              <w:spacing w:line="264" w:lineRule="auto"/>
              <w:jc w:val="center"/>
              <w:textAlignment w:val="auto"/>
              <w:cnfStyle w:val="100000000000" w:firstRow="1" w:lastRow="0" w:firstColumn="0" w:lastColumn="0" w:oddVBand="0" w:evenVBand="0" w:oddHBand="0"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Same standard of care</w:t>
            </w:r>
            <w:r w:rsidR="00474F65">
              <w:rPr>
                <w:rFonts w:eastAsia="Gill Sans MT" w:cs="Times New Roman"/>
                <w:color w:val="38383A"/>
                <w:sz w:val="18"/>
                <w:szCs w:val="20"/>
              </w:rPr>
              <w:t xml:space="preserve"> as face-to-face</w:t>
            </w:r>
          </w:p>
        </w:tc>
        <w:tc>
          <w:tcPr>
            <w:tcW w:w="787" w:type="pct"/>
          </w:tcPr>
          <w:p w14:paraId="77ED2A76" w14:textId="134EBB74" w:rsidR="0046317C" w:rsidRPr="00192837" w:rsidRDefault="0046317C" w:rsidP="009D1B31">
            <w:pPr>
              <w:keepNext/>
              <w:keepLines/>
              <w:tabs>
                <w:tab w:val="clear" w:pos="280"/>
                <w:tab w:val="clear" w:pos="4800"/>
                <w:tab w:val="clear" w:pos="5780"/>
              </w:tabs>
              <w:suppressAutoHyphens w:val="0"/>
              <w:autoSpaceDE/>
              <w:autoSpaceDN/>
              <w:adjustRightInd/>
              <w:spacing w:line="264" w:lineRule="auto"/>
              <w:jc w:val="center"/>
              <w:textAlignment w:val="auto"/>
              <w:cnfStyle w:val="100000000000" w:firstRow="1" w:lastRow="0" w:firstColumn="0" w:lastColumn="0" w:oddVBand="0" w:evenVBand="0" w:oddHBand="0"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Having access to sufficient information</w:t>
            </w:r>
          </w:p>
        </w:tc>
        <w:tc>
          <w:tcPr>
            <w:tcW w:w="1048" w:type="pct"/>
          </w:tcPr>
          <w:p w14:paraId="6082F21E" w14:textId="6A391762" w:rsidR="0046317C" w:rsidRPr="00192837" w:rsidRDefault="0046317C" w:rsidP="009D1B31">
            <w:pPr>
              <w:keepNext/>
              <w:keepLines/>
              <w:tabs>
                <w:tab w:val="clear" w:pos="280"/>
                <w:tab w:val="clear" w:pos="4800"/>
                <w:tab w:val="clear" w:pos="5780"/>
              </w:tabs>
              <w:suppressAutoHyphens w:val="0"/>
              <w:autoSpaceDE/>
              <w:autoSpaceDN/>
              <w:adjustRightInd/>
              <w:spacing w:line="264" w:lineRule="auto"/>
              <w:jc w:val="center"/>
              <w:textAlignment w:val="auto"/>
              <w:cnfStyle w:val="100000000000" w:firstRow="1" w:lastRow="0" w:firstColumn="0" w:lastColumn="0" w:oddVBand="0" w:evenVBand="0" w:oddHBand="0"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Appropriateness of telemedicine</w:t>
            </w:r>
          </w:p>
        </w:tc>
        <w:tc>
          <w:tcPr>
            <w:tcW w:w="785" w:type="pct"/>
          </w:tcPr>
          <w:p w14:paraId="1A8F4F7A" w14:textId="4E7A10D4" w:rsidR="0046317C" w:rsidRPr="00192837" w:rsidRDefault="0046317C" w:rsidP="009D1B31">
            <w:pPr>
              <w:keepNext/>
              <w:keepLines/>
              <w:tabs>
                <w:tab w:val="clear" w:pos="280"/>
                <w:tab w:val="clear" w:pos="4800"/>
                <w:tab w:val="clear" w:pos="5780"/>
              </w:tabs>
              <w:suppressAutoHyphens w:val="0"/>
              <w:autoSpaceDE/>
              <w:autoSpaceDN/>
              <w:adjustRightInd/>
              <w:spacing w:line="264" w:lineRule="auto"/>
              <w:jc w:val="center"/>
              <w:textAlignment w:val="auto"/>
              <w:cnfStyle w:val="100000000000" w:firstRow="1" w:lastRow="0" w:firstColumn="0" w:lastColumn="0" w:oddVBand="0" w:evenVBand="0" w:oddHBand="0"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Established relationship with patient</w:t>
            </w:r>
          </w:p>
        </w:tc>
      </w:tr>
      <w:tr w:rsidR="0046317C" w:rsidRPr="00192837" w14:paraId="64842F9A" w14:textId="77777777" w:rsidTr="00FA3F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pct"/>
          </w:tcPr>
          <w:p w14:paraId="4812DABA" w14:textId="77777777" w:rsidR="0046317C" w:rsidRPr="00192837" w:rsidRDefault="0046317C" w:rsidP="009D1B31">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Australia</w:t>
            </w:r>
          </w:p>
        </w:tc>
        <w:tc>
          <w:tcPr>
            <w:tcW w:w="757" w:type="pct"/>
          </w:tcPr>
          <w:p w14:paraId="165DF813" w14:textId="77777777" w:rsidR="0046317C" w:rsidRPr="00192837" w:rsidRDefault="0046317C"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787" w:type="pct"/>
          </w:tcPr>
          <w:p w14:paraId="2E02B6F6" w14:textId="77777777" w:rsidR="0046317C" w:rsidRPr="00192837" w:rsidRDefault="0046317C"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1048" w:type="pct"/>
          </w:tcPr>
          <w:p w14:paraId="3931CED7" w14:textId="410ECBE9" w:rsidR="0046317C" w:rsidRPr="00192837" w:rsidRDefault="009A04B2"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785" w:type="pct"/>
          </w:tcPr>
          <w:p w14:paraId="46D8CEEB" w14:textId="71687284" w:rsidR="0046317C" w:rsidRPr="00192837" w:rsidRDefault="00DC5B2A"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e</w:t>
            </w:r>
            <w:r w:rsidR="009A04B2">
              <w:rPr>
                <w:rFonts w:eastAsia="Gill Sans MT" w:cs="Times New Roman"/>
                <w:color w:val="38383A"/>
                <w:sz w:val="18"/>
                <w:szCs w:val="20"/>
              </w:rPr>
              <w:t>ncouraged</w:t>
            </w:r>
            <w:r>
              <w:rPr>
                <w:rFonts w:eastAsia="Gill Sans MT" w:cs="Times New Roman"/>
                <w:color w:val="38383A"/>
                <w:sz w:val="18"/>
                <w:szCs w:val="20"/>
              </w:rPr>
              <w:t>*</w:t>
            </w:r>
          </w:p>
        </w:tc>
      </w:tr>
      <w:tr w:rsidR="0046317C" w:rsidRPr="00192837" w14:paraId="60236EFD" w14:textId="77777777" w:rsidTr="00FA3F5A">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pct"/>
          </w:tcPr>
          <w:p w14:paraId="3E230C06" w14:textId="77777777" w:rsidR="0046317C" w:rsidRPr="00192837" w:rsidRDefault="0046317C" w:rsidP="009D1B31">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Denmark</w:t>
            </w:r>
          </w:p>
        </w:tc>
        <w:tc>
          <w:tcPr>
            <w:tcW w:w="757" w:type="pct"/>
          </w:tcPr>
          <w:p w14:paraId="619128C1" w14:textId="272AE750" w:rsidR="0046317C" w:rsidRPr="00192837" w:rsidRDefault="009A04B2"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787" w:type="pct"/>
          </w:tcPr>
          <w:p w14:paraId="18D56781" w14:textId="241DA2D1" w:rsidR="0046317C" w:rsidRPr="00192837" w:rsidRDefault="009A04B2"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1048" w:type="pct"/>
          </w:tcPr>
          <w:p w14:paraId="4DF08F36" w14:textId="77777777" w:rsidR="0046317C" w:rsidRPr="00192837" w:rsidRDefault="0046317C"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785" w:type="pct"/>
          </w:tcPr>
          <w:p w14:paraId="20B2F22C" w14:textId="77777777" w:rsidR="0046317C" w:rsidRPr="00192837" w:rsidRDefault="0046317C"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r>
      <w:tr w:rsidR="0046317C" w:rsidRPr="00192837" w14:paraId="2BC2F831" w14:textId="77777777" w:rsidTr="00FA3F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pct"/>
          </w:tcPr>
          <w:p w14:paraId="4A65D9BE" w14:textId="77777777" w:rsidR="0046317C" w:rsidRPr="00192837" w:rsidRDefault="0046317C" w:rsidP="009D1B31">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France</w:t>
            </w:r>
          </w:p>
        </w:tc>
        <w:tc>
          <w:tcPr>
            <w:tcW w:w="757" w:type="pct"/>
          </w:tcPr>
          <w:p w14:paraId="405F3533" w14:textId="33F8A116" w:rsidR="0046317C" w:rsidRPr="00192837" w:rsidRDefault="009A04B2"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787" w:type="pct"/>
          </w:tcPr>
          <w:p w14:paraId="1F88C3F0" w14:textId="1FFBF642" w:rsidR="0046317C" w:rsidRPr="00192837" w:rsidRDefault="009A04B2"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1048" w:type="pct"/>
          </w:tcPr>
          <w:p w14:paraId="5CD1A2EE" w14:textId="6FB171DF" w:rsidR="0046317C" w:rsidRPr="00192837" w:rsidRDefault="009A04B2"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785" w:type="pct"/>
          </w:tcPr>
          <w:p w14:paraId="71646F02" w14:textId="77777777" w:rsidR="0046317C" w:rsidRPr="00192837" w:rsidRDefault="0046317C"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r>
      <w:tr w:rsidR="0046317C" w:rsidRPr="00192837" w14:paraId="587EBDB4" w14:textId="77777777" w:rsidTr="00FA3F5A">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pct"/>
          </w:tcPr>
          <w:p w14:paraId="71B84BBC" w14:textId="77777777" w:rsidR="0046317C" w:rsidRPr="00192837" w:rsidRDefault="0046317C" w:rsidP="009D1B31">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New Zealand</w:t>
            </w:r>
          </w:p>
        </w:tc>
        <w:tc>
          <w:tcPr>
            <w:tcW w:w="757" w:type="pct"/>
          </w:tcPr>
          <w:p w14:paraId="463E66A1" w14:textId="6448853C" w:rsidR="0046317C" w:rsidRPr="00192837" w:rsidRDefault="009A04B2"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787" w:type="pct"/>
          </w:tcPr>
          <w:p w14:paraId="62F40794" w14:textId="2022FCA6" w:rsidR="0046317C" w:rsidRPr="00192837" w:rsidRDefault="009A04B2"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1048" w:type="pct"/>
          </w:tcPr>
          <w:p w14:paraId="46D3917B" w14:textId="056A7C1D" w:rsidR="0046317C" w:rsidRPr="00192837" w:rsidRDefault="009A04B2"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785" w:type="pct"/>
          </w:tcPr>
          <w:p w14:paraId="3D80F7EC" w14:textId="77777777" w:rsidR="0046317C" w:rsidRPr="00192837" w:rsidRDefault="0046317C"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r>
      <w:tr w:rsidR="0046317C" w:rsidRPr="00192837" w14:paraId="237DE33E" w14:textId="77777777" w:rsidTr="00FA3F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pct"/>
          </w:tcPr>
          <w:p w14:paraId="114096E8" w14:textId="77777777" w:rsidR="0046317C" w:rsidRPr="00192837" w:rsidRDefault="0046317C" w:rsidP="009D1B31">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Portugal</w:t>
            </w:r>
          </w:p>
        </w:tc>
        <w:tc>
          <w:tcPr>
            <w:tcW w:w="757" w:type="pct"/>
          </w:tcPr>
          <w:p w14:paraId="75EA0710" w14:textId="4D2C2A22" w:rsidR="0046317C" w:rsidRPr="00192837" w:rsidRDefault="009A04B2"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787" w:type="pct"/>
          </w:tcPr>
          <w:p w14:paraId="2E1DE747" w14:textId="77777777" w:rsidR="0046317C" w:rsidRPr="00192837" w:rsidRDefault="0046317C"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1048" w:type="pct"/>
          </w:tcPr>
          <w:p w14:paraId="4C3E4903" w14:textId="77777777" w:rsidR="0046317C" w:rsidRPr="00192837" w:rsidRDefault="0046317C"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785" w:type="pct"/>
          </w:tcPr>
          <w:p w14:paraId="0C83D71A" w14:textId="304A2096" w:rsidR="0046317C" w:rsidRPr="00192837" w:rsidRDefault="009A04B2"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r>
      <w:tr w:rsidR="0046317C" w:rsidRPr="00192837" w14:paraId="7841CCA3" w14:textId="77777777" w:rsidTr="00FA3F5A">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pct"/>
          </w:tcPr>
          <w:p w14:paraId="2F83808A" w14:textId="77777777" w:rsidR="0046317C" w:rsidRPr="00192837" w:rsidRDefault="0046317C" w:rsidP="009D1B31">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Singapore</w:t>
            </w:r>
          </w:p>
        </w:tc>
        <w:tc>
          <w:tcPr>
            <w:tcW w:w="757" w:type="pct"/>
          </w:tcPr>
          <w:p w14:paraId="62E6FEC1" w14:textId="3259444D" w:rsidR="0046317C" w:rsidRPr="00192837" w:rsidRDefault="009A04B2"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787" w:type="pct"/>
          </w:tcPr>
          <w:p w14:paraId="52C81D09" w14:textId="79432865" w:rsidR="0046317C" w:rsidRPr="00192837" w:rsidRDefault="009A04B2"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1048" w:type="pct"/>
          </w:tcPr>
          <w:p w14:paraId="620EC3D3" w14:textId="61282100" w:rsidR="0046317C" w:rsidRPr="00192837" w:rsidRDefault="009A04B2"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785" w:type="pct"/>
          </w:tcPr>
          <w:p w14:paraId="6B7B6285" w14:textId="77777777" w:rsidR="0046317C" w:rsidRPr="00192837" w:rsidRDefault="0046317C"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r>
      <w:tr w:rsidR="0046317C" w:rsidRPr="00192837" w14:paraId="76322BE4" w14:textId="77777777" w:rsidTr="00FA3F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pct"/>
          </w:tcPr>
          <w:p w14:paraId="0F54763D" w14:textId="77777777" w:rsidR="0046317C" w:rsidRPr="00192837" w:rsidRDefault="0046317C" w:rsidP="009D1B31">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Alberta</w:t>
            </w:r>
          </w:p>
        </w:tc>
        <w:tc>
          <w:tcPr>
            <w:tcW w:w="757" w:type="pct"/>
          </w:tcPr>
          <w:p w14:paraId="3648C0BA" w14:textId="77777777" w:rsidR="0046317C" w:rsidRPr="00192837" w:rsidRDefault="0046317C"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787" w:type="pct"/>
          </w:tcPr>
          <w:p w14:paraId="20166CC0" w14:textId="77777777" w:rsidR="0046317C" w:rsidRPr="00192837" w:rsidRDefault="0046317C"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1048" w:type="pct"/>
          </w:tcPr>
          <w:p w14:paraId="1756B8AD" w14:textId="77777777" w:rsidR="0046317C" w:rsidRPr="00192837" w:rsidRDefault="0046317C"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785" w:type="pct"/>
          </w:tcPr>
          <w:p w14:paraId="74F77DCA" w14:textId="77777777" w:rsidR="0046317C" w:rsidRPr="00192837" w:rsidRDefault="0046317C"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r>
      <w:tr w:rsidR="0046317C" w:rsidRPr="00192837" w14:paraId="6BE3700B" w14:textId="77777777" w:rsidTr="00FA3F5A">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pct"/>
          </w:tcPr>
          <w:p w14:paraId="7DCAC349" w14:textId="77777777" w:rsidR="0046317C" w:rsidRPr="00192837" w:rsidRDefault="0046317C" w:rsidP="009D1B31">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British Columbia</w:t>
            </w:r>
          </w:p>
        </w:tc>
        <w:tc>
          <w:tcPr>
            <w:tcW w:w="757" w:type="pct"/>
          </w:tcPr>
          <w:p w14:paraId="66B2B24A" w14:textId="77777777" w:rsidR="0046317C" w:rsidRPr="00192837" w:rsidRDefault="0046317C"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787" w:type="pct"/>
          </w:tcPr>
          <w:p w14:paraId="706EBAF0" w14:textId="77777777" w:rsidR="0046317C" w:rsidRPr="00192837" w:rsidRDefault="0046317C"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1048" w:type="pct"/>
          </w:tcPr>
          <w:p w14:paraId="63068544" w14:textId="5B86ED3E" w:rsidR="0046317C" w:rsidRPr="00192837" w:rsidRDefault="009A04B2"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785" w:type="pct"/>
          </w:tcPr>
          <w:p w14:paraId="0C337A1E" w14:textId="77777777" w:rsidR="0046317C" w:rsidRPr="00192837" w:rsidRDefault="0046317C"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r>
      <w:tr w:rsidR="0046317C" w:rsidRPr="00192837" w14:paraId="61D6E8E9" w14:textId="77777777" w:rsidTr="00FA3F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pct"/>
          </w:tcPr>
          <w:p w14:paraId="0F4E36BB" w14:textId="77777777" w:rsidR="0046317C" w:rsidRPr="00192837" w:rsidRDefault="0046317C" w:rsidP="009D1B31">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Newfoundland and Labrador</w:t>
            </w:r>
          </w:p>
        </w:tc>
        <w:tc>
          <w:tcPr>
            <w:tcW w:w="757" w:type="pct"/>
          </w:tcPr>
          <w:p w14:paraId="46966A97" w14:textId="259E11AB" w:rsidR="0046317C" w:rsidRPr="00192837" w:rsidRDefault="009A04B2"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787" w:type="pct"/>
          </w:tcPr>
          <w:p w14:paraId="138407B6" w14:textId="20719E75" w:rsidR="0046317C" w:rsidRPr="00192837" w:rsidRDefault="009A04B2"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1048" w:type="pct"/>
          </w:tcPr>
          <w:p w14:paraId="4B289753" w14:textId="6248411B" w:rsidR="0046317C" w:rsidRPr="00192837" w:rsidRDefault="009A04B2"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785" w:type="pct"/>
          </w:tcPr>
          <w:p w14:paraId="6F422C8E" w14:textId="77777777" w:rsidR="0046317C" w:rsidRPr="00192837" w:rsidRDefault="0046317C"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r>
      <w:tr w:rsidR="0046317C" w:rsidRPr="00192837" w14:paraId="7CA49157" w14:textId="77777777" w:rsidTr="00FA3F5A">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pct"/>
          </w:tcPr>
          <w:p w14:paraId="0CB2163A" w14:textId="77777777" w:rsidR="0046317C" w:rsidRPr="00192837" w:rsidRDefault="0046317C" w:rsidP="009D1B31">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Ontario</w:t>
            </w:r>
          </w:p>
        </w:tc>
        <w:tc>
          <w:tcPr>
            <w:tcW w:w="757" w:type="pct"/>
          </w:tcPr>
          <w:p w14:paraId="270B71E8" w14:textId="77777777" w:rsidR="0046317C" w:rsidRPr="00192837" w:rsidRDefault="0046317C"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787" w:type="pct"/>
          </w:tcPr>
          <w:p w14:paraId="7D1DAC04" w14:textId="77777777" w:rsidR="0046317C" w:rsidRPr="00192837" w:rsidRDefault="0046317C"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1048" w:type="pct"/>
          </w:tcPr>
          <w:p w14:paraId="765D1461" w14:textId="08F6A3FF" w:rsidR="0046317C" w:rsidRPr="00192837" w:rsidRDefault="009A04B2"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785" w:type="pct"/>
          </w:tcPr>
          <w:p w14:paraId="6BE3C1E6" w14:textId="02FD786D" w:rsidR="0046317C" w:rsidRPr="00192837" w:rsidRDefault="009A04B2"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032A83">
              <w:rPr>
                <w:rFonts w:eastAsia="Gill Sans MT" w:cs="Times New Roman"/>
                <w:color w:val="38383A"/>
                <w:sz w:val="18"/>
                <w:szCs w:val="20"/>
              </w:rPr>
              <w:sym w:font="Wingdings 2" w:char="F04F"/>
            </w:r>
          </w:p>
        </w:tc>
      </w:tr>
      <w:tr w:rsidR="0046317C" w:rsidRPr="00192837" w14:paraId="0A3C5277" w14:textId="77777777" w:rsidTr="00FA3F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pct"/>
          </w:tcPr>
          <w:p w14:paraId="5068AA38" w14:textId="77777777" w:rsidR="0046317C" w:rsidRPr="00192837" w:rsidRDefault="0046317C" w:rsidP="009D1B31">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Saskatchewan</w:t>
            </w:r>
          </w:p>
        </w:tc>
        <w:tc>
          <w:tcPr>
            <w:tcW w:w="757" w:type="pct"/>
          </w:tcPr>
          <w:p w14:paraId="5A570AAC" w14:textId="3C18A2D7" w:rsidR="0046317C" w:rsidRPr="00192837" w:rsidRDefault="009A04B2"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787" w:type="pct"/>
          </w:tcPr>
          <w:p w14:paraId="58414AA4" w14:textId="77777777" w:rsidR="0046317C" w:rsidRPr="00192837" w:rsidRDefault="0046317C"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1048" w:type="pct"/>
          </w:tcPr>
          <w:p w14:paraId="5BD94D78" w14:textId="77777777" w:rsidR="0046317C" w:rsidRPr="00192837" w:rsidRDefault="0046317C"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785" w:type="pct"/>
          </w:tcPr>
          <w:p w14:paraId="3A7DD0E8" w14:textId="52218914" w:rsidR="0046317C" w:rsidRPr="00192837" w:rsidRDefault="005C7FE9"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032A83">
              <w:rPr>
                <w:rFonts w:eastAsia="Gill Sans MT" w:cs="Times New Roman"/>
                <w:color w:val="38383A"/>
                <w:sz w:val="18"/>
                <w:szCs w:val="20"/>
              </w:rPr>
              <w:sym w:font="Wingdings 2" w:char="F04F"/>
            </w:r>
          </w:p>
        </w:tc>
      </w:tr>
      <w:tr w:rsidR="0046317C" w:rsidRPr="00192837" w14:paraId="28D2B1DE" w14:textId="77777777" w:rsidTr="00FA3F5A">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pct"/>
          </w:tcPr>
          <w:p w14:paraId="4734437F" w14:textId="77777777" w:rsidR="0046317C" w:rsidRPr="00192837" w:rsidRDefault="0046317C" w:rsidP="009D1B31">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California</w:t>
            </w:r>
          </w:p>
        </w:tc>
        <w:tc>
          <w:tcPr>
            <w:tcW w:w="757" w:type="pct"/>
          </w:tcPr>
          <w:p w14:paraId="3B0E35AE" w14:textId="182BE428" w:rsidR="0046317C" w:rsidRPr="00192837" w:rsidRDefault="009A04B2"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787" w:type="pct"/>
          </w:tcPr>
          <w:p w14:paraId="2B2E262F" w14:textId="77777777" w:rsidR="0046317C" w:rsidRPr="00192837" w:rsidRDefault="0046317C"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1048" w:type="pct"/>
          </w:tcPr>
          <w:p w14:paraId="247BA7FA" w14:textId="77777777" w:rsidR="0046317C" w:rsidRPr="00192837" w:rsidRDefault="0046317C"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785" w:type="pct"/>
          </w:tcPr>
          <w:p w14:paraId="36E7DF90" w14:textId="77777777" w:rsidR="0046317C" w:rsidRPr="00192837" w:rsidRDefault="0046317C"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r>
      <w:tr w:rsidR="0046317C" w:rsidRPr="00192837" w14:paraId="6FEA2FAB" w14:textId="77777777" w:rsidTr="00FA3F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pct"/>
          </w:tcPr>
          <w:p w14:paraId="35FE474C" w14:textId="77777777" w:rsidR="0046317C" w:rsidRPr="00192837" w:rsidRDefault="0046317C" w:rsidP="009D1B31">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Maine</w:t>
            </w:r>
          </w:p>
        </w:tc>
        <w:tc>
          <w:tcPr>
            <w:tcW w:w="757" w:type="pct"/>
          </w:tcPr>
          <w:p w14:paraId="77020A8B" w14:textId="66DC8209" w:rsidR="0046317C" w:rsidRPr="00192837" w:rsidRDefault="009A04B2"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787" w:type="pct"/>
          </w:tcPr>
          <w:p w14:paraId="245B71D4" w14:textId="41D8BA68" w:rsidR="0046317C" w:rsidRPr="00192837" w:rsidRDefault="009A04B2"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1048" w:type="pct"/>
          </w:tcPr>
          <w:p w14:paraId="632AAB1B" w14:textId="1BEA4691" w:rsidR="0046317C" w:rsidRPr="00192837" w:rsidRDefault="0046317C"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785" w:type="pct"/>
          </w:tcPr>
          <w:p w14:paraId="76F30385" w14:textId="5101935C" w:rsidR="0046317C" w:rsidRPr="00192837" w:rsidRDefault="009A04B2"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032A83">
              <w:rPr>
                <w:rFonts w:eastAsia="Gill Sans MT" w:cs="Times New Roman"/>
                <w:color w:val="38383A"/>
                <w:sz w:val="18"/>
                <w:szCs w:val="20"/>
              </w:rPr>
              <w:sym w:font="Wingdings 2" w:char="F04F"/>
            </w:r>
          </w:p>
        </w:tc>
      </w:tr>
      <w:tr w:rsidR="0046317C" w:rsidRPr="00192837" w14:paraId="17097A37" w14:textId="77777777" w:rsidTr="00FA3F5A">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pct"/>
          </w:tcPr>
          <w:p w14:paraId="0633AF95" w14:textId="77777777" w:rsidR="0046317C" w:rsidRPr="00192837" w:rsidRDefault="0046317C" w:rsidP="009D1B31">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North Carolina</w:t>
            </w:r>
          </w:p>
        </w:tc>
        <w:tc>
          <w:tcPr>
            <w:tcW w:w="757" w:type="pct"/>
          </w:tcPr>
          <w:p w14:paraId="07E38F5F" w14:textId="34757341" w:rsidR="0046317C" w:rsidRPr="00192837" w:rsidRDefault="009A04B2"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787" w:type="pct"/>
          </w:tcPr>
          <w:p w14:paraId="3FFFD161" w14:textId="327401B2" w:rsidR="0046317C" w:rsidRPr="00192837" w:rsidRDefault="009A04B2"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1048" w:type="pct"/>
          </w:tcPr>
          <w:p w14:paraId="541053F9" w14:textId="178672AE" w:rsidR="0046317C" w:rsidRPr="00192837" w:rsidRDefault="0046317C"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785" w:type="pct"/>
          </w:tcPr>
          <w:p w14:paraId="11725A37" w14:textId="447F1F3E" w:rsidR="0046317C" w:rsidRPr="00192837" w:rsidRDefault="009A04B2"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032A83">
              <w:rPr>
                <w:rFonts w:eastAsia="Gill Sans MT" w:cs="Times New Roman"/>
                <w:color w:val="38383A"/>
                <w:sz w:val="18"/>
                <w:szCs w:val="20"/>
              </w:rPr>
              <w:sym w:font="Wingdings 2" w:char="F04F"/>
            </w:r>
          </w:p>
        </w:tc>
      </w:tr>
      <w:tr w:rsidR="0046317C" w:rsidRPr="00192837" w14:paraId="55CB0417" w14:textId="77777777" w:rsidTr="00FA3F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pct"/>
          </w:tcPr>
          <w:p w14:paraId="61A25EA7" w14:textId="77777777" w:rsidR="0046317C" w:rsidRPr="00192837" w:rsidRDefault="0046317C" w:rsidP="009D1B31">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Oklahoma</w:t>
            </w:r>
          </w:p>
        </w:tc>
        <w:tc>
          <w:tcPr>
            <w:tcW w:w="757" w:type="pct"/>
          </w:tcPr>
          <w:p w14:paraId="2D16223B" w14:textId="18D3523E" w:rsidR="0046317C" w:rsidRPr="00192837" w:rsidRDefault="009A04B2"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787" w:type="pct"/>
          </w:tcPr>
          <w:p w14:paraId="452C0B0C" w14:textId="2771E24E" w:rsidR="0046317C" w:rsidRPr="00192837" w:rsidRDefault="009A04B2"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1048" w:type="pct"/>
          </w:tcPr>
          <w:p w14:paraId="45B0AE7D" w14:textId="77777777" w:rsidR="0046317C" w:rsidRPr="00192837" w:rsidRDefault="0046317C"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785" w:type="pct"/>
          </w:tcPr>
          <w:p w14:paraId="2622D72A" w14:textId="77777777" w:rsidR="0046317C" w:rsidRPr="00192837" w:rsidRDefault="0046317C"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r>
      <w:tr w:rsidR="0046317C" w:rsidRPr="00192837" w14:paraId="6B01350B" w14:textId="77777777" w:rsidTr="00FA3F5A">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pct"/>
          </w:tcPr>
          <w:p w14:paraId="6868C19E" w14:textId="77777777" w:rsidR="0046317C" w:rsidRPr="00192837" w:rsidRDefault="0046317C" w:rsidP="009D1B31">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Oregon</w:t>
            </w:r>
          </w:p>
        </w:tc>
        <w:tc>
          <w:tcPr>
            <w:tcW w:w="757" w:type="pct"/>
          </w:tcPr>
          <w:p w14:paraId="15D8AD62" w14:textId="7E06CEE4" w:rsidR="0046317C" w:rsidRPr="00192837" w:rsidRDefault="009A04B2"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787" w:type="pct"/>
          </w:tcPr>
          <w:p w14:paraId="34803A0E" w14:textId="57039F9A" w:rsidR="0046317C" w:rsidRPr="00192837" w:rsidRDefault="009A04B2"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1048" w:type="pct"/>
          </w:tcPr>
          <w:p w14:paraId="3640006E" w14:textId="77777777" w:rsidR="0046317C" w:rsidRPr="00192837" w:rsidRDefault="0046317C"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785" w:type="pct"/>
          </w:tcPr>
          <w:p w14:paraId="505D5187" w14:textId="77777777" w:rsidR="0046317C" w:rsidRPr="00192837" w:rsidRDefault="0046317C"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r>
      <w:tr w:rsidR="0046317C" w:rsidRPr="00192837" w14:paraId="5E3125C4" w14:textId="77777777" w:rsidTr="00FA3F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pct"/>
          </w:tcPr>
          <w:p w14:paraId="285CE208" w14:textId="77777777" w:rsidR="0046317C" w:rsidRPr="00192837" w:rsidRDefault="0046317C" w:rsidP="009D1B31">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Washington</w:t>
            </w:r>
          </w:p>
        </w:tc>
        <w:tc>
          <w:tcPr>
            <w:tcW w:w="757" w:type="pct"/>
          </w:tcPr>
          <w:p w14:paraId="0E580A20" w14:textId="663BEDC6" w:rsidR="0046317C" w:rsidRPr="00192837" w:rsidRDefault="009A04B2"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787" w:type="pct"/>
          </w:tcPr>
          <w:p w14:paraId="62893076" w14:textId="77777777" w:rsidR="0046317C" w:rsidRPr="00192837" w:rsidRDefault="0046317C"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1048" w:type="pct"/>
          </w:tcPr>
          <w:p w14:paraId="4414F99B" w14:textId="77777777" w:rsidR="0046317C" w:rsidRPr="00192837" w:rsidRDefault="0046317C"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785" w:type="pct"/>
          </w:tcPr>
          <w:p w14:paraId="73B887DF" w14:textId="5BDE70CD" w:rsidR="0046317C" w:rsidRPr="00192837" w:rsidRDefault="009A04B2"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032A83">
              <w:rPr>
                <w:rFonts w:eastAsia="Gill Sans MT" w:cs="Times New Roman"/>
                <w:color w:val="38383A"/>
                <w:sz w:val="18"/>
                <w:szCs w:val="20"/>
              </w:rPr>
              <w:sym w:font="Wingdings 2" w:char="F04F"/>
            </w:r>
          </w:p>
        </w:tc>
      </w:tr>
      <w:tr w:rsidR="0046317C" w:rsidRPr="00192837" w14:paraId="5C533DEC" w14:textId="77777777" w:rsidTr="00FA3F5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pct"/>
          </w:tcPr>
          <w:p w14:paraId="1E82AD57" w14:textId="77777777" w:rsidR="0046317C" w:rsidRPr="00192837" w:rsidRDefault="0046317C" w:rsidP="009D1B31">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000000"/>
                <w:sz w:val="18"/>
                <w:szCs w:val="20"/>
              </w:rPr>
            </w:pPr>
            <w:r w:rsidRPr="00192837">
              <w:rPr>
                <w:rFonts w:eastAsia="Gill Sans MT" w:cs="Times New Roman"/>
                <w:color w:val="000000"/>
                <w:sz w:val="18"/>
                <w:szCs w:val="20"/>
              </w:rPr>
              <w:t>Total</w:t>
            </w:r>
          </w:p>
        </w:tc>
        <w:tc>
          <w:tcPr>
            <w:tcW w:w="757" w:type="pct"/>
          </w:tcPr>
          <w:p w14:paraId="1640B3FB" w14:textId="10EC4EB8" w:rsidR="0046317C" w:rsidRPr="00192837" w:rsidRDefault="00FA3F5A"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10000000000" w:firstRow="0" w:lastRow="1" w:firstColumn="0" w:lastColumn="0" w:oddVBand="0" w:evenVBand="0" w:oddHBand="0"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13</w:t>
            </w:r>
          </w:p>
        </w:tc>
        <w:tc>
          <w:tcPr>
            <w:tcW w:w="787" w:type="pct"/>
          </w:tcPr>
          <w:p w14:paraId="4B4561B3" w14:textId="54949B58" w:rsidR="0046317C" w:rsidRPr="00192837" w:rsidRDefault="00FA3F5A"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10000000000" w:firstRow="0" w:lastRow="1" w:firstColumn="0" w:lastColumn="0" w:oddVBand="0" w:evenVBand="0" w:oddHBand="0"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9</w:t>
            </w:r>
          </w:p>
        </w:tc>
        <w:tc>
          <w:tcPr>
            <w:tcW w:w="1048" w:type="pct"/>
          </w:tcPr>
          <w:p w14:paraId="3FC1EEBD" w14:textId="64186924" w:rsidR="0046317C" w:rsidRPr="00192837" w:rsidRDefault="00FA3F5A"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10000000000" w:firstRow="0" w:lastRow="1" w:firstColumn="0" w:lastColumn="0" w:oddVBand="0" w:evenVBand="0" w:oddHBand="0"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7</w:t>
            </w:r>
          </w:p>
        </w:tc>
        <w:tc>
          <w:tcPr>
            <w:tcW w:w="785" w:type="pct"/>
          </w:tcPr>
          <w:p w14:paraId="0DF092EB" w14:textId="0D3098B4" w:rsidR="0046317C" w:rsidRPr="00192837" w:rsidRDefault="00E42192" w:rsidP="009D1B31">
            <w:pPr>
              <w:keepNext/>
              <w:keepLines/>
              <w:tabs>
                <w:tab w:val="clear" w:pos="280"/>
                <w:tab w:val="clear" w:pos="4800"/>
                <w:tab w:val="clear" w:pos="5780"/>
              </w:tabs>
              <w:suppressAutoHyphens w:val="0"/>
              <w:autoSpaceDE/>
              <w:autoSpaceDN/>
              <w:adjustRightInd/>
              <w:spacing w:line="264" w:lineRule="auto"/>
              <w:jc w:val="center"/>
              <w:textAlignment w:val="auto"/>
              <w:cnfStyle w:val="010000000000" w:firstRow="0" w:lastRow="1" w:firstColumn="0" w:lastColumn="0" w:oddVBand="0" w:evenVBand="0" w:oddHBand="0"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1</w:t>
            </w:r>
          </w:p>
        </w:tc>
      </w:tr>
    </w:tbl>
    <w:p w14:paraId="0ABB1139" w14:textId="77777777" w:rsidR="009D1B31" w:rsidRDefault="00DC5B2A" w:rsidP="009D1B31">
      <w:pPr>
        <w:pStyle w:val="Tablenote"/>
        <w:keepLines/>
      </w:pPr>
      <w:r>
        <w:t>Note</w:t>
      </w:r>
      <w:r w:rsidR="009D1B31">
        <w:t>s</w:t>
      </w:r>
      <w:r>
        <w:t>: * Encouraged by a medical association, not the regulator.</w:t>
      </w:r>
      <w:r w:rsidR="00B279E1">
        <w:t xml:space="preserve"> </w:t>
      </w:r>
    </w:p>
    <w:p w14:paraId="4EFE22DF" w14:textId="45906BEF" w:rsidR="00DC5B2A" w:rsidRDefault="00B279E1" w:rsidP="009D1B31">
      <w:pPr>
        <w:pStyle w:val="Tablenote"/>
        <w:keepLines/>
      </w:pPr>
      <w:r>
        <w:t xml:space="preserve">Cells with no mark </w:t>
      </w:r>
      <w:r w:rsidR="008D4D3E">
        <w:t>mean the telemedicine regulation does not explicitly mention this issue.</w:t>
      </w:r>
      <w:r>
        <w:t xml:space="preserve"> </w:t>
      </w:r>
    </w:p>
    <w:p w14:paraId="50FBDE92" w14:textId="5A6C09C2" w:rsidR="0050131B" w:rsidRDefault="0050131B" w:rsidP="009D1B31">
      <w:pPr>
        <w:pStyle w:val="Tablelastnote"/>
        <w:keepNext/>
        <w:keepLines/>
      </w:pPr>
      <w:r>
        <w:t>Source: Europe Economics.</w:t>
      </w:r>
    </w:p>
    <w:p w14:paraId="140642B8" w14:textId="3E3B489D" w:rsidR="00227DA0" w:rsidRDefault="00227DA0" w:rsidP="00227DA0">
      <w:pPr>
        <w:pStyle w:val="BodyEE"/>
      </w:pPr>
      <w:r>
        <w:t>As different ways of communication bec</w:t>
      </w:r>
      <w:r w:rsidR="000F2D2A">
        <w:t>o</w:t>
      </w:r>
      <w:r>
        <w:t xml:space="preserve">me possible (real-time communication at a distance, text-based communication at a distance and not in real-time etc.) it is important for regulators to define what </w:t>
      </w:r>
      <w:r w:rsidR="004143E4">
        <w:t xml:space="preserve">constitutes </w:t>
      </w:r>
      <w:r>
        <w:t>a</w:t>
      </w:r>
      <w:r w:rsidR="009D4E9D">
        <w:t>n ‘established</w:t>
      </w:r>
      <w:r>
        <w:t xml:space="preserve"> patient-doctor relationship</w:t>
      </w:r>
      <w:r w:rsidR="009D4E9D">
        <w:t>’</w:t>
      </w:r>
      <w:r>
        <w:t>. At one end of the spectrum are jurisdictions (</w:t>
      </w:r>
      <w:r w:rsidR="009F2FB3">
        <w:t>such as</w:t>
      </w:r>
      <w:r>
        <w:t xml:space="preserve"> Portugal) which require a face-to-face interaction. At the other end, are those which do not require any form of interactive communication (e.g. allow telemedicine to be based solely on static standardised forms). Between those two extremes are regulators which require or encourage some safeguarding measures, such as real-time communication, or communication with a</w:t>
      </w:r>
      <w:r w:rsidR="00E23D56">
        <w:t>nother</w:t>
      </w:r>
      <w:r>
        <w:t xml:space="preserve"> physician who has a direct face-to-face relationship with the patient.</w:t>
      </w:r>
    </w:p>
    <w:p w14:paraId="4F3A50A7" w14:textId="77777777" w:rsidR="00227DA0" w:rsidRDefault="00227DA0" w:rsidP="00B5403D">
      <w:pPr>
        <w:pStyle w:val="Caption"/>
        <w:keepLines/>
      </w:pPr>
      <w:r>
        <w:lastRenderedPageBreak/>
        <w:t xml:space="preserve">Table </w:t>
      </w:r>
      <w:r w:rsidR="00000000">
        <w:fldChar w:fldCharType="begin"/>
      </w:r>
      <w:r w:rsidR="00000000">
        <w:instrText xml:space="preserve"> STYLEREF 1 \s </w:instrText>
      </w:r>
      <w:r w:rsidR="00000000">
        <w:fldChar w:fldCharType="separate"/>
      </w:r>
      <w:r w:rsidR="00B51130">
        <w:rPr>
          <w:noProof/>
        </w:rPr>
        <w:t>4</w:t>
      </w:r>
      <w:r w:rsidR="00000000">
        <w:rPr>
          <w:noProof/>
        </w:rPr>
        <w:fldChar w:fldCharType="end"/>
      </w:r>
      <w:r>
        <w:t>.</w:t>
      </w:r>
      <w:r w:rsidR="00000000">
        <w:fldChar w:fldCharType="begin"/>
      </w:r>
      <w:r w:rsidR="00000000">
        <w:instrText xml:space="preserve"> SEQ Table \* ARABIC \s 1 </w:instrText>
      </w:r>
      <w:r w:rsidR="00000000">
        <w:fldChar w:fldCharType="separate"/>
      </w:r>
      <w:r w:rsidR="00B51130">
        <w:rPr>
          <w:noProof/>
        </w:rPr>
        <w:t>4</w:t>
      </w:r>
      <w:r w:rsidR="00000000">
        <w:rPr>
          <w:noProof/>
        </w:rPr>
        <w:fldChar w:fldCharType="end"/>
      </w:r>
      <w:r>
        <w:t>: Establishing patient-doctor relationship — overview of approaches</w:t>
      </w:r>
    </w:p>
    <w:tbl>
      <w:tblPr>
        <w:tblStyle w:val="LightGrid-Accent1"/>
        <w:tblW w:w="0" w:type="auto"/>
        <w:shd w:val="clear" w:color="auto" w:fill="E8E8E8" w:themeFill="accent4" w:themeFillTint="33"/>
        <w:tblLook w:val="04A0" w:firstRow="1" w:lastRow="0" w:firstColumn="1" w:lastColumn="0" w:noHBand="0" w:noVBand="1"/>
      </w:tblPr>
      <w:tblGrid>
        <w:gridCol w:w="9618"/>
      </w:tblGrid>
      <w:tr w:rsidR="00227DA0" w14:paraId="2C114A16" w14:textId="77777777" w:rsidTr="00C50A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4" w:type="dxa"/>
            <w:shd w:val="clear" w:color="auto" w:fill="E8E8E8" w:themeFill="accent4" w:themeFillTint="33"/>
          </w:tcPr>
          <w:p w14:paraId="0B34FF45" w14:textId="77777777" w:rsidR="00227DA0" w:rsidRPr="003D7B24" w:rsidRDefault="00227DA0" w:rsidP="00B5403D">
            <w:pPr>
              <w:pStyle w:val="BodyEE"/>
              <w:keepNext/>
              <w:keepLines/>
              <w:spacing w:after="0"/>
              <w:rPr>
                <w:b w:val="0"/>
              </w:rPr>
            </w:pPr>
            <w:r w:rsidRPr="003D7B24">
              <w:rPr>
                <w:b w:val="0"/>
              </w:rPr>
              <w:t xml:space="preserve">In </w:t>
            </w:r>
            <w:r w:rsidRPr="003D7B24">
              <w:rPr>
                <w:rStyle w:val="EmphasisPurpleChar"/>
              </w:rPr>
              <w:t>Portugal</w:t>
            </w:r>
            <w:r w:rsidRPr="003D7B24">
              <w:rPr>
                <w:b w:val="0"/>
              </w:rPr>
              <w:t xml:space="preserve">, with the exception of </w:t>
            </w:r>
            <w:proofErr w:type="spellStart"/>
            <w:r w:rsidRPr="003D7B24">
              <w:rPr>
                <w:b w:val="0"/>
              </w:rPr>
              <w:t>teledermatology</w:t>
            </w:r>
            <w:proofErr w:type="spellEnd"/>
            <w:r w:rsidRPr="003D7B24">
              <w:rPr>
                <w:b w:val="0"/>
              </w:rPr>
              <w:t xml:space="preserve"> (where ev</w:t>
            </w:r>
            <w:r>
              <w:rPr>
                <w:b w:val="0"/>
              </w:rPr>
              <w:t xml:space="preserve">en the first consultation could be conducted remotely, but in real-time), </w:t>
            </w:r>
          </w:p>
          <w:p w14:paraId="0B31C36D" w14:textId="77777777" w:rsidR="00227DA0" w:rsidRPr="003D7B24" w:rsidRDefault="00227DA0" w:rsidP="00B5403D">
            <w:pPr>
              <w:pStyle w:val="LongQuotePurple"/>
              <w:keepNext/>
              <w:keepLines/>
              <w:rPr>
                <w:i/>
                <w:sz w:val="22"/>
              </w:rPr>
            </w:pPr>
            <w:r w:rsidRPr="003D7B24">
              <w:rPr>
                <w:i/>
                <w:sz w:val="22"/>
              </w:rPr>
              <w:t>the first consultation must always be on-site, but subsequent consultations, should be conducted whenever possible in real-time</w:t>
            </w:r>
            <w:r>
              <w:rPr>
                <w:i/>
                <w:sz w:val="22"/>
              </w:rPr>
              <w:t>.</w:t>
            </w:r>
          </w:p>
          <w:p w14:paraId="0F22D968" w14:textId="77777777" w:rsidR="00227DA0" w:rsidRDefault="00227DA0" w:rsidP="00B5403D">
            <w:pPr>
              <w:pStyle w:val="BodyEE"/>
              <w:keepNext/>
              <w:keepLines/>
              <w:rPr>
                <w:b w:val="0"/>
              </w:rPr>
            </w:pPr>
            <w:r w:rsidRPr="004D34F0">
              <w:rPr>
                <w:b w:val="0"/>
              </w:rPr>
              <w:t>Establishing patient-doctor relationship</w:t>
            </w:r>
            <w:r>
              <w:rPr>
                <w:b w:val="0"/>
              </w:rPr>
              <w:t xml:space="preserve"> in absence of a face-to-face interaction is one of the key issues in regulating telemedicine in the </w:t>
            </w:r>
            <w:r w:rsidRPr="003D7B24">
              <w:rPr>
                <w:rStyle w:val="EmphasisPurpleChar"/>
              </w:rPr>
              <w:t>USA</w:t>
            </w:r>
            <w:r>
              <w:rPr>
                <w:b w:val="0"/>
              </w:rPr>
              <w:t>. The general guidance from the FSMB (USA) says:</w:t>
            </w:r>
          </w:p>
          <w:p w14:paraId="46FB3616" w14:textId="77777777" w:rsidR="00227DA0" w:rsidRPr="004D34F0" w:rsidRDefault="00227DA0" w:rsidP="00B5403D">
            <w:pPr>
              <w:pStyle w:val="LongQuotePurple"/>
              <w:keepNext/>
              <w:keepLines/>
              <w:rPr>
                <w:i/>
                <w:sz w:val="22"/>
              </w:rPr>
            </w:pPr>
            <w:r w:rsidRPr="004D34F0">
              <w:rPr>
                <w:i/>
                <w:sz w:val="22"/>
              </w:rPr>
              <w:t>Where an existing physician-patient relationship is not present, a physician must take appropriate steps to establish a physician-patient relationship consistent with the guidelines identified above, and, while each circumstance is unique, such physician-patient relationships may be established using telemedicine technologies provided the standard of care is met.</w:t>
            </w:r>
          </w:p>
          <w:p w14:paraId="2E56B286" w14:textId="77777777" w:rsidR="00227DA0" w:rsidRDefault="00227DA0" w:rsidP="00B5403D">
            <w:pPr>
              <w:pStyle w:val="BodyEE"/>
              <w:keepNext/>
              <w:keepLines/>
              <w:spacing w:after="0"/>
              <w:rPr>
                <w:b w:val="0"/>
              </w:rPr>
            </w:pPr>
            <w:r>
              <w:rPr>
                <w:b w:val="0"/>
              </w:rPr>
              <w:t xml:space="preserve">A specific application of this general rule in </w:t>
            </w:r>
            <w:r w:rsidRPr="004D27FF">
              <w:rPr>
                <w:rStyle w:val="EmphasisPurpleChar"/>
              </w:rPr>
              <w:t>Washington</w:t>
            </w:r>
            <w:r>
              <w:rPr>
                <w:b w:val="0"/>
              </w:rPr>
              <w:t xml:space="preserve"> emphasise that establishing such relationship remotely needs to involve real-time communication:</w:t>
            </w:r>
          </w:p>
          <w:p w14:paraId="4F0B91ED" w14:textId="77777777" w:rsidR="00227DA0" w:rsidRPr="00707D95" w:rsidRDefault="00227DA0" w:rsidP="00B5403D">
            <w:pPr>
              <w:pStyle w:val="LongQuotePurple"/>
              <w:keepNext/>
              <w:keepLines/>
              <w:rPr>
                <w:rFonts w:cs="Times New Roman"/>
                <w:i/>
                <w:color w:val="auto"/>
                <w:sz w:val="22"/>
              </w:rPr>
            </w:pPr>
            <w:r w:rsidRPr="00707D95">
              <w:rPr>
                <w:i/>
                <w:sz w:val="22"/>
              </w:rPr>
              <w:t>If a physician-patient relationship does not include a prior in-person interaction with a patient, the physician may use real-time telemedicine to allow a free exchange of protected health information between the patient and the physician to establish the physician-patient relationship and perform the patient evaluation.</w:t>
            </w:r>
          </w:p>
          <w:p w14:paraId="09EA035F" w14:textId="7048AED4" w:rsidR="00227DA0" w:rsidRPr="004D27FF" w:rsidRDefault="00227DA0" w:rsidP="00B5403D">
            <w:pPr>
              <w:pStyle w:val="BodyEE"/>
              <w:keepNext/>
              <w:keepLines/>
              <w:spacing w:after="0"/>
              <w:rPr>
                <w:b w:val="0"/>
              </w:rPr>
            </w:pPr>
            <w:r w:rsidRPr="004D27FF">
              <w:rPr>
                <w:b w:val="0"/>
              </w:rPr>
              <w:t xml:space="preserve">In </w:t>
            </w:r>
            <w:r w:rsidRPr="004D27FF">
              <w:rPr>
                <w:rStyle w:val="EmphasisPurpleChar"/>
              </w:rPr>
              <w:t>British Columbia</w:t>
            </w:r>
            <w:r w:rsidRPr="004D27FF">
              <w:rPr>
                <w:b w:val="0"/>
              </w:rPr>
              <w:t xml:space="preserve"> (Canada), while pre-established relationship is not required, doctors </w:t>
            </w:r>
            <w:r>
              <w:rPr>
                <w:b w:val="0"/>
              </w:rPr>
              <w:t>practi</w:t>
            </w:r>
            <w:r w:rsidR="00175A7A">
              <w:rPr>
                <w:b w:val="0"/>
              </w:rPr>
              <w:t>s</w:t>
            </w:r>
            <w:r>
              <w:rPr>
                <w:b w:val="0"/>
              </w:rPr>
              <w:t>ing telemedicine are expected to:</w:t>
            </w:r>
          </w:p>
          <w:p w14:paraId="719017EB" w14:textId="77777777" w:rsidR="00227DA0" w:rsidRDefault="00227DA0" w:rsidP="00B5403D">
            <w:pPr>
              <w:pStyle w:val="LongQuotePurple"/>
              <w:keepNext/>
              <w:keepLines/>
              <w:spacing w:after="0"/>
              <w:rPr>
                <w:i/>
                <w:sz w:val="22"/>
              </w:rPr>
            </w:pPr>
            <w:r w:rsidRPr="004D27FF">
              <w:rPr>
                <w:i/>
                <w:sz w:val="22"/>
              </w:rPr>
              <w:t>communicate with referring and other treating physicians</w:t>
            </w:r>
            <w:r>
              <w:rPr>
                <w:i/>
                <w:sz w:val="22"/>
              </w:rPr>
              <w:t xml:space="preserve"> </w:t>
            </w:r>
            <w:r w:rsidRPr="004D27FF">
              <w:rPr>
                <w:i/>
                <w:sz w:val="22"/>
              </w:rPr>
              <w:t>and provide follow-up and after-hour</w:t>
            </w:r>
            <w:r>
              <w:rPr>
                <w:i/>
                <w:sz w:val="22"/>
              </w:rPr>
              <w:t>s care as medically appropriate,</w:t>
            </w:r>
          </w:p>
          <w:p w14:paraId="3FF28C5B" w14:textId="77777777" w:rsidR="00227DA0" w:rsidRDefault="00227DA0" w:rsidP="00B5403D">
            <w:pPr>
              <w:pStyle w:val="BodyEE"/>
              <w:keepNext/>
              <w:keepLines/>
              <w:rPr>
                <w:b w:val="0"/>
              </w:rPr>
            </w:pPr>
            <w:r w:rsidRPr="004D27FF">
              <w:rPr>
                <w:b w:val="0"/>
              </w:rPr>
              <w:t xml:space="preserve">which, at least to some extent, mitigates </w:t>
            </w:r>
            <w:r>
              <w:rPr>
                <w:b w:val="0"/>
              </w:rPr>
              <w:t>the lack of direct face-to-face interaction between the patient and the doctor.</w:t>
            </w:r>
          </w:p>
          <w:p w14:paraId="56FF4DCF" w14:textId="1BC8C380" w:rsidR="00227DA0" w:rsidRDefault="00227DA0" w:rsidP="00B5403D">
            <w:pPr>
              <w:pStyle w:val="BodyEE"/>
              <w:keepNext/>
              <w:keepLines/>
              <w:rPr>
                <w:b w:val="0"/>
              </w:rPr>
            </w:pPr>
            <w:r>
              <w:rPr>
                <w:b w:val="0"/>
              </w:rPr>
              <w:t xml:space="preserve">In </w:t>
            </w:r>
            <w:r w:rsidRPr="004D27FF">
              <w:rPr>
                <w:rStyle w:val="EmphasisPurpleChar"/>
              </w:rPr>
              <w:t>Newfoundland and Labrador</w:t>
            </w:r>
            <w:r>
              <w:rPr>
                <w:b w:val="0"/>
              </w:rPr>
              <w:t xml:space="preserve"> and </w:t>
            </w:r>
            <w:r w:rsidRPr="004D27FF">
              <w:rPr>
                <w:rStyle w:val="EmphasisPurpleChar"/>
              </w:rPr>
              <w:t>British Columbia</w:t>
            </w:r>
            <w:r>
              <w:rPr>
                <w:b w:val="0"/>
              </w:rPr>
              <w:t xml:space="preserve"> (Canada) a stricter approach to establishing patient-doctor relationship applies in t</w:t>
            </w:r>
            <w:r w:rsidR="00B5403D">
              <w:rPr>
                <w:b w:val="0"/>
              </w:rPr>
              <w:t>he context of prescribing regulated medicines.</w:t>
            </w:r>
          </w:p>
          <w:p w14:paraId="1B58D45F" w14:textId="50AF1A00" w:rsidR="00227DA0" w:rsidRPr="00D82C48" w:rsidRDefault="00227DA0" w:rsidP="00B5403D">
            <w:pPr>
              <w:pStyle w:val="BodyEE"/>
              <w:keepNext/>
              <w:keepLines/>
              <w:spacing w:after="0"/>
              <w:rPr>
                <w:b w:val="0"/>
              </w:rPr>
            </w:pPr>
            <w:r w:rsidRPr="00D82C48">
              <w:rPr>
                <w:b w:val="0"/>
              </w:rPr>
              <w:t>The Royal Australasian College of Physicians — wh</w:t>
            </w:r>
            <w:r w:rsidR="00B5403D">
              <w:rPr>
                <w:b w:val="0"/>
              </w:rPr>
              <w:t xml:space="preserve">ich is not a regulator — states </w:t>
            </w:r>
            <w:r w:rsidRPr="00D82C48">
              <w:rPr>
                <w:b w:val="0"/>
              </w:rPr>
              <w:t>that:</w:t>
            </w:r>
          </w:p>
          <w:p w14:paraId="39D7EFA4" w14:textId="77777777" w:rsidR="00227DA0" w:rsidRPr="00D82C48" w:rsidRDefault="00227DA0" w:rsidP="00B5403D">
            <w:pPr>
              <w:pStyle w:val="LongQuotePurple"/>
              <w:keepNext/>
              <w:keepLines/>
              <w:rPr>
                <w:i/>
                <w:sz w:val="22"/>
              </w:rPr>
            </w:pPr>
            <w:r>
              <w:rPr>
                <w:i/>
                <w:sz w:val="22"/>
              </w:rPr>
              <w:t>e</w:t>
            </w:r>
            <w:r w:rsidRPr="004D27FF">
              <w:rPr>
                <w:i/>
                <w:sz w:val="22"/>
              </w:rPr>
              <w:t>very effort should be made to facilitate the current healthcare provider’s direct involvement</w:t>
            </w:r>
            <w:r>
              <w:rPr>
                <w:i/>
                <w:sz w:val="22"/>
              </w:rPr>
              <w:t>.</w:t>
            </w:r>
          </w:p>
        </w:tc>
      </w:tr>
    </w:tbl>
    <w:p w14:paraId="2E53E9DC" w14:textId="77777777" w:rsidR="00227DA0" w:rsidRPr="00D13AF1" w:rsidRDefault="00227DA0" w:rsidP="00B5403D">
      <w:pPr>
        <w:pStyle w:val="Tablelastnote"/>
        <w:keepNext/>
        <w:keepLines/>
      </w:pPr>
      <w:r>
        <w:t>Source: Europe Economics.</w:t>
      </w:r>
    </w:p>
    <w:p w14:paraId="1DE54C7E" w14:textId="77777777" w:rsidR="005C2B38" w:rsidRPr="00D13AF1" w:rsidRDefault="005C2B38" w:rsidP="005C2B38">
      <w:pPr>
        <w:pStyle w:val="Heading3"/>
      </w:pPr>
      <w:r w:rsidRPr="00D13AF1">
        <w:t>Procedural requirements</w:t>
      </w:r>
    </w:p>
    <w:p w14:paraId="00B44230" w14:textId="77777777" w:rsidR="005C2B38" w:rsidRPr="00D13AF1" w:rsidRDefault="005C2B38" w:rsidP="005C2B38">
      <w:pPr>
        <w:pStyle w:val="BodyEE"/>
      </w:pPr>
      <w:r w:rsidRPr="00D13AF1">
        <w:t>Procedural requirements comprise standards that are applicable to the provision of telemedicine services. These largely relate to the electronic/remote exchange of information, which is a specific feature of telemedicine. Key issues we identified are:</w:t>
      </w:r>
    </w:p>
    <w:p w14:paraId="1E5BD8B2" w14:textId="20E66F7A" w:rsidR="005C2B38" w:rsidRPr="00D13AF1" w:rsidRDefault="005C2B38" w:rsidP="005C2B38">
      <w:pPr>
        <w:pStyle w:val="Bulletlevel1"/>
      </w:pPr>
      <w:r w:rsidRPr="00D13AF1">
        <w:rPr>
          <w:rStyle w:val="EmphasisPurpleChar"/>
        </w:rPr>
        <w:t>Ensuring confidentiality, safety and/or security of the exchanged information</w:t>
      </w:r>
      <w:r w:rsidRPr="00D13AF1">
        <w:t>. This requirement, while relevant for all medical services, could be viewed as particularly important for telemedicine where sensitive information is being exchanged over distances and via third-party software. It was considered important in 1</w:t>
      </w:r>
      <w:r w:rsidR="00E36B0E">
        <w:t>3</w:t>
      </w:r>
      <w:r w:rsidRPr="00D13AF1">
        <w:t xml:space="preserve"> jurisdictions.</w:t>
      </w:r>
    </w:p>
    <w:p w14:paraId="4494F36A" w14:textId="6885447E" w:rsidR="005C2B38" w:rsidRPr="00D13AF1" w:rsidRDefault="005C2B38" w:rsidP="00E36B0E">
      <w:pPr>
        <w:pStyle w:val="Bulletlevel1"/>
      </w:pPr>
      <w:r w:rsidRPr="00D13AF1">
        <w:rPr>
          <w:rStyle w:val="EmphasisPurpleChar"/>
        </w:rPr>
        <w:t>Obtaining patients</w:t>
      </w:r>
      <w:r w:rsidR="00175A7A">
        <w:rPr>
          <w:rStyle w:val="EmphasisPurpleChar"/>
        </w:rPr>
        <w:t>’</w:t>
      </w:r>
      <w:r w:rsidRPr="00D13AF1">
        <w:rPr>
          <w:rStyle w:val="EmphasisPurpleChar"/>
        </w:rPr>
        <w:t xml:space="preserve"> consent.</w:t>
      </w:r>
      <w:r w:rsidRPr="00D13AF1">
        <w:t xml:space="preserve"> This requirement was covered by </w:t>
      </w:r>
      <w:r w:rsidR="00E36B0E">
        <w:t>11</w:t>
      </w:r>
      <w:r w:rsidR="00E36B0E" w:rsidRPr="00D13AF1">
        <w:t xml:space="preserve"> </w:t>
      </w:r>
      <w:r w:rsidRPr="00D13AF1">
        <w:t>jurisdictions</w:t>
      </w:r>
      <w:r w:rsidR="00922BF0">
        <w:t xml:space="preserve"> (including Denmark, where telemedicine is limited to doctor-to-doctor relationships)</w:t>
      </w:r>
      <w:r w:rsidRPr="00D13AF1">
        <w:t xml:space="preserve">. Of those </w:t>
      </w:r>
      <w:r w:rsidR="00E36B0E">
        <w:t>11</w:t>
      </w:r>
      <w:r w:rsidR="00E36B0E" w:rsidRPr="00D13AF1">
        <w:t xml:space="preserve"> </w:t>
      </w:r>
      <w:r w:rsidRPr="00D13AF1">
        <w:t xml:space="preserve">jurisdictions, three (Australia, Portugal, British Columbia) pair this requirement with the requirement to provide the patient with an overview of what the telemedicine consultation would look like and the specificities of such consultations. </w:t>
      </w:r>
      <w:r w:rsidRPr="00D13AF1">
        <w:lastRenderedPageBreak/>
        <w:t xml:space="preserve">New Zealand also requires the procedural information to be provided to the patient without the explicit requirement to obtain patient’s consent. </w:t>
      </w:r>
      <w:r w:rsidR="00E36B0E">
        <w:t xml:space="preserve">In </w:t>
      </w:r>
      <w:r w:rsidR="00E36B0E" w:rsidRPr="00E36B0E">
        <w:t>Saskatchewan</w:t>
      </w:r>
      <w:r w:rsidR="00E36B0E">
        <w:t xml:space="preserve">, only procedural information is </w:t>
      </w:r>
      <w:r w:rsidR="00335D9D">
        <w:t xml:space="preserve">explicitly </w:t>
      </w:r>
      <w:r w:rsidR="00E36B0E">
        <w:t>required.</w:t>
      </w:r>
    </w:p>
    <w:p w14:paraId="214B0B2E" w14:textId="5BA19573" w:rsidR="005C2B38" w:rsidRPr="00D13AF1" w:rsidRDefault="005C2B38" w:rsidP="005C2B38">
      <w:pPr>
        <w:pStyle w:val="Bulletlevel1"/>
      </w:pPr>
      <w:r w:rsidRPr="00D13AF1">
        <w:rPr>
          <w:rStyle w:val="EmphasisPurpleChar"/>
        </w:rPr>
        <w:t>Confirming patients</w:t>
      </w:r>
      <w:r w:rsidR="00175A7A">
        <w:rPr>
          <w:rStyle w:val="EmphasisPurpleChar"/>
        </w:rPr>
        <w:t>’</w:t>
      </w:r>
      <w:r w:rsidRPr="00D13AF1">
        <w:rPr>
          <w:rStyle w:val="EmphasisPurpleChar"/>
        </w:rPr>
        <w:t xml:space="preserve"> identity</w:t>
      </w:r>
      <w:r w:rsidRPr="00D13AF1">
        <w:t>. The fact that the patient-doctor interaction is remote (and bearing in mind that telephone conversations between a doctor and a patient would generally be considered as part of telemedicine),</w:t>
      </w:r>
      <w:r w:rsidR="000C1D72" w:rsidRPr="00D13AF1">
        <w:t xml:space="preserve"> </w:t>
      </w:r>
      <w:r w:rsidRPr="00D13AF1">
        <w:t xml:space="preserve">telemedicine might also require additional procedures to confirm the patient’s identity. Such requirements are listed in </w:t>
      </w:r>
      <w:r w:rsidR="00B94CD3">
        <w:t>five</w:t>
      </w:r>
      <w:r w:rsidR="00B94CD3" w:rsidRPr="00D13AF1">
        <w:t xml:space="preserve"> </w:t>
      </w:r>
      <w:r w:rsidRPr="00D13AF1">
        <w:t>jurisdictions (Australia, France</w:t>
      </w:r>
      <w:r w:rsidR="00B94CD3">
        <w:t>, Singapore,</w:t>
      </w:r>
      <w:r w:rsidRPr="00D13AF1">
        <w:t xml:space="preserve"> </w:t>
      </w:r>
      <w:r w:rsidR="00B94CD3">
        <w:t>Maine, and North Carolina</w:t>
      </w:r>
      <w:r w:rsidRPr="00D13AF1">
        <w:t xml:space="preserve">). </w:t>
      </w:r>
    </w:p>
    <w:p w14:paraId="40142FF2" w14:textId="33A0F048" w:rsidR="00550AE3" w:rsidRDefault="005C2B38" w:rsidP="005C2B38">
      <w:pPr>
        <w:pStyle w:val="Bulletlevel1"/>
      </w:pPr>
      <w:r w:rsidRPr="00D13AF1">
        <w:rPr>
          <w:rStyle w:val="EmphasisPurpleChar"/>
        </w:rPr>
        <w:t>Maintaining medical records.</w:t>
      </w:r>
      <w:r w:rsidRPr="00D13AF1">
        <w:t xml:space="preserve"> This requirement would be generally applicable to any medical service, but might be particularly important for telemedicine, especially if patients obtain access to telemedicine independently of their primary healthcare provider (i.e. </w:t>
      </w:r>
      <w:r w:rsidR="006E63EA" w:rsidRPr="00D13AF1">
        <w:t xml:space="preserve">they </w:t>
      </w:r>
      <w:r w:rsidRPr="00D13AF1">
        <w:t xml:space="preserve">need to carry their records with them rather than these being stored centrally and accessible by all healthcare providers). The requirement for doctors providing telemedicine to maintain medical records could, at least to some extent, mitigate the risks associated with fragmented care (i.e. various doctors treating the same patient without </w:t>
      </w:r>
      <w:r w:rsidR="006E63EA" w:rsidRPr="00D13AF1">
        <w:t xml:space="preserve">a </w:t>
      </w:r>
      <w:r w:rsidRPr="00D13AF1">
        <w:t xml:space="preserve">comprehensive understanding of </w:t>
      </w:r>
      <w:r w:rsidR="006E63EA" w:rsidRPr="00D13AF1">
        <w:t xml:space="preserve">the </w:t>
      </w:r>
      <w:r w:rsidRPr="00D13AF1">
        <w:t xml:space="preserve">patient’s medical history and current treatments) — those records could in principle be retrieved and shared with the primary healthcare provider if necessary. </w:t>
      </w:r>
      <w:r w:rsidR="00FC2FF9">
        <w:t>Eight</w:t>
      </w:r>
      <w:r w:rsidR="00B67BFC" w:rsidRPr="00D13AF1">
        <w:t xml:space="preserve"> </w:t>
      </w:r>
      <w:r w:rsidRPr="00D13AF1">
        <w:t xml:space="preserve">jurisdictions included maintaining medical records </w:t>
      </w:r>
      <w:r w:rsidR="00A35B8C">
        <w:t xml:space="preserve">explicitly </w:t>
      </w:r>
      <w:r w:rsidRPr="00D13AF1">
        <w:t xml:space="preserve">as part of their </w:t>
      </w:r>
      <w:r w:rsidR="00A35B8C">
        <w:t xml:space="preserve">telemedicine </w:t>
      </w:r>
      <w:r w:rsidRPr="00D13AF1">
        <w:t xml:space="preserve">standards. </w:t>
      </w:r>
      <w:r w:rsidR="002C6D64">
        <w:t xml:space="preserve">Five </w:t>
      </w:r>
      <w:r w:rsidRPr="00D13AF1">
        <w:t xml:space="preserve">of those jurisdictions are in the </w:t>
      </w:r>
      <w:r w:rsidR="00996726">
        <w:t>USA</w:t>
      </w:r>
      <w:r w:rsidRPr="00D13AF1">
        <w:t>, where private, employer-based healthcare system possibly increases the likelihood of patients accessing telemedicine independent of other healthcare services they receive.</w:t>
      </w:r>
      <w:r w:rsidR="00A35B8C">
        <w:t xml:space="preserve"> That said, other jurisdictions have likely assumed that medical record should be maintained for any form of medical service, and thus </w:t>
      </w:r>
      <w:r w:rsidR="00DB2B6F">
        <w:t>have not</w:t>
      </w:r>
      <w:r w:rsidR="00A35B8C">
        <w:t xml:space="preserve"> mentioned </w:t>
      </w:r>
      <w:r w:rsidR="00DB2B6F">
        <w:t xml:space="preserve">this explicitly </w:t>
      </w:r>
      <w:r w:rsidR="00A35B8C">
        <w:t>in the context of telemedicine.</w:t>
      </w:r>
      <w:r w:rsidR="00DB2B6F">
        <w:rPr>
          <w:rStyle w:val="FootnoteReference"/>
        </w:rPr>
        <w:footnoteReference w:id="45"/>
      </w:r>
    </w:p>
    <w:p w14:paraId="0CCFD9D1" w14:textId="10ECDFE4" w:rsidR="00550AE3" w:rsidRPr="00D13AF1" w:rsidRDefault="00550AE3" w:rsidP="00550AE3">
      <w:pPr>
        <w:pStyle w:val="Bulletlevel1"/>
      </w:pPr>
      <w:r w:rsidRPr="000A5041">
        <w:rPr>
          <w:color w:val="683493" w:themeColor="accent1"/>
        </w:rPr>
        <w:t>Technical and equipment requirement</w:t>
      </w:r>
      <w:r w:rsidR="00CC3B34" w:rsidRPr="000A5041">
        <w:rPr>
          <w:color w:val="683493" w:themeColor="accent1"/>
        </w:rPr>
        <w:t xml:space="preserve">s </w:t>
      </w:r>
      <w:r>
        <w:t>— overall, 7 jurisdictions explicitly mentioned this aspect of practicing telemedicine. In a</w:t>
      </w:r>
      <w:r w:rsidRPr="009B218E">
        <w:t xml:space="preserve">ll of these </w:t>
      </w:r>
      <w:r>
        <w:t xml:space="preserve">cases, the </w:t>
      </w:r>
      <w:r w:rsidRPr="009B218E">
        <w:t>requirements relate mostly to privacy issues</w:t>
      </w:r>
      <w:r>
        <w:t>, i.e. ensuring that the technology used does not compromise confidentiality and security of the exchanged information</w:t>
      </w:r>
      <w:r w:rsidRPr="009B218E">
        <w:t xml:space="preserve">. A few regulators </w:t>
      </w:r>
      <w:r>
        <w:t xml:space="preserve">also mention confirming that the </w:t>
      </w:r>
      <w:r w:rsidRPr="009B218E">
        <w:t xml:space="preserve">equipment </w:t>
      </w:r>
      <w:r>
        <w:t xml:space="preserve">is </w:t>
      </w:r>
      <w:r w:rsidRPr="009B218E">
        <w:t xml:space="preserve">“fit for purpose”, </w:t>
      </w:r>
      <w:r>
        <w:t xml:space="preserve">which, in turn, could be viewed as a technical counterpart to assessing that telemedicine is an appropriate way of delivering healthcare in a particular case. </w:t>
      </w:r>
      <w:r w:rsidR="004B1700">
        <w:t xml:space="preserve">For example, </w:t>
      </w:r>
      <w:r w:rsidR="00E516C9">
        <w:t xml:space="preserve">in Washington doctors are required to ensure </w:t>
      </w:r>
      <w:r w:rsidR="004B1700" w:rsidRPr="00D13AF1">
        <w:t>that the quality of pictures is sufficient to develop a diagnosis</w:t>
      </w:r>
      <w:r w:rsidR="004B1700">
        <w:t xml:space="preserve">. </w:t>
      </w:r>
      <w:r w:rsidRPr="009B218E">
        <w:t>Some regulators advise testing the equipment prior to using it</w:t>
      </w:r>
      <w:r w:rsidR="00F4567D">
        <w:t xml:space="preserve"> (e.g. Australia)</w:t>
      </w:r>
      <w:r w:rsidRPr="009B218E">
        <w:t>.</w:t>
      </w:r>
      <w:r w:rsidR="008734D1">
        <w:t xml:space="preserve"> </w:t>
      </w:r>
    </w:p>
    <w:p w14:paraId="57D41999" w14:textId="103467D5" w:rsidR="00360C2B" w:rsidRPr="00192837" w:rsidRDefault="00360C2B" w:rsidP="00B5403D">
      <w:pPr>
        <w:keepNext/>
        <w:keepLines/>
        <w:spacing w:after="200" w:line="240" w:lineRule="auto"/>
        <w:rPr>
          <w:b/>
          <w:bCs/>
          <w:sz w:val="20"/>
        </w:rPr>
      </w:pPr>
      <w:r w:rsidRPr="00360C2B">
        <w:rPr>
          <w:b/>
          <w:bCs/>
          <w:sz w:val="20"/>
        </w:rPr>
        <w:lastRenderedPageBreak/>
        <w:t xml:space="preserve"> </w:t>
      </w:r>
      <w:r w:rsidRPr="00192837">
        <w:rPr>
          <w:b/>
          <w:bCs/>
          <w:sz w:val="20"/>
        </w:rPr>
        <w:t xml:space="preserve">Table </w:t>
      </w:r>
      <w:r w:rsidR="00EF67D2">
        <w:rPr>
          <w:b/>
          <w:bCs/>
          <w:sz w:val="20"/>
        </w:rPr>
        <w:fldChar w:fldCharType="begin"/>
      </w:r>
      <w:r w:rsidR="00EF67D2">
        <w:rPr>
          <w:b/>
          <w:bCs/>
          <w:sz w:val="20"/>
        </w:rPr>
        <w:instrText xml:space="preserve"> STYLEREF 1 \s </w:instrText>
      </w:r>
      <w:r w:rsidR="00EF67D2">
        <w:rPr>
          <w:b/>
          <w:bCs/>
          <w:sz w:val="20"/>
        </w:rPr>
        <w:fldChar w:fldCharType="separate"/>
      </w:r>
      <w:r w:rsidR="00B51130">
        <w:rPr>
          <w:b/>
          <w:bCs/>
          <w:noProof/>
          <w:sz w:val="20"/>
        </w:rPr>
        <w:t>4</w:t>
      </w:r>
      <w:r w:rsidR="00EF67D2">
        <w:rPr>
          <w:b/>
          <w:bCs/>
          <w:sz w:val="20"/>
        </w:rPr>
        <w:fldChar w:fldCharType="end"/>
      </w:r>
      <w:r w:rsidR="00EF67D2">
        <w:rPr>
          <w:b/>
          <w:bCs/>
          <w:sz w:val="20"/>
        </w:rPr>
        <w:t>.</w:t>
      </w:r>
      <w:r w:rsidR="00EF67D2">
        <w:rPr>
          <w:b/>
          <w:bCs/>
          <w:sz w:val="20"/>
        </w:rPr>
        <w:fldChar w:fldCharType="begin"/>
      </w:r>
      <w:r w:rsidR="00EF67D2">
        <w:rPr>
          <w:b/>
          <w:bCs/>
          <w:sz w:val="20"/>
        </w:rPr>
        <w:instrText xml:space="preserve"> SEQ Table \* ARABIC \s 1 </w:instrText>
      </w:r>
      <w:r w:rsidR="00EF67D2">
        <w:rPr>
          <w:b/>
          <w:bCs/>
          <w:sz w:val="20"/>
        </w:rPr>
        <w:fldChar w:fldCharType="separate"/>
      </w:r>
      <w:r w:rsidR="00B51130">
        <w:rPr>
          <w:b/>
          <w:bCs/>
          <w:noProof/>
          <w:sz w:val="20"/>
        </w:rPr>
        <w:t>5</w:t>
      </w:r>
      <w:r w:rsidR="00EF67D2">
        <w:rPr>
          <w:b/>
          <w:bCs/>
          <w:sz w:val="20"/>
        </w:rPr>
        <w:fldChar w:fldCharType="end"/>
      </w:r>
      <w:r w:rsidRPr="00192837">
        <w:rPr>
          <w:b/>
          <w:bCs/>
          <w:sz w:val="20"/>
        </w:rPr>
        <w:t xml:space="preserve">: Telemedicine </w:t>
      </w:r>
      <w:r w:rsidR="0050131B">
        <w:rPr>
          <w:b/>
          <w:bCs/>
          <w:sz w:val="20"/>
        </w:rPr>
        <w:t xml:space="preserve">procedural </w:t>
      </w:r>
      <w:r w:rsidRPr="00192837">
        <w:rPr>
          <w:b/>
          <w:bCs/>
          <w:sz w:val="20"/>
        </w:rPr>
        <w:t>requirements — summary</w:t>
      </w:r>
    </w:p>
    <w:tbl>
      <w:tblPr>
        <w:tblStyle w:val="LightShading-Accent113"/>
        <w:tblW w:w="5000" w:type="pct"/>
        <w:tblLook w:val="04E0" w:firstRow="1" w:lastRow="1" w:firstColumn="1" w:lastColumn="0" w:noHBand="0" w:noVBand="1"/>
      </w:tblPr>
      <w:tblGrid>
        <w:gridCol w:w="1969"/>
        <w:gridCol w:w="1568"/>
        <w:gridCol w:w="1087"/>
        <w:gridCol w:w="1263"/>
        <w:gridCol w:w="1087"/>
        <w:gridCol w:w="1247"/>
        <w:gridCol w:w="1417"/>
      </w:tblGrid>
      <w:tr w:rsidR="00CC3B34" w:rsidRPr="00192837" w14:paraId="724AD74F" w14:textId="77777777" w:rsidTr="008D4D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21" w:type="pct"/>
          </w:tcPr>
          <w:p w14:paraId="7EE6E08A" w14:textId="3A9017D4"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p>
        </w:tc>
        <w:tc>
          <w:tcPr>
            <w:tcW w:w="813" w:type="pct"/>
          </w:tcPr>
          <w:p w14:paraId="7A4105CA" w14:textId="542ED1E1"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center"/>
              <w:textAlignment w:val="auto"/>
              <w:cnfStyle w:val="100000000000" w:firstRow="1" w:lastRow="0" w:firstColumn="0" w:lastColumn="0" w:oddVBand="0" w:evenVBand="0" w:oddHBand="0"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Confidentiality, safety, security</w:t>
            </w:r>
          </w:p>
        </w:tc>
        <w:tc>
          <w:tcPr>
            <w:tcW w:w="564" w:type="pct"/>
          </w:tcPr>
          <w:p w14:paraId="2B8819BC" w14:textId="179ADCC5"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center"/>
              <w:textAlignment w:val="auto"/>
              <w:cnfStyle w:val="100000000000" w:firstRow="1" w:lastRow="0" w:firstColumn="0" w:lastColumn="0" w:oddVBand="0" w:evenVBand="0" w:oddHBand="0"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Patient’s consent</w:t>
            </w:r>
          </w:p>
        </w:tc>
        <w:tc>
          <w:tcPr>
            <w:tcW w:w="655" w:type="pct"/>
          </w:tcPr>
          <w:p w14:paraId="1203656C" w14:textId="77E9FC92" w:rsidR="00CC3B34" w:rsidRDefault="00CC3B34" w:rsidP="00B5403D">
            <w:pPr>
              <w:keepNext/>
              <w:keepLines/>
              <w:tabs>
                <w:tab w:val="clear" w:pos="280"/>
                <w:tab w:val="clear" w:pos="4800"/>
                <w:tab w:val="clear" w:pos="5780"/>
              </w:tabs>
              <w:suppressAutoHyphens w:val="0"/>
              <w:autoSpaceDE/>
              <w:autoSpaceDN/>
              <w:adjustRightInd/>
              <w:spacing w:line="264" w:lineRule="auto"/>
              <w:jc w:val="center"/>
              <w:textAlignment w:val="auto"/>
              <w:cnfStyle w:val="100000000000" w:firstRow="1" w:lastRow="0" w:firstColumn="0" w:lastColumn="0" w:oddVBand="0" w:evenVBand="0" w:oddHBand="0"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Procedural information</w:t>
            </w:r>
          </w:p>
        </w:tc>
        <w:tc>
          <w:tcPr>
            <w:tcW w:w="564" w:type="pct"/>
          </w:tcPr>
          <w:p w14:paraId="1F5004CF" w14:textId="5928EC70"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center"/>
              <w:textAlignment w:val="auto"/>
              <w:cnfStyle w:val="100000000000" w:firstRow="1" w:lastRow="0" w:firstColumn="0" w:lastColumn="0" w:oddVBand="0" w:evenVBand="0" w:oddHBand="0"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Patient’s identity</w:t>
            </w:r>
          </w:p>
        </w:tc>
        <w:tc>
          <w:tcPr>
            <w:tcW w:w="647" w:type="pct"/>
          </w:tcPr>
          <w:p w14:paraId="5BD545ED" w14:textId="07FC2C41"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center"/>
              <w:textAlignment w:val="auto"/>
              <w:cnfStyle w:val="100000000000" w:firstRow="1" w:lastRow="0" w:firstColumn="0" w:lastColumn="0" w:oddVBand="0" w:evenVBand="0" w:oddHBand="0"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Maintaining medical records</w:t>
            </w:r>
          </w:p>
        </w:tc>
        <w:tc>
          <w:tcPr>
            <w:tcW w:w="735" w:type="pct"/>
          </w:tcPr>
          <w:p w14:paraId="1FE86EF0" w14:textId="6331E067"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center"/>
              <w:textAlignment w:val="auto"/>
              <w:cnfStyle w:val="100000000000" w:firstRow="1" w:lastRow="0" w:firstColumn="0" w:lastColumn="0" w:oddVBand="0" w:evenVBand="0" w:oddHBand="0"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Technical and equipment requirements</w:t>
            </w:r>
          </w:p>
        </w:tc>
      </w:tr>
      <w:tr w:rsidR="00CC3B34" w:rsidRPr="00192837" w14:paraId="0612EB7B" w14:textId="77777777" w:rsidTr="008D4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3C32E64A" w14:textId="77777777"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Australia</w:t>
            </w:r>
          </w:p>
        </w:tc>
        <w:tc>
          <w:tcPr>
            <w:tcW w:w="813" w:type="pct"/>
          </w:tcPr>
          <w:p w14:paraId="07B970A4" w14:textId="4B2AD5C6" w:rsidR="00CC3B34" w:rsidRPr="00192837" w:rsidRDefault="009A04B2"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564" w:type="pct"/>
          </w:tcPr>
          <w:p w14:paraId="7022E931" w14:textId="41ACBD52" w:rsidR="00CC3B34" w:rsidRPr="00192837" w:rsidRDefault="00E42192"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655" w:type="pct"/>
          </w:tcPr>
          <w:p w14:paraId="424A7DD0" w14:textId="0F9C92C8" w:rsidR="00CC3B34" w:rsidRPr="00192837" w:rsidRDefault="009A04B2"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564" w:type="pct"/>
          </w:tcPr>
          <w:p w14:paraId="0658DDB0" w14:textId="2800102B" w:rsidR="00CC3B34" w:rsidRPr="00192837" w:rsidRDefault="009A04B2"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647" w:type="pct"/>
          </w:tcPr>
          <w:p w14:paraId="1A3D572C" w14:textId="4822CA19" w:rsidR="00CC3B34" w:rsidRPr="00192837" w:rsidRDefault="009A04B2"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735" w:type="pct"/>
          </w:tcPr>
          <w:p w14:paraId="3E45E93C" w14:textId="0DA8BE23" w:rsidR="00CC3B34" w:rsidRPr="00192837" w:rsidRDefault="009A04B2"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r>
      <w:tr w:rsidR="00CC3B34" w:rsidRPr="00192837" w14:paraId="1B8CC776" w14:textId="77777777" w:rsidTr="008D4D3E">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1EE08369" w14:textId="77777777"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Denmark</w:t>
            </w:r>
          </w:p>
        </w:tc>
        <w:tc>
          <w:tcPr>
            <w:tcW w:w="813" w:type="pct"/>
          </w:tcPr>
          <w:p w14:paraId="261E0FB0" w14:textId="4557FC7F" w:rsidR="00CC3B34" w:rsidRPr="00192837" w:rsidRDefault="009A04B2"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564" w:type="pct"/>
          </w:tcPr>
          <w:p w14:paraId="6A4CA3C8" w14:textId="5C881775" w:rsidR="00CC3B34" w:rsidRPr="00192837" w:rsidRDefault="00E42192"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655" w:type="pct"/>
          </w:tcPr>
          <w:p w14:paraId="4E4A31DC" w14:textId="77777777"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564" w:type="pct"/>
          </w:tcPr>
          <w:p w14:paraId="19342F7D" w14:textId="3EC95EE4"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647" w:type="pct"/>
          </w:tcPr>
          <w:p w14:paraId="020E7D3F" w14:textId="79AFF513" w:rsidR="00CC3B34" w:rsidRPr="00192837" w:rsidRDefault="009A04B2"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735" w:type="pct"/>
          </w:tcPr>
          <w:p w14:paraId="00E77B29" w14:textId="77777777"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r>
      <w:tr w:rsidR="00CC3B34" w:rsidRPr="00192837" w14:paraId="18907630" w14:textId="77777777" w:rsidTr="008D4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02CCC3FA" w14:textId="77777777"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France</w:t>
            </w:r>
          </w:p>
        </w:tc>
        <w:tc>
          <w:tcPr>
            <w:tcW w:w="813" w:type="pct"/>
          </w:tcPr>
          <w:p w14:paraId="0486F397" w14:textId="5B7E7FBB" w:rsidR="00CC3B34" w:rsidRPr="00192837" w:rsidRDefault="009A04B2"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564" w:type="pct"/>
          </w:tcPr>
          <w:p w14:paraId="483B89F3" w14:textId="1254BCD2" w:rsidR="00CC3B34" w:rsidRPr="00192837" w:rsidRDefault="009A04B2"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655" w:type="pct"/>
          </w:tcPr>
          <w:p w14:paraId="168D01A4" w14:textId="77777777"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564" w:type="pct"/>
          </w:tcPr>
          <w:p w14:paraId="2F28128E" w14:textId="257915FE" w:rsidR="00CC3B34" w:rsidRPr="00192837" w:rsidRDefault="009A04B2"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647" w:type="pct"/>
          </w:tcPr>
          <w:p w14:paraId="2F5C9745" w14:textId="77777777"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735" w:type="pct"/>
          </w:tcPr>
          <w:p w14:paraId="0E240910" w14:textId="77777777"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r>
      <w:tr w:rsidR="00CC3B34" w:rsidRPr="00192837" w14:paraId="414071AB" w14:textId="77777777" w:rsidTr="008D4D3E">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7912CF6C" w14:textId="77777777"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New Zealand</w:t>
            </w:r>
          </w:p>
        </w:tc>
        <w:tc>
          <w:tcPr>
            <w:tcW w:w="813" w:type="pct"/>
          </w:tcPr>
          <w:p w14:paraId="61AC6715" w14:textId="1EF722D8" w:rsidR="00CC3B34" w:rsidRPr="00192837" w:rsidRDefault="009A04B2"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564" w:type="pct"/>
          </w:tcPr>
          <w:p w14:paraId="2DFB6C6B" w14:textId="77777777"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655" w:type="pct"/>
          </w:tcPr>
          <w:p w14:paraId="113CB4BB" w14:textId="175D01D2" w:rsidR="00CC3B34" w:rsidRPr="00192837" w:rsidRDefault="009A04B2"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564" w:type="pct"/>
          </w:tcPr>
          <w:p w14:paraId="217B0BE8" w14:textId="3A84BC68"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647" w:type="pct"/>
          </w:tcPr>
          <w:p w14:paraId="08847E41" w14:textId="77777777"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735" w:type="pct"/>
          </w:tcPr>
          <w:p w14:paraId="5DEC3537" w14:textId="77777777"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r>
      <w:tr w:rsidR="00CC3B34" w:rsidRPr="00192837" w14:paraId="22447220" w14:textId="77777777" w:rsidTr="008D4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605571FB" w14:textId="77777777"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Portugal</w:t>
            </w:r>
          </w:p>
        </w:tc>
        <w:tc>
          <w:tcPr>
            <w:tcW w:w="813" w:type="pct"/>
          </w:tcPr>
          <w:p w14:paraId="49028140" w14:textId="0A008041" w:rsidR="00CC3B34" w:rsidRPr="00192837" w:rsidRDefault="009A04B2"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564" w:type="pct"/>
          </w:tcPr>
          <w:p w14:paraId="002550A4" w14:textId="57DC7045" w:rsidR="00CC3B34" w:rsidRPr="00192837" w:rsidRDefault="009A04B2"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655" w:type="pct"/>
          </w:tcPr>
          <w:p w14:paraId="2A5B31C6" w14:textId="04B7B9BC" w:rsidR="00CC3B34" w:rsidRPr="00192837" w:rsidRDefault="009A04B2"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564" w:type="pct"/>
          </w:tcPr>
          <w:p w14:paraId="329355A2" w14:textId="60EE2054"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647" w:type="pct"/>
          </w:tcPr>
          <w:p w14:paraId="5948E837" w14:textId="77777777"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735" w:type="pct"/>
          </w:tcPr>
          <w:p w14:paraId="5D016F54" w14:textId="1D92F199" w:rsidR="00CC3B34" w:rsidRPr="00192837" w:rsidRDefault="009A04B2"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r>
      <w:tr w:rsidR="00CC3B34" w:rsidRPr="00192837" w14:paraId="055CE63F" w14:textId="77777777" w:rsidTr="008D4D3E">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36DB04AD" w14:textId="77777777"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Singapore</w:t>
            </w:r>
          </w:p>
        </w:tc>
        <w:tc>
          <w:tcPr>
            <w:tcW w:w="813" w:type="pct"/>
          </w:tcPr>
          <w:p w14:paraId="0B4F2C87" w14:textId="5044F18A" w:rsidR="00CC3B34" w:rsidRPr="00192837" w:rsidRDefault="009A04B2"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564" w:type="pct"/>
          </w:tcPr>
          <w:p w14:paraId="776BFC0D" w14:textId="3ECBF8CF" w:rsidR="00CC3B34" w:rsidRPr="00192837" w:rsidRDefault="009A04B2"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655" w:type="pct"/>
          </w:tcPr>
          <w:p w14:paraId="6BF90E8E" w14:textId="77777777"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564" w:type="pct"/>
          </w:tcPr>
          <w:p w14:paraId="04B163BB" w14:textId="314D78FB" w:rsidR="00CC3B34" w:rsidRPr="00192837" w:rsidRDefault="009A04B2"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647" w:type="pct"/>
          </w:tcPr>
          <w:p w14:paraId="244BAAB8" w14:textId="77777777"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735" w:type="pct"/>
          </w:tcPr>
          <w:p w14:paraId="05E107A6" w14:textId="294B4CDB" w:rsidR="00CC3B34" w:rsidRPr="00192837" w:rsidRDefault="009A04B2"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r>
      <w:tr w:rsidR="00CC3B34" w:rsidRPr="00192837" w14:paraId="7D00B33F" w14:textId="77777777" w:rsidTr="008D4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57F9A360" w14:textId="77777777"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Alberta</w:t>
            </w:r>
          </w:p>
        </w:tc>
        <w:tc>
          <w:tcPr>
            <w:tcW w:w="813" w:type="pct"/>
          </w:tcPr>
          <w:p w14:paraId="1EFD8553" w14:textId="2AC34E47"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564" w:type="pct"/>
          </w:tcPr>
          <w:p w14:paraId="7EF086C2" w14:textId="77777777"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655" w:type="pct"/>
          </w:tcPr>
          <w:p w14:paraId="25587C91" w14:textId="77777777"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564" w:type="pct"/>
          </w:tcPr>
          <w:p w14:paraId="6C6EB6DC" w14:textId="4CB05FD0"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647" w:type="pct"/>
          </w:tcPr>
          <w:p w14:paraId="6E6A15D2" w14:textId="77777777"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735" w:type="pct"/>
          </w:tcPr>
          <w:p w14:paraId="76D41BE3" w14:textId="77777777"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r>
      <w:tr w:rsidR="00CC3B34" w:rsidRPr="00192837" w14:paraId="45482BFC" w14:textId="77777777" w:rsidTr="008D4D3E">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1EE97B50" w14:textId="77777777"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British Columbia</w:t>
            </w:r>
          </w:p>
        </w:tc>
        <w:tc>
          <w:tcPr>
            <w:tcW w:w="813" w:type="pct"/>
          </w:tcPr>
          <w:p w14:paraId="7E2C7676" w14:textId="77777777"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564" w:type="pct"/>
          </w:tcPr>
          <w:p w14:paraId="0AC99B3C" w14:textId="3214ECB3" w:rsidR="00CC3B34" w:rsidRPr="00192837" w:rsidRDefault="009A04B2"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655" w:type="pct"/>
          </w:tcPr>
          <w:p w14:paraId="3D6F5605" w14:textId="661B8252" w:rsidR="00CC3B34" w:rsidRPr="00192837" w:rsidRDefault="009A04B2"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564" w:type="pct"/>
          </w:tcPr>
          <w:p w14:paraId="735504C4" w14:textId="4EAF7D86"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647" w:type="pct"/>
          </w:tcPr>
          <w:p w14:paraId="1FA4C758" w14:textId="6E59CB7E" w:rsidR="00CC3B34" w:rsidRPr="00192837" w:rsidRDefault="009A04B2"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735" w:type="pct"/>
          </w:tcPr>
          <w:p w14:paraId="0F804347" w14:textId="77777777"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r>
      <w:tr w:rsidR="00CC3B34" w:rsidRPr="00192837" w14:paraId="3E6BE219" w14:textId="77777777" w:rsidTr="008D4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7CCC4C31" w14:textId="77777777"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Newfoundland and Labrador</w:t>
            </w:r>
          </w:p>
        </w:tc>
        <w:tc>
          <w:tcPr>
            <w:tcW w:w="813" w:type="pct"/>
          </w:tcPr>
          <w:p w14:paraId="4493F859" w14:textId="09647196" w:rsidR="00CC3B34" w:rsidRPr="00192837" w:rsidRDefault="009A04B2"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564" w:type="pct"/>
          </w:tcPr>
          <w:p w14:paraId="7BAB549B" w14:textId="67C95E26" w:rsidR="00CC3B34" w:rsidRPr="00192837" w:rsidRDefault="009A04B2"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655" w:type="pct"/>
          </w:tcPr>
          <w:p w14:paraId="0D982F7D" w14:textId="77777777"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564" w:type="pct"/>
          </w:tcPr>
          <w:p w14:paraId="76D9BC2F" w14:textId="7343DD92"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647" w:type="pct"/>
          </w:tcPr>
          <w:p w14:paraId="1A155D46" w14:textId="77777777"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735" w:type="pct"/>
          </w:tcPr>
          <w:p w14:paraId="40A80632" w14:textId="77777777"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r>
      <w:tr w:rsidR="00CC3B34" w:rsidRPr="00192837" w14:paraId="2A650800" w14:textId="77777777" w:rsidTr="008D4D3E">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4BCDBE62" w14:textId="77777777"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Ontario</w:t>
            </w:r>
          </w:p>
        </w:tc>
        <w:tc>
          <w:tcPr>
            <w:tcW w:w="813" w:type="pct"/>
          </w:tcPr>
          <w:p w14:paraId="2F0DA59F" w14:textId="012D14A0" w:rsidR="00CC3B34" w:rsidRPr="00192837" w:rsidRDefault="009A04B2"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564" w:type="pct"/>
          </w:tcPr>
          <w:p w14:paraId="39978D71" w14:textId="332DD0D1" w:rsidR="00CC3B34" w:rsidRPr="00192837" w:rsidRDefault="009A04B2"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655" w:type="pct"/>
          </w:tcPr>
          <w:p w14:paraId="3B0351C5" w14:textId="77777777"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564" w:type="pct"/>
          </w:tcPr>
          <w:p w14:paraId="061A093D" w14:textId="22629538"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647" w:type="pct"/>
          </w:tcPr>
          <w:p w14:paraId="2FE10CD4" w14:textId="77777777"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735" w:type="pct"/>
          </w:tcPr>
          <w:p w14:paraId="67B5E62C" w14:textId="48D031F8" w:rsidR="00CC3B34" w:rsidRPr="00192837" w:rsidRDefault="009A04B2"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r>
      <w:tr w:rsidR="00CC3B34" w:rsidRPr="00192837" w14:paraId="0FA5720E" w14:textId="77777777" w:rsidTr="008D4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00F0C1EB" w14:textId="77777777"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Saskatchewan</w:t>
            </w:r>
          </w:p>
        </w:tc>
        <w:tc>
          <w:tcPr>
            <w:tcW w:w="813" w:type="pct"/>
          </w:tcPr>
          <w:p w14:paraId="2F4C06A6" w14:textId="77777777"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564" w:type="pct"/>
          </w:tcPr>
          <w:p w14:paraId="12A7E394" w14:textId="77777777"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655" w:type="pct"/>
          </w:tcPr>
          <w:p w14:paraId="7C94F158" w14:textId="486363FF" w:rsidR="00CC3B34" w:rsidRPr="00192837" w:rsidRDefault="009A04B2"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564" w:type="pct"/>
          </w:tcPr>
          <w:p w14:paraId="4DD25881" w14:textId="0964D6E6"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647" w:type="pct"/>
          </w:tcPr>
          <w:p w14:paraId="199A23BF" w14:textId="77777777"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735" w:type="pct"/>
          </w:tcPr>
          <w:p w14:paraId="495A0E35" w14:textId="77777777"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r>
      <w:tr w:rsidR="00CC3B34" w:rsidRPr="00192837" w14:paraId="21CB27B6" w14:textId="77777777" w:rsidTr="008D4D3E">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591540AD" w14:textId="77777777"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California</w:t>
            </w:r>
          </w:p>
        </w:tc>
        <w:tc>
          <w:tcPr>
            <w:tcW w:w="813" w:type="pct"/>
          </w:tcPr>
          <w:p w14:paraId="1F5F1287" w14:textId="6D664B60" w:rsidR="00CC3B34" w:rsidRPr="00192837" w:rsidRDefault="009A04B2"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564" w:type="pct"/>
          </w:tcPr>
          <w:p w14:paraId="1D568B2E" w14:textId="7FB0A2CF" w:rsidR="00CC3B34" w:rsidRPr="00192837" w:rsidRDefault="009A04B2"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655" w:type="pct"/>
          </w:tcPr>
          <w:p w14:paraId="6C4A5617" w14:textId="77777777"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564" w:type="pct"/>
          </w:tcPr>
          <w:p w14:paraId="1C2617CA" w14:textId="78FBBB38"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647" w:type="pct"/>
          </w:tcPr>
          <w:p w14:paraId="7C6B5D12" w14:textId="11E91279" w:rsidR="00CC3B34" w:rsidRPr="00192837" w:rsidRDefault="009A04B2"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735" w:type="pct"/>
          </w:tcPr>
          <w:p w14:paraId="3DDE80B0" w14:textId="77777777"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r>
      <w:tr w:rsidR="00CC3B34" w:rsidRPr="00192837" w14:paraId="764224A5" w14:textId="77777777" w:rsidTr="008D4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09BF2D97" w14:textId="77777777"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Maine</w:t>
            </w:r>
          </w:p>
        </w:tc>
        <w:tc>
          <w:tcPr>
            <w:tcW w:w="813" w:type="pct"/>
          </w:tcPr>
          <w:p w14:paraId="06449D60" w14:textId="08669172" w:rsidR="00CC3B34" w:rsidRPr="00192837" w:rsidRDefault="009A04B2"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564" w:type="pct"/>
          </w:tcPr>
          <w:p w14:paraId="1156231A" w14:textId="3662EAF1" w:rsidR="00CC3B34" w:rsidRPr="00192837" w:rsidRDefault="009A04B2"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655" w:type="pct"/>
          </w:tcPr>
          <w:p w14:paraId="72AF7205" w14:textId="77777777"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564" w:type="pct"/>
          </w:tcPr>
          <w:p w14:paraId="308D4AE7" w14:textId="04270882" w:rsidR="00CC3B34" w:rsidRPr="00192837" w:rsidRDefault="009A04B2"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647" w:type="pct"/>
          </w:tcPr>
          <w:p w14:paraId="377F4B12" w14:textId="05E088B4" w:rsidR="00CC3B34" w:rsidRPr="00192837" w:rsidRDefault="009A04B2"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735" w:type="pct"/>
          </w:tcPr>
          <w:p w14:paraId="296FD27F" w14:textId="7619CAB6" w:rsidR="00CC3B34" w:rsidRPr="00192837" w:rsidRDefault="009A04B2"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r>
      <w:tr w:rsidR="00CC3B34" w:rsidRPr="00192837" w14:paraId="1945905D" w14:textId="77777777" w:rsidTr="008D4D3E">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6284BFC1" w14:textId="77777777"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North Carolina</w:t>
            </w:r>
          </w:p>
        </w:tc>
        <w:tc>
          <w:tcPr>
            <w:tcW w:w="813" w:type="pct"/>
          </w:tcPr>
          <w:p w14:paraId="19BD4C05" w14:textId="77777777"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564" w:type="pct"/>
          </w:tcPr>
          <w:p w14:paraId="0E1A2DCB" w14:textId="77777777"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655" w:type="pct"/>
          </w:tcPr>
          <w:p w14:paraId="1B120C95" w14:textId="77777777"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564" w:type="pct"/>
          </w:tcPr>
          <w:p w14:paraId="1D5B6D49" w14:textId="687E161A" w:rsidR="00CC3B34" w:rsidRPr="00192837" w:rsidRDefault="009A04B2"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647" w:type="pct"/>
          </w:tcPr>
          <w:p w14:paraId="577C4742" w14:textId="35765E76" w:rsidR="00CC3B34" w:rsidRPr="00192837" w:rsidRDefault="009A04B2"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735" w:type="pct"/>
          </w:tcPr>
          <w:p w14:paraId="55C6A297" w14:textId="77777777"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r>
      <w:tr w:rsidR="00CC3B34" w:rsidRPr="00192837" w14:paraId="5253B5F3" w14:textId="77777777" w:rsidTr="008D4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1CBFF570" w14:textId="77777777"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Oklahoma</w:t>
            </w:r>
          </w:p>
        </w:tc>
        <w:tc>
          <w:tcPr>
            <w:tcW w:w="813" w:type="pct"/>
          </w:tcPr>
          <w:p w14:paraId="0B377F44" w14:textId="61E687B9" w:rsidR="00CC3B34" w:rsidRPr="00192837" w:rsidRDefault="009A04B2"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564" w:type="pct"/>
          </w:tcPr>
          <w:p w14:paraId="6B1A024E" w14:textId="77777777"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655" w:type="pct"/>
          </w:tcPr>
          <w:p w14:paraId="340E4A8A" w14:textId="77777777"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564" w:type="pct"/>
          </w:tcPr>
          <w:p w14:paraId="5FD769CA" w14:textId="1E7971C5"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647" w:type="pct"/>
          </w:tcPr>
          <w:p w14:paraId="6602432C" w14:textId="191298AE" w:rsidR="00CC3B34" w:rsidRPr="00192837" w:rsidRDefault="009A04B2"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735" w:type="pct"/>
          </w:tcPr>
          <w:p w14:paraId="7FD7D230" w14:textId="56829D3B" w:rsidR="00CC3B34" w:rsidRPr="00192837" w:rsidRDefault="009A04B2"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r>
      <w:tr w:rsidR="00CC3B34" w:rsidRPr="00192837" w14:paraId="36E290DA" w14:textId="77777777" w:rsidTr="008D4D3E">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707808EF" w14:textId="77777777"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Oregon</w:t>
            </w:r>
          </w:p>
        </w:tc>
        <w:tc>
          <w:tcPr>
            <w:tcW w:w="813" w:type="pct"/>
          </w:tcPr>
          <w:p w14:paraId="47FBBAF9" w14:textId="63F19EB8" w:rsidR="00CC3B34" w:rsidRPr="00192837" w:rsidRDefault="009A04B2"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564" w:type="pct"/>
          </w:tcPr>
          <w:p w14:paraId="1F40CFEE" w14:textId="77777777"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655" w:type="pct"/>
          </w:tcPr>
          <w:p w14:paraId="10757BF4" w14:textId="77777777"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564" w:type="pct"/>
          </w:tcPr>
          <w:p w14:paraId="14759F67" w14:textId="234E5DE9"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647" w:type="pct"/>
          </w:tcPr>
          <w:p w14:paraId="7F70DFE5" w14:textId="77777777"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735" w:type="pct"/>
          </w:tcPr>
          <w:p w14:paraId="284A5E36" w14:textId="77777777"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r>
      <w:tr w:rsidR="00CC3B34" w:rsidRPr="00192837" w14:paraId="4F7A5311" w14:textId="77777777" w:rsidTr="008D4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2CDBD423" w14:textId="77777777"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Washington</w:t>
            </w:r>
          </w:p>
        </w:tc>
        <w:tc>
          <w:tcPr>
            <w:tcW w:w="813" w:type="pct"/>
          </w:tcPr>
          <w:p w14:paraId="08660D7F" w14:textId="4762E2DE" w:rsidR="00CC3B34" w:rsidRPr="00192837" w:rsidRDefault="009A04B2"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564" w:type="pct"/>
          </w:tcPr>
          <w:p w14:paraId="4E207F40" w14:textId="0BDBF041" w:rsidR="00CC3B34" w:rsidRPr="00192837" w:rsidRDefault="009A04B2"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655" w:type="pct"/>
          </w:tcPr>
          <w:p w14:paraId="3ABC64D2" w14:textId="77777777"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564" w:type="pct"/>
          </w:tcPr>
          <w:p w14:paraId="4FBEAA58" w14:textId="0620FDFC"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647" w:type="pct"/>
          </w:tcPr>
          <w:p w14:paraId="6099C19E" w14:textId="79780D72" w:rsidR="00CC3B34" w:rsidRPr="00192837" w:rsidRDefault="009A04B2"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735" w:type="pct"/>
          </w:tcPr>
          <w:p w14:paraId="05A5A777" w14:textId="6BD6B6AC" w:rsidR="00CC3B34" w:rsidRPr="00192837" w:rsidRDefault="009A04B2"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r>
      <w:tr w:rsidR="00CC3B34" w:rsidRPr="00192837" w14:paraId="1D51821F" w14:textId="77777777" w:rsidTr="008D4D3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22D19183" w14:textId="77777777" w:rsidR="00CC3B34" w:rsidRPr="00192837" w:rsidRDefault="00CC3B34" w:rsidP="00B5403D">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000000"/>
                <w:sz w:val="18"/>
                <w:szCs w:val="20"/>
              </w:rPr>
            </w:pPr>
            <w:r w:rsidRPr="00192837">
              <w:rPr>
                <w:rFonts w:eastAsia="Gill Sans MT" w:cs="Times New Roman"/>
                <w:color w:val="000000"/>
                <w:sz w:val="18"/>
                <w:szCs w:val="20"/>
              </w:rPr>
              <w:t>Total</w:t>
            </w:r>
          </w:p>
        </w:tc>
        <w:tc>
          <w:tcPr>
            <w:tcW w:w="813" w:type="pct"/>
          </w:tcPr>
          <w:p w14:paraId="5CC81C5D" w14:textId="3BE1F7FD" w:rsidR="00CC3B34" w:rsidRPr="00192837" w:rsidRDefault="00EB3F6F"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10000000000" w:firstRow="0" w:lastRow="1" w:firstColumn="0" w:lastColumn="0" w:oddVBand="0" w:evenVBand="0" w:oddHBand="0"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13</w:t>
            </w:r>
          </w:p>
        </w:tc>
        <w:tc>
          <w:tcPr>
            <w:tcW w:w="564" w:type="pct"/>
          </w:tcPr>
          <w:p w14:paraId="03F50A75" w14:textId="66F3753B" w:rsidR="00CC3B34" w:rsidRPr="00192837" w:rsidRDefault="00EB3F6F"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10000000000" w:firstRow="0" w:lastRow="1" w:firstColumn="0" w:lastColumn="0" w:oddVBand="0" w:evenVBand="0" w:oddHBand="0"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11</w:t>
            </w:r>
          </w:p>
        </w:tc>
        <w:tc>
          <w:tcPr>
            <w:tcW w:w="655" w:type="pct"/>
          </w:tcPr>
          <w:p w14:paraId="5AB4D896" w14:textId="24E54DD9" w:rsidR="00CC3B34" w:rsidRPr="00192837" w:rsidRDefault="00EB3F6F"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10000000000" w:firstRow="0" w:lastRow="1" w:firstColumn="0" w:lastColumn="0" w:oddVBand="0" w:evenVBand="0" w:oddHBand="0"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5</w:t>
            </w:r>
          </w:p>
        </w:tc>
        <w:tc>
          <w:tcPr>
            <w:tcW w:w="564" w:type="pct"/>
          </w:tcPr>
          <w:p w14:paraId="6A9EE8D8" w14:textId="0BE84983" w:rsidR="00CC3B34" w:rsidRPr="00192837" w:rsidRDefault="00EB3F6F"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10000000000" w:firstRow="0" w:lastRow="1" w:firstColumn="0" w:lastColumn="0" w:oddVBand="0" w:evenVBand="0" w:oddHBand="0"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5</w:t>
            </w:r>
          </w:p>
        </w:tc>
        <w:tc>
          <w:tcPr>
            <w:tcW w:w="647" w:type="pct"/>
          </w:tcPr>
          <w:p w14:paraId="6D57851A" w14:textId="6958EB99" w:rsidR="00CC3B34" w:rsidRPr="00192837" w:rsidRDefault="00EB3F6F"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10000000000" w:firstRow="0" w:lastRow="1" w:firstColumn="0" w:lastColumn="0" w:oddVBand="0" w:evenVBand="0" w:oddHBand="0"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8</w:t>
            </w:r>
          </w:p>
        </w:tc>
        <w:tc>
          <w:tcPr>
            <w:tcW w:w="735" w:type="pct"/>
          </w:tcPr>
          <w:p w14:paraId="519A2018" w14:textId="13533197" w:rsidR="00CC3B34" w:rsidRPr="00192837" w:rsidRDefault="00EB3F6F" w:rsidP="00B5403D">
            <w:pPr>
              <w:keepNext/>
              <w:keepLines/>
              <w:tabs>
                <w:tab w:val="clear" w:pos="280"/>
                <w:tab w:val="clear" w:pos="4800"/>
                <w:tab w:val="clear" w:pos="5780"/>
              </w:tabs>
              <w:suppressAutoHyphens w:val="0"/>
              <w:autoSpaceDE/>
              <w:autoSpaceDN/>
              <w:adjustRightInd/>
              <w:spacing w:line="264" w:lineRule="auto"/>
              <w:jc w:val="center"/>
              <w:textAlignment w:val="auto"/>
              <w:cnfStyle w:val="010000000000" w:firstRow="0" w:lastRow="1" w:firstColumn="0" w:lastColumn="0" w:oddVBand="0" w:evenVBand="0" w:oddHBand="0"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7</w:t>
            </w:r>
          </w:p>
        </w:tc>
      </w:tr>
    </w:tbl>
    <w:p w14:paraId="6FD5CEBC" w14:textId="6DF6ACAA" w:rsidR="008D4D3E" w:rsidRDefault="008D4D3E" w:rsidP="00B5403D">
      <w:pPr>
        <w:pStyle w:val="Tablenote"/>
        <w:keepLines/>
      </w:pPr>
      <w:r>
        <w:t>Note: Cells with no mark mean the telemedicine regulation does not explicitly mention this issue.</w:t>
      </w:r>
    </w:p>
    <w:p w14:paraId="56F8A173" w14:textId="4A05912B" w:rsidR="005C2B38" w:rsidRDefault="00360C2B" w:rsidP="00B5403D">
      <w:pPr>
        <w:pStyle w:val="Tablelastnote"/>
        <w:keepNext/>
        <w:keepLines/>
      </w:pPr>
      <w:r>
        <w:t>Source: Europe Economics.</w:t>
      </w:r>
    </w:p>
    <w:p w14:paraId="0B46541C" w14:textId="77777777" w:rsidR="0059653A" w:rsidRPr="00D13AF1" w:rsidRDefault="0059653A" w:rsidP="0059653A">
      <w:pPr>
        <w:pStyle w:val="Heading3"/>
      </w:pPr>
      <w:r w:rsidRPr="00D13AF1">
        <w:t>Specific requirements</w:t>
      </w:r>
    </w:p>
    <w:p w14:paraId="63D37EDD" w14:textId="02F02674" w:rsidR="0059653A" w:rsidRPr="00D13AF1" w:rsidRDefault="0059653A" w:rsidP="0059653A">
      <w:pPr>
        <w:pStyle w:val="BodyEE"/>
      </w:pPr>
      <w:r w:rsidRPr="00D13AF1">
        <w:t xml:space="preserve">Some jurisdictions also develop telemedicine standards or requirements applicable only to specific areas of medical practice. The most common area in which such specific standards are included is prescribing medicines online. Specifically, many of the Canadian and </w:t>
      </w:r>
      <w:r w:rsidR="00996726">
        <w:t>USA</w:t>
      </w:r>
      <w:r w:rsidRPr="00D13AF1">
        <w:t xml:space="preserve"> jurisdictions explicitly prohibit </w:t>
      </w:r>
      <w:r w:rsidR="00654B25" w:rsidRPr="00D13AF1">
        <w:t>remote</w:t>
      </w:r>
      <w:r w:rsidRPr="00D13AF1">
        <w:t xml:space="preserve"> prescribing in certain circumstances or of certain substances. For example, Maine does not allow prescribing medication based only on a static, online questionnaire without any form of active interaction (not necessarily face-to-face) betwe</w:t>
      </w:r>
      <w:r w:rsidR="009D27B4" w:rsidRPr="00D13AF1">
        <w:t>en the patient and the doctor. In</w:t>
      </w:r>
      <w:r w:rsidR="00DB3FA3">
        <w:t xml:space="preserve"> Newfoundland and Labrador, and British Columbia, d</w:t>
      </w:r>
      <w:r w:rsidR="009D27B4" w:rsidRPr="00D13AF1">
        <w:t xml:space="preserve">octors </w:t>
      </w:r>
      <w:r w:rsidR="00DB3FA3">
        <w:t>must not</w:t>
      </w:r>
      <w:r w:rsidR="009D27B4" w:rsidRPr="00D13AF1">
        <w:t xml:space="preserve"> prescribe</w:t>
      </w:r>
      <w:r w:rsidRPr="00D13AF1">
        <w:t xml:space="preserve"> medical marijuana, narcotics or other controlled or regulated medications unless they have access to sufficient information</w:t>
      </w:r>
      <w:r w:rsidR="00DB3FA3">
        <w:t xml:space="preserve"> or meet certain requirements</w:t>
      </w:r>
      <w:r w:rsidRPr="00D13AF1">
        <w:t>.</w:t>
      </w:r>
      <w:r w:rsidR="003A501A">
        <w:t xml:space="preserve"> These requirements are embedded in the Colleges’ Standards for Telemedicine, which are binding requirements reflecting the minimum level of standards expected by the Colleges (as opposed to non-binding guidelines). </w:t>
      </w:r>
    </w:p>
    <w:p w14:paraId="43B6D2E1" w14:textId="73CDBF34" w:rsidR="0059653A" w:rsidRPr="00D13AF1" w:rsidRDefault="0059653A" w:rsidP="0059653A">
      <w:pPr>
        <w:pStyle w:val="BodyEE"/>
      </w:pPr>
      <w:r w:rsidRPr="00D13AF1">
        <w:t xml:space="preserve">Furthermore, New Zealand </w:t>
      </w:r>
      <w:r w:rsidR="00051A1E">
        <w:t xml:space="preserve">and </w:t>
      </w:r>
      <w:r w:rsidR="004F64BB">
        <w:t>Saskatchewan</w:t>
      </w:r>
      <w:r w:rsidR="00051A1E">
        <w:t xml:space="preserve"> </w:t>
      </w:r>
      <w:r w:rsidRPr="00D13AF1">
        <w:t>provides specific standards for practi</w:t>
      </w:r>
      <w:r w:rsidR="006E0E48">
        <w:t>s</w:t>
      </w:r>
      <w:r w:rsidRPr="00D13AF1">
        <w:t xml:space="preserve">ing </w:t>
      </w:r>
      <w:r w:rsidR="00CE1C15">
        <w:t>teleradiology</w:t>
      </w:r>
      <w:r w:rsidRPr="00D13AF1">
        <w:t xml:space="preserve"> or </w:t>
      </w:r>
      <w:r w:rsidR="00CE1C15">
        <w:t>telepathology</w:t>
      </w:r>
      <w:r w:rsidRPr="00D13AF1">
        <w:t xml:space="preserve">, while Portugal has separate requirements relevant for </w:t>
      </w:r>
      <w:proofErr w:type="spellStart"/>
      <w:r w:rsidR="00CE1C15">
        <w:t>teledermatology</w:t>
      </w:r>
      <w:proofErr w:type="spellEnd"/>
      <w:r w:rsidRPr="00D13AF1">
        <w:t>. These are all described or referred to in the</w:t>
      </w:r>
      <w:r w:rsidR="00C62F40">
        <w:t xml:space="preserve"> </w:t>
      </w:r>
      <w:r w:rsidR="00C62F40">
        <w:fldChar w:fldCharType="begin"/>
      </w:r>
      <w:r w:rsidR="00C62F40">
        <w:instrText xml:space="preserve"> REF  _Ref499307048 \h  \* MERGEFORMAT </w:instrText>
      </w:r>
      <w:r w:rsidR="00C62F40">
        <w:fldChar w:fldCharType="separate"/>
      </w:r>
      <w:r w:rsidR="00B51130" w:rsidRPr="00D13AF1">
        <w:rPr>
          <w:b/>
          <w:color w:val="C64187" w:themeColor="accent2"/>
        </w:rPr>
        <w:t>Appendix 2 — core countries</w:t>
      </w:r>
      <w:r w:rsidR="00C62F40">
        <w:fldChar w:fldCharType="end"/>
      </w:r>
      <w:r w:rsidRPr="00D13AF1">
        <w:t xml:space="preserve">. </w:t>
      </w:r>
    </w:p>
    <w:p w14:paraId="585323D8" w14:textId="6A31741C" w:rsidR="00192837" w:rsidRPr="00192837" w:rsidRDefault="00192837" w:rsidP="006E3055">
      <w:pPr>
        <w:keepNext/>
        <w:keepLines/>
        <w:spacing w:after="200" w:line="240" w:lineRule="auto"/>
        <w:rPr>
          <w:b/>
          <w:bCs/>
          <w:sz w:val="20"/>
        </w:rPr>
      </w:pPr>
      <w:r w:rsidRPr="00192837">
        <w:rPr>
          <w:b/>
          <w:bCs/>
          <w:sz w:val="20"/>
        </w:rPr>
        <w:lastRenderedPageBreak/>
        <w:t xml:space="preserve">Table </w:t>
      </w:r>
      <w:r w:rsidR="00EF67D2">
        <w:rPr>
          <w:b/>
          <w:bCs/>
          <w:sz w:val="20"/>
        </w:rPr>
        <w:fldChar w:fldCharType="begin"/>
      </w:r>
      <w:r w:rsidR="00EF67D2">
        <w:rPr>
          <w:b/>
          <w:bCs/>
          <w:sz w:val="20"/>
        </w:rPr>
        <w:instrText xml:space="preserve"> STYLEREF 1 \s </w:instrText>
      </w:r>
      <w:r w:rsidR="00EF67D2">
        <w:rPr>
          <w:b/>
          <w:bCs/>
          <w:sz w:val="20"/>
        </w:rPr>
        <w:fldChar w:fldCharType="separate"/>
      </w:r>
      <w:r w:rsidR="00B51130">
        <w:rPr>
          <w:b/>
          <w:bCs/>
          <w:noProof/>
          <w:sz w:val="20"/>
        </w:rPr>
        <w:t>4</w:t>
      </w:r>
      <w:r w:rsidR="00EF67D2">
        <w:rPr>
          <w:b/>
          <w:bCs/>
          <w:sz w:val="20"/>
        </w:rPr>
        <w:fldChar w:fldCharType="end"/>
      </w:r>
      <w:r w:rsidR="00EF67D2">
        <w:rPr>
          <w:b/>
          <w:bCs/>
          <w:sz w:val="20"/>
        </w:rPr>
        <w:t>.</w:t>
      </w:r>
      <w:r w:rsidR="00EF67D2">
        <w:rPr>
          <w:b/>
          <w:bCs/>
          <w:sz w:val="20"/>
        </w:rPr>
        <w:fldChar w:fldCharType="begin"/>
      </w:r>
      <w:r w:rsidR="00EF67D2">
        <w:rPr>
          <w:b/>
          <w:bCs/>
          <w:sz w:val="20"/>
        </w:rPr>
        <w:instrText xml:space="preserve"> SEQ Table \* ARABIC \s 1 </w:instrText>
      </w:r>
      <w:r w:rsidR="00EF67D2">
        <w:rPr>
          <w:b/>
          <w:bCs/>
          <w:sz w:val="20"/>
        </w:rPr>
        <w:fldChar w:fldCharType="separate"/>
      </w:r>
      <w:r w:rsidR="00B51130">
        <w:rPr>
          <w:b/>
          <w:bCs/>
          <w:noProof/>
          <w:sz w:val="20"/>
        </w:rPr>
        <w:t>6</w:t>
      </w:r>
      <w:r w:rsidR="00EF67D2">
        <w:rPr>
          <w:b/>
          <w:bCs/>
          <w:sz w:val="20"/>
        </w:rPr>
        <w:fldChar w:fldCharType="end"/>
      </w:r>
      <w:r w:rsidRPr="00192837">
        <w:rPr>
          <w:b/>
          <w:bCs/>
          <w:sz w:val="20"/>
        </w:rPr>
        <w:t xml:space="preserve">: Telemedicine </w:t>
      </w:r>
      <w:r w:rsidR="0050131B">
        <w:rPr>
          <w:b/>
          <w:bCs/>
          <w:sz w:val="20"/>
        </w:rPr>
        <w:t xml:space="preserve">specific </w:t>
      </w:r>
      <w:r w:rsidRPr="00192837">
        <w:rPr>
          <w:b/>
          <w:bCs/>
          <w:sz w:val="20"/>
        </w:rPr>
        <w:t>requirements — summary</w:t>
      </w:r>
    </w:p>
    <w:tbl>
      <w:tblPr>
        <w:tblStyle w:val="LightShading-Accent113"/>
        <w:tblW w:w="5000" w:type="pct"/>
        <w:tblLook w:val="04E0" w:firstRow="1" w:lastRow="1" w:firstColumn="1" w:lastColumn="0" w:noHBand="0" w:noVBand="1"/>
      </w:tblPr>
      <w:tblGrid>
        <w:gridCol w:w="3510"/>
        <w:gridCol w:w="1706"/>
        <w:gridCol w:w="2034"/>
        <w:gridCol w:w="2388"/>
      </w:tblGrid>
      <w:tr w:rsidR="006C46D4" w:rsidRPr="00192837" w14:paraId="48D4C9BC" w14:textId="77777777" w:rsidTr="006C46D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21" w:type="pct"/>
          </w:tcPr>
          <w:p w14:paraId="0892F741" w14:textId="77777777" w:rsidR="006C46D4" w:rsidRPr="00192837" w:rsidRDefault="006C46D4" w:rsidP="006E3055">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38383A"/>
                <w:sz w:val="18"/>
                <w:szCs w:val="20"/>
              </w:rPr>
              <w:t>Jurisdiction</w:t>
            </w:r>
          </w:p>
        </w:tc>
        <w:tc>
          <w:tcPr>
            <w:tcW w:w="885" w:type="pct"/>
          </w:tcPr>
          <w:p w14:paraId="09242DAB" w14:textId="6550FFC4" w:rsidR="006C46D4" w:rsidRPr="00192837" w:rsidRDefault="006C46D4" w:rsidP="006E3055">
            <w:pPr>
              <w:keepNext/>
              <w:keepLines/>
              <w:tabs>
                <w:tab w:val="clear" w:pos="280"/>
                <w:tab w:val="clear" w:pos="4800"/>
                <w:tab w:val="clear" w:pos="5780"/>
              </w:tabs>
              <w:suppressAutoHyphens w:val="0"/>
              <w:autoSpaceDE/>
              <w:autoSpaceDN/>
              <w:adjustRightInd/>
              <w:spacing w:line="264" w:lineRule="auto"/>
              <w:jc w:val="center"/>
              <w:textAlignment w:val="auto"/>
              <w:cnfStyle w:val="100000000000" w:firstRow="1" w:lastRow="0" w:firstColumn="0" w:lastColumn="0" w:oddVBand="0" w:evenVBand="0" w:oddHBand="0"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Prescribing</w:t>
            </w:r>
          </w:p>
        </w:tc>
        <w:tc>
          <w:tcPr>
            <w:tcW w:w="1055" w:type="pct"/>
          </w:tcPr>
          <w:p w14:paraId="4BF89D50" w14:textId="036AD981" w:rsidR="006C46D4" w:rsidRPr="00192837" w:rsidRDefault="006C46D4" w:rsidP="006E3055">
            <w:pPr>
              <w:keepNext/>
              <w:keepLines/>
              <w:tabs>
                <w:tab w:val="clear" w:pos="280"/>
                <w:tab w:val="clear" w:pos="4800"/>
                <w:tab w:val="clear" w:pos="5780"/>
              </w:tabs>
              <w:suppressAutoHyphens w:val="0"/>
              <w:autoSpaceDE/>
              <w:autoSpaceDN/>
              <w:adjustRightInd/>
              <w:spacing w:line="264" w:lineRule="auto"/>
              <w:jc w:val="center"/>
              <w:textAlignment w:val="auto"/>
              <w:cnfStyle w:val="100000000000" w:firstRow="1" w:lastRow="0" w:firstColumn="0" w:lastColumn="0" w:oddVBand="0" w:evenVBand="0" w:oddHBand="0"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Teleradiology, telepathology</w:t>
            </w:r>
          </w:p>
        </w:tc>
        <w:tc>
          <w:tcPr>
            <w:tcW w:w="1239" w:type="pct"/>
          </w:tcPr>
          <w:p w14:paraId="1BB7D5A4" w14:textId="3526DA7E" w:rsidR="006C46D4" w:rsidRPr="00192837" w:rsidRDefault="006C46D4" w:rsidP="006E3055">
            <w:pPr>
              <w:keepNext/>
              <w:keepLines/>
              <w:tabs>
                <w:tab w:val="clear" w:pos="280"/>
                <w:tab w:val="clear" w:pos="4800"/>
                <w:tab w:val="clear" w:pos="5780"/>
              </w:tabs>
              <w:suppressAutoHyphens w:val="0"/>
              <w:autoSpaceDE/>
              <w:autoSpaceDN/>
              <w:adjustRightInd/>
              <w:spacing w:line="264" w:lineRule="auto"/>
              <w:jc w:val="center"/>
              <w:textAlignment w:val="auto"/>
              <w:cnfStyle w:val="100000000000" w:firstRow="1" w:lastRow="0" w:firstColumn="0" w:lastColumn="0" w:oddVBand="0" w:evenVBand="0" w:oddHBand="0" w:evenHBand="0" w:firstRowFirstColumn="0" w:firstRowLastColumn="0" w:lastRowFirstColumn="0" w:lastRowLastColumn="0"/>
              <w:rPr>
                <w:rFonts w:eastAsia="Gill Sans MT" w:cs="Times New Roman"/>
                <w:color w:val="38383A"/>
                <w:sz w:val="18"/>
                <w:szCs w:val="20"/>
              </w:rPr>
            </w:pPr>
            <w:proofErr w:type="spellStart"/>
            <w:r>
              <w:rPr>
                <w:rFonts w:eastAsia="Gill Sans MT" w:cs="Times New Roman"/>
                <w:color w:val="38383A"/>
                <w:sz w:val="18"/>
                <w:szCs w:val="20"/>
              </w:rPr>
              <w:t>Teledermatology</w:t>
            </w:r>
            <w:proofErr w:type="spellEnd"/>
          </w:p>
        </w:tc>
      </w:tr>
      <w:tr w:rsidR="009A04B2" w:rsidRPr="00192837" w14:paraId="0F17E584" w14:textId="77777777" w:rsidTr="006C4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pct"/>
          </w:tcPr>
          <w:p w14:paraId="264C13AE" w14:textId="77777777" w:rsidR="009A04B2" w:rsidRPr="00192837" w:rsidRDefault="009A04B2" w:rsidP="006E3055">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Australia</w:t>
            </w:r>
          </w:p>
        </w:tc>
        <w:tc>
          <w:tcPr>
            <w:tcW w:w="885" w:type="pct"/>
          </w:tcPr>
          <w:p w14:paraId="4F9BC0A5" w14:textId="4CFAABC5" w:rsidR="009A04B2" w:rsidRPr="00192837" w:rsidRDefault="009A04B2" w:rsidP="006E3055">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1055" w:type="pct"/>
          </w:tcPr>
          <w:p w14:paraId="253A49E4" w14:textId="77777777" w:rsidR="009A04B2" w:rsidRPr="00192837" w:rsidRDefault="009A04B2" w:rsidP="006E3055">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1239" w:type="pct"/>
          </w:tcPr>
          <w:p w14:paraId="48318266" w14:textId="77777777" w:rsidR="009A04B2" w:rsidRPr="00192837" w:rsidRDefault="009A04B2" w:rsidP="006E3055">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r>
      <w:tr w:rsidR="009A04B2" w:rsidRPr="00192837" w14:paraId="57050A7E" w14:textId="77777777" w:rsidTr="004D27FF">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pct"/>
          </w:tcPr>
          <w:p w14:paraId="22CCA264" w14:textId="77777777" w:rsidR="009A04B2" w:rsidRPr="00192837" w:rsidRDefault="009A04B2" w:rsidP="006E3055">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Denmark</w:t>
            </w:r>
          </w:p>
        </w:tc>
        <w:tc>
          <w:tcPr>
            <w:tcW w:w="885" w:type="pct"/>
            <w:vAlign w:val="top"/>
          </w:tcPr>
          <w:p w14:paraId="1F7E9AF7" w14:textId="1765633E" w:rsidR="009A04B2" w:rsidRPr="00192837" w:rsidRDefault="009A04B2" w:rsidP="006E3055">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1055" w:type="pct"/>
          </w:tcPr>
          <w:p w14:paraId="570BB7E4" w14:textId="77777777" w:rsidR="009A04B2" w:rsidRPr="00192837" w:rsidRDefault="009A04B2" w:rsidP="006E3055">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1239" w:type="pct"/>
          </w:tcPr>
          <w:p w14:paraId="779A8E93" w14:textId="77777777" w:rsidR="009A04B2" w:rsidRPr="00192837" w:rsidRDefault="009A04B2" w:rsidP="006E3055">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r>
      <w:tr w:rsidR="009A04B2" w:rsidRPr="00192837" w14:paraId="5BEACA55" w14:textId="77777777" w:rsidTr="006C4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pct"/>
          </w:tcPr>
          <w:p w14:paraId="777076C9" w14:textId="77777777" w:rsidR="009A04B2" w:rsidRPr="00192837" w:rsidRDefault="009A04B2" w:rsidP="006E3055">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France</w:t>
            </w:r>
          </w:p>
        </w:tc>
        <w:tc>
          <w:tcPr>
            <w:tcW w:w="885" w:type="pct"/>
          </w:tcPr>
          <w:p w14:paraId="3089F641" w14:textId="279CF334" w:rsidR="009A04B2" w:rsidRPr="00192837" w:rsidRDefault="009A04B2" w:rsidP="006E3055">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1055" w:type="pct"/>
          </w:tcPr>
          <w:p w14:paraId="37B8F18F" w14:textId="77777777" w:rsidR="009A04B2" w:rsidRPr="00192837" w:rsidRDefault="009A04B2" w:rsidP="006E3055">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1239" w:type="pct"/>
          </w:tcPr>
          <w:p w14:paraId="4D17BB89" w14:textId="77777777" w:rsidR="009A04B2" w:rsidRPr="00192837" w:rsidRDefault="009A04B2" w:rsidP="006E3055">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r>
      <w:tr w:rsidR="006C46D4" w:rsidRPr="00192837" w14:paraId="483C9B6A" w14:textId="77777777" w:rsidTr="006C46D4">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pct"/>
          </w:tcPr>
          <w:p w14:paraId="5961187C" w14:textId="77777777" w:rsidR="006C46D4" w:rsidRPr="00192837" w:rsidRDefault="006C46D4" w:rsidP="006E3055">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New Zealand</w:t>
            </w:r>
          </w:p>
        </w:tc>
        <w:tc>
          <w:tcPr>
            <w:tcW w:w="885" w:type="pct"/>
          </w:tcPr>
          <w:p w14:paraId="7CF545AE" w14:textId="77777777" w:rsidR="006C46D4" w:rsidRPr="00192837" w:rsidRDefault="006C46D4" w:rsidP="006E3055">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1055" w:type="pct"/>
          </w:tcPr>
          <w:p w14:paraId="687F0EFB" w14:textId="0E767177" w:rsidR="006C46D4" w:rsidRPr="00192837" w:rsidRDefault="009A04B2" w:rsidP="006E3055">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1239" w:type="pct"/>
          </w:tcPr>
          <w:p w14:paraId="6D6EAD3D" w14:textId="77777777" w:rsidR="006C46D4" w:rsidRPr="00192837" w:rsidRDefault="006C46D4" w:rsidP="006E3055">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r>
      <w:tr w:rsidR="006C46D4" w:rsidRPr="00192837" w14:paraId="11391BF2" w14:textId="77777777" w:rsidTr="006C4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pct"/>
          </w:tcPr>
          <w:p w14:paraId="58230D12" w14:textId="77777777" w:rsidR="006C46D4" w:rsidRPr="00192837" w:rsidRDefault="006C46D4" w:rsidP="006E3055">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Portugal</w:t>
            </w:r>
          </w:p>
        </w:tc>
        <w:tc>
          <w:tcPr>
            <w:tcW w:w="885" w:type="pct"/>
          </w:tcPr>
          <w:p w14:paraId="53B94407" w14:textId="77777777" w:rsidR="006C46D4" w:rsidRPr="00192837" w:rsidRDefault="006C46D4" w:rsidP="006E3055">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1055" w:type="pct"/>
          </w:tcPr>
          <w:p w14:paraId="0573AE3E" w14:textId="77777777" w:rsidR="006C46D4" w:rsidRPr="00192837" w:rsidRDefault="006C46D4" w:rsidP="006E3055">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1239" w:type="pct"/>
          </w:tcPr>
          <w:p w14:paraId="41F03101" w14:textId="70EB8BF6" w:rsidR="006C46D4" w:rsidRPr="00192837" w:rsidRDefault="009A04B2" w:rsidP="006E3055">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r>
      <w:tr w:rsidR="006C46D4" w:rsidRPr="00192837" w14:paraId="2B4C649B" w14:textId="77777777" w:rsidTr="006C46D4">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pct"/>
          </w:tcPr>
          <w:p w14:paraId="56F1BBC0" w14:textId="77777777" w:rsidR="006C46D4" w:rsidRPr="00192837" w:rsidRDefault="006C46D4" w:rsidP="006E3055">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Singapore</w:t>
            </w:r>
          </w:p>
        </w:tc>
        <w:tc>
          <w:tcPr>
            <w:tcW w:w="885" w:type="pct"/>
          </w:tcPr>
          <w:p w14:paraId="12BC8E5E" w14:textId="77777777" w:rsidR="006C46D4" w:rsidRPr="00192837" w:rsidRDefault="006C46D4" w:rsidP="006E3055">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1055" w:type="pct"/>
          </w:tcPr>
          <w:p w14:paraId="66AE68EA" w14:textId="77777777" w:rsidR="006C46D4" w:rsidRPr="00192837" w:rsidRDefault="006C46D4" w:rsidP="006E3055">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1239" w:type="pct"/>
          </w:tcPr>
          <w:p w14:paraId="4BFBBEC3" w14:textId="77777777" w:rsidR="006C46D4" w:rsidRPr="00192837" w:rsidRDefault="006C46D4" w:rsidP="006E3055">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r>
      <w:tr w:rsidR="006C46D4" w:rsidRPr="00192837" w14:paraId="3D5BB43C" w14:textId="77777777" w:rsidTr="006C4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pct"/>
          </w:tcPr>
          <w:p w14:paraId="2CBC51E5" w14:textId="77777777" w:rsidR="006C46D4" w:rsidRPr="00192837" w:rsidRDefault="006C46D4" w:rsidP="006E3055">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Alberta</w:t>
            </w:r>
          </w:p>
        </w:tc>
        <w:tc>
          <w:tcPr>
            <w:tcW w:w="885" w:type="pct"/>
          </w:tcPr>
          <w:p w14:paraId="4F9E91E3" w14:textId="479C7497" w:rsidR="006C46D4" w:rsidRPr="00192837" w:rsidRDefault="009A04B2" w:rsidP="006E3055">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1055" w:type="pct"/>
          </w:tcPr>
          <w:p w14:paraId="114F8730" w14:textId="77777777" w:rsidR="006C46D4" w:rsidRPr="00192837" w:rsidRDefault="006C46D4" w:rsidP="006E3055">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1239" w:type="pct"/>
          </w:tcPr>
          <w:p w14:paraId="3301E81F" w14:textId="77777777" w:rsidR="006C46D4" w:rsidRPr="00192837" w:rsidRDefault="006C46D4" w:rsidP="006E3055">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r>
      <w:tr w:rsidR="006C46D4" w:rsidRPr="00192837" w14:paraId="3F19FC21" w14:textId="77777777" w:rsidTr="006C46D4">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pct"/>
          </w:tcPr>
          <w:p w14:paraId="021E2443" w14:textId="77777777" w:rsidR="006C46D4" w:rsidRPr="00192837" w:rsidRDefault="006C46D4" w:rsidP="006E3055">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British Columbia</w:t>
            </w:r>
          </w:p>
        </w:tc>
        <w:tc>
          <w:tcPr>
            <w:tcW w:w="885" w:type="pct"/>
          </w:tcPr>
          <w:p w14:paraId="5961D63C" w14:textId="58319E65" w:rsidR="006C46D4" w:rsidRPr="00192837" w:rsidRDefault="009A04B2" w:rsidP="006E3055">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1055" w:type="pct"/>
          </w:tcPr>
          <w:p w14:paraId="1964A8F9" w14:textId="77777777" w:rsidR="006C46D4" w:rsidRPr="00192837" w:rsidRDefault="006C46D4" w:rsidP="006E3055">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1239" w:type="pct"/>
          </w:tcPr>
          <w:p w14:paraId="45B31586" w14:textId="77777777" w:rsidR="006C46D4" w:rsidRPr="00192837" w:rsidRDefault="006C46D4" w:rsidP="006E3055">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r>
      <w:tr w:rsidR="006C46D4" w:rsidRPr="00192837" w14:paraId="3A0F6355" w14:textId="77777777" w:rsidTr="006C4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pct"/>
          </w:tcPr>
          <w:p w14:paraId="62EA5175" w14:textId="77777777" w:rsidR="006C46D4" w:rsidRPr="00192837" w:rsidRDefault="006C46D4" w:rsidP="006E3055">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Newfoundland and Labrador</w:t>
            </w:r>
          </w:p>
        </w:tc>
        <w:tc>
          <w:tcPr>
            <w:tcW w:w="885" w:type="pct"/>
          </w:tcPr>
          <w:p w14:paraId="5243DCAE" w14:textId="029664DB" w:rsidR="006C46D4" w:rsidRPr="00192837" w:rsidRDefault="009A04B2" w:rsidP="006E3055">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1055" w:type="pct"/>
          </w:tcPr>
          <w:p w14:paraId="1075DDA0" w14:textId="77777777" w:rsidR="006C46D4" w:rsidRPr="00192837" w:rsidRDefault="006C46D4" w:rsidP="006E3055">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1239" w:type="pct"/>
          </w:tcPr>
          <w:p w14:paraId="14C3F182" w14:textId="77777777" w:rsidR="006C46D4" w:rsidRPr="00192837" w:rsidRDefault="006C46D4" w:rsidP="006E3055">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r>
      <w:tr w:rsidR="006C46D4" w:rsidRPr="00192837" w14:paraId="6F4B7942" w14:textId="77777777" w:rsidTr="006C46D4">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pct"/>
          </w:tcPr>
          <w:p w14:paraId="7B629402" w14:textId="77777777" w:rsidR="006C46D4" w:rsidRPr="00192837" w:rsidRDefault="006C46D4" w:rsidP="006E3055">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Ontario</w:t>
            </w:r>
          </w:p>
        </w:tc>
        <w:tc>
          <w:tcPr>
            <w:tcW w:w="885" w:type="pct"/>
          </w:tcPr>
          <w:p w14:paraId="0FD512A8" w14:textId="5E73723C" w:rsidR="006C46D4" w:rsidRPr="00192837" w:rsidRDefault="006C46D4" w:rsidP="006E3055">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1055" w:type="pct"/>
          </w:tcPr>
          <w:p w14:paraId="7C39694E" w14:textId="77777777" w:rsidR="006C46D4" w:rsidRPr="00192837" w:rsidRDefault="006C46D4" w:rsidP="006E3055">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1239" w:type="pct"/>
          </w:tcPr>
          <w:p w14:paraId="4189D0F8" w14:textId="77777777" w:rsidR="006C46D4" w:rsidRPr="00192837" w:rsidRDefault="006C46D4" w:rsidP="006E3055">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r>
      <w:tr w:rsidR="006C46D4" w:rsidRPr="00192837" w14:paraId="0860BF3F" w14:textId="77777777" w:rsidTr="006C4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pct"/>
          </w:tcPr>
          <w:p w14:paraId="3D77BB35" w14:textId="77777777" w:rsidR="006C46D4" w:rsidRPr="00192837" w:rsidRDefault="006C46D4" w:rsidP="006E3055">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Saskatchewan</w:t>
            </w:r>
          </w:p>
        </w:tc>
        <w:tc>
          <w:tcPr>
            <w:tcW w:w="885" w:type="pct"/>
          </w:tcPr>
          <w:p w14:paraId="3555BF30" w14:textId="6AA52444" w:rsidR="006C46D4" w:rsidRPr="00192837" w:rsidRDefault="009A04B2" w:rsidP="006E3055">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1055" w:type="pct"/>
          </w:tcPr>
          <w:p w14:paraId="35947399" w14:textId="609BFC55" w:rsidR="006C46D4" w:rsidRPr="00192837" w:rsidRDefault="00B51130" w:rsidP="006E3055">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1239" w:type="pct"/>
          </w:tcPr>
          <w:p w14:paraId="1B238249" w14:textId="77777777" w:rsidR="006C46D4" w:rsidRPr="00192837" w:rsidRDefault="006C46D4" w:rsidP="006E3055">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r>
      <w:tr w:rsidR="006C46D4" w:rsidRPr="00192837" w14:paraId="741DEE18" w14:textId="77777777" w:rsidTr="006C46D4">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pct"/>
          </w:tcPr>
          <w:p w14:paraId="029587E5" w14:textId="77777777" w:rsidR="006C46D4" w:rsidRPr="00192837" w:rsidRDefault="006C46D4" w:rsidP="006E3055">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California</w:t>
            </w:r>
          </w:p>
        </w:tc>
        <w:tc>
          <w:tcPr>
            <w:tcW w:w="885" w:type="pct"/>
          </w:tcPr>
          <w:p w14:paraId="3D8B028C" w14:textId="77777777" w:rsidR="006C46D4" w:rsidRPr="00192837" w:rsidRDefault="006C46D4" w:rsidP="006E3055">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1055" w:type="pct"/>
          </w:tcPr>
          <w:p w14:paraId="18ED7F72" w14:textId="77777777" w:rsidR="006C46D4" w:rsidRPr="00192837" w:rsidRDefault="006C46D4" w:rsidP="006E3055">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1239" w:type="pct"/>
          </w:tcPr>
          <w:p w14:paraId="6A3F000B" w14:textId="77777777" w:rsidR="006C46D4" w:rsidRPr="00192837" w:rsidRDefault="006C46D4" w:rsidP="006E3055">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r>
      <w:tr w:rsidR="006C46D4" w:rsidRPr="00192837" w14:paraId="691DE4B6" w14:textId="77777777" w:rsidTr="006C4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pct"/>
          </w:tcPr>
          <w:p w14:paraId="3B4414EA" w14:textId="77777777" w:rsidR="006C46D4" w:rsidRPr="00192837" w:rsidRDefault="006C46D4" w:rsidP="006E3055">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Maine</w:t>
            </w:r>
          </w:p>
        </w:tc>
        <w:tc>
          <w:tcPr>
            <w:tcW w:w="885" w:type="pct"/>
          </w:tcPr>
          <w:p w14:paraId="3DE33B23" w14:textId="64AC0477" w:rsidR="006C46D4" w:rsidRPr="00192837" w:rsidRDefault="009A04B2" w:rsidP="006E3055">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1055" w:type="pct"/>
          </w:tcPr>
          <w:p w14:paraId="5160774B" w14:textId="77777777" w:rsidR="006C46D4" w:rsidRPr="00192837" w:rsidRDefault="006C46D4" w:rsidP="006E3055">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1239" w:type="pct"/>
          </w:tcPr>
          <w:p w14:paraId="7CCD6051" w14:textId="77777777" w:rsidR="006C46D4" w:rsidRPr="00192837" w:rsidRDefault="006C46D4" w:rsidP="006E3055">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r>
      <w:tr w:rsidR="006C46D4" w:rsidRPr="00192837" w14:paraId="2B85C870" w14:textId="77777777" w:rsidTr="006C46D4">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pct"/>
          </w:tcPr>
          <w:p w14:paraId="3ADC0D5C" w14:textId="77777777" w:rsidR="006C46D4" w:rsidRPr="00192837" w:rsidRDefault="006C46D4" w:rsidP="006E3055">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North Carolina</w:t>
            </w:r>
          </w:p>
        </w:tc>
        <w:tc>
          <w:tcPr>
            <w:tcW w:w="885" w:type="pct"/>
          </w:tcPr>
          <w:p w14:paraId="26F943D6" w14:textId="5C6D358B" w:rsidR="006C46D4" w:rsidRPr="00192837" w:rsidRDefault="009A04B2" w:rsidP="006E3055">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1055" w:type="pct"/>
          </w:tcPr>
          <w:p w14:paraId="43AC322C" w14:textId="77777777" w:rsidR="006C46D4" w:rsidRPr="00192837" w:rsidRDefault="006C46D4" w:rsidP="006E3055">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1239" w:type="pct"/>
          </w:tcPr>
          <w:p w14:paraId="400D9C20" w14:textId="77777777" w:rsidR="006C46D4" w:rsidRPr="00192837" w:rsidRDefault="006C46D4" w:rsidP="006E3055">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r>
      <w:tr w:rsidR="006C46D4" w:rsidRPr="00192837" w14:paraId="5F0C88BA" w14:textId="77777777" w:rsidTr="006C4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pct"/>
          </w:tcPr>
          <w:p w14:paraId="466736F8" w14:textId="77777777" w:rsidR="006C46D4" w:rsidRPr="00192837" w:rsidRDefault="006C46D4" w:rsidP="006E3055">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Oklahoma</w:t>
            </w:r>
          </w:p>
        </w:tc>
        <w:tc>
          <w:tcPr>
            <w:tcW w:w="885" w:type="pct"/>
          </w:tcPr>
          <w:p w14:paraId="00B4B079" w14:textId="77777777" w:rsidR="006C46D4" w:rsidRPr="00192837" w:rsidRDefault="006C46D4" w:rsidP="006E3055">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1055" w:type="pct"/>
          </w:tcPr>
          <w:p w14:paraId="2EE2C669" w14:textId="77777777" w:rsidR="006C46D4" w:rsidRPr="00192837" w:rsidRDefault="006C46D4" w:rsidP="006E3055">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1239" w:type="pct"/>
          </w:tcPr>
          <w:p w14:paraId="4CE26351" w14:textId="77777777" w:rsidR="006C46D4" w:rsidRPr="00192837" w:rsidRDefault="006C46D4" w:rsidP="006E3055">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r>
      <w:tr w:rsidR="006C46D4" w:rsidRPr="00192837" w14:paraId="49483F91" w14:textId="77777777" w:rsidTr="006C46D4">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pct"/>
          </w:tcPr>
          <w:p w14:paraId="7EE63D21" w14:textId="77777777" w:rsidR="006C46D4" w:rsidRPr="00192837" w:rsidRDefault="006C46D4" w:rsidP="006E3055">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Oregon</w:t>
            </w:r>
          </w:p>
        </w:tc>
        <w:tc>
          <w:tcPr>
            <w:tcW w:w="885" w:type="pct"/>
          </w:tcPr>
          <w:p w14:paraId="61C41AF7" w14:textId="77777777" w:rsidR="006C46D4" w:rsidRPr="00192837" w:rsidRDefault="006C46D4" w:rsidP="006E3055">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1055" w:type="pct"/>
          </w:tcPr>
          <w:p w14:paraId="3B4B58DC" w14:textId="77777777" w:rsidR="006C46D4" w:rsidRPr="00192837" w:rsidRDefault="006C46D4" w:rsidP="006E3055">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1239" w:type="pct"/>
          </w:tcPr>
          <w:p w14:paraId="549CD5AC" w14:textId="77777777" w:rsidR="006C46D4" w:rsidRPr="00192837" w:rsidRDefault="006C46D4" w:rsidP="006E3055">
            <w:pPr>
              <w:keepNext/>
              <w:keepLines/>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r>
      <w:tr w:rsidR="006C46D4" w:rsidRPr="00192837" w14:paraId="0B37D6E2" w14:textId="77777777" w:rsidTr="006C4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pct"/>
          </w:tcPr>
          <w:p w14:paraId="73BB80CE" w14:textId="77777777" w:rsidR="006C46D4" w:rsidRPr="00192837" w:rsidRDefault="006C46D4" w:rsidP="006E3055">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Washington</w:t>
            </w:r>
          </w:p>
        </w:tc>
        <w:tc>
          <w:tcPr>
            <w:tcW w:w="885" w:type="pct"/>
          </w:tcPr>
          <w:p w14:paraId="7B494496" w14:textId="09409A91" w:rsidR="006C46D4" w:rsidRPr="00192837" w:rsidRDefault="006C46D4" w:rsidP="006E3055">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1055" w:type="pct"/>
          </w:tcPr>
          <w:p w14:paraId="44D9221B" w14:textId="77777777" w:rsidR="006C46D4" w:rsidRPr="00192837" w:rsidRDefault="006C46D4" w:rsidP="006E3055">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1239" w:type="pct"/>
          </w:tcPr>
          <w:p w14:paraId="58FE4A23" w14:textId="77777777" w:rsidR="006C46D4" w:rsidRPr="00192837" w:rsidRDefault="006C46D4" w:rsidP="006E3055">
            <w:pPr>
              <w:keepNext/>
              <w:keepLines/>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r>
      <w:tr w:rsidR="006C46D4" w:rsidRPr="00192837" w14:paraId="47EF62E3" w14:textId="77777777" w:rsidTr="006C46D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pct"/>
          </w:tcPr>
          <w:p w14:paraId="783B6095" w14:textId="77777777" w:rsidR="006C46D4" w:rsidRPr="00192837" w:rsidRDefault="006C46D4" w:rsidP="006E3055">
            <w:pPr>
              <w:keepNext/>
              <w:keepLines/>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000000"/>
                <w:sz w:val="18"/>
                <w:szCs w:val="20"/>
              </w:rPr>
            </w:pPr>
            <w:r w:rsidRPr="00192837">
              <w:rPr>
                <w:rFonts w:eastAsia="Gill Sans MT" w:cs="Times New Roman"/>
                <w:color w:val="000000"/>
                <w:sz w:val="18"/>
                <w:szCs w:val="20"/>
              </w:rPr>
              <w:t>Total</w:t>
            </w:r>
          </w:p>
        </w:tc>
        <w:tc>
          <w:tcPr>
            <w:tcW w:w="885" w:type="pct"/>
          </w:tcPr>
          <w:p w14:paraId="18F53515" w14:textId="22F20EB3" w:rsidR="006C46D4" w:rsidRPr="00192837" w:rsidRDefault="00993258" w:rsidP="006E3055">
            <w:pPr>
              <w:keepNext/>
              <w:keepLines/>
              <w:tabs>
                <w:tab w:val="clear" w:pos="280"/>
                <w:tab w:val="clear" w:pos="4800"/>
                <w:tab w:val="clear" w:pos="5780"/>
              </w:tabs>
              <w:suppressAutoHyphens w:val="0"/>
              <w:autoSpaceDE/>
              <w:autoSpaceDN/>
              <w:adjustRightInd/>
              <w:spacing w:line="264" w:lineRule="auto"/>
              <w:jc w:val="center"/>
              <w:textAlignment w:val="auto"/>
              <w:cnfStyle w:val="010000000000" w:firstRow="0" w:lastRow="1" w:firstColumn="0" w:lastColumn="0" w:oddVBand="0" w:evenVBand="0" w:oddHBand="0"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6</w:t>
            </w:r>
          </w:p>
        </w:tc>
        <w:tc>
          <w:tcPr>
            <w:tcW w:w="1055" w:type="pct"/>
          </w:tcPr>
          <w:p w14:paraId="12023156" w14:textId="4A72D987" w:rsidR="006C46D4" w:rsidRPr="00192837" w:rsidRDefault="00B51130" w:rsidP="006E3055">
            <w:pPr>
              <w:keepNext/>
              <w:keepLines/>
              <w:tabs>
                <w:tab w:val="clear" w:pos="280"/>
                <w:tab w:val="clear" w:pos="4800"/>
                <w:tab w:val="clear" w:pos="5780"/>
              </w:tabs>
              <w:suppressAutoHyphens w:val="0"/>
              <w:autoSpaceDE/>
              <w:autoSpaceDN/>
              <w:adjustRightInd/>
              <w:spacing w:line="264" w:lineRule="auto"/>
              <w:jc w:val="center"/>
              <w:textAlignment w:val="auto"/>
              <w:cnfStyle w:val="010000000000" w:firstRow="0" w:lastRow="1" w:firstColumn="0" w:lastColumn="0" w:oddVBand="0" w:evenVBand="0" w:oddHBand="0"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2</w:t>
            </w:r>
          </w:p>
        </w:tc>
        <w:tc>
          <w:tcPr>
            <w:tcW w:w="1239" w:type="pct"/>
          </w:tcPr>
          <w:p w14:paraId="792B6763" w14:textId="47595FCE" w:rsidR="006C46D4" w:rsidRPr="00192837" w:rsidRDefault="003F5AC8" w:rsidP="006E3055">
            <w:pPr>
              <w:keepNext/>
              <w:keepLines/>
              <w:tabs>
                <w:tab w:val="clear" w:pos="280"/>
                <w:tab w:val="clear" w:pos="4800"/>
                <w:tab w:val="clear" w:pos="5780"/>
              </w:tabs>
              <w:suppressAutoHyphens w:val="0"/>
              <w:autoSpaceDE/>
              <w:autoSpaceDN/>
              <w:adjustRightInd/>
              <w:spacing w:line="264" w:lineRule="auto"/>
              <w:jc w:val="center"/>
              <w:textAlignment w:val="auto"/>
              <w:cnfStyle w:val="010000000000" w:firstRow="0" w:lastRow="1" w:firstColumn="0" w:lastColumn="0" w:oddVBand="0" w:evenVBand="0" w:oddHBand="0"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1</w:t>
            </w:r>
          </w:p>
        </w:tc>
      </w:tr>
    </w:tbl>
    <w:p w14:paraId="368E66CA" w14:textId="77777777" w:rsidR="008027DC" w:rsidRDefault="008027DC" w:rsidP="006E3055">
      <w:pPr>
        <w:pStyle w:val="Tablenote"/>
        <w:keepLines/>
      </w:pPr>
      <w:r>
        <w:t>Note: Cells with no mark mean the telemedicine regulation does not explicitly mention this issue.</w:t>
      </w:r>
    </w:p>
    <w:p w14:paraId="5044A889" w14:textId="3781A9AA" w:rsidR="00192837" w:rsidRPr="00D13AF1" w:rsidRDefault="00192837" w:rsidP="006E3055">
      <w:pPr>
        <w:keepNext/>
        <w:keepLines/>
        <w:tabs>
          <w:tab w:val="clear" w:pos="280"/>
          <w:tab w:val="clear" w:pos="4800"/>
          <w:tab w:val="clear" w:pos="5780"/>
        </w:tabs>
        <w:suppressAutoHyphens w:val="0"/>
        <w:autoSpaceDE/>
        <w:autoSpaceDN/>
        <w:adjustRightInd/>
        <w:spacing w:after="120" w:line="264" w:lineRule="auto"/>
        <w:textAlignment w:val="auto"/>
        <w:rPr>
          <w:sz w:val="16"/>
          <w:szCs w:val="16"/>
        </w:rPr>
      </w:pPr>
      <w:r w:rsidRPr="00192837">
        <w:rPr>
          <w:sz w:val="16"/>
          <w:szCs w:val="16"/>
        </w:rPr>
        <w:t>Source: Europe Economics</w:t>
      </w:r>
      <w:r w:rsidRPr="00D13AF1">
        <w:rPr>
          <w:sz w:val="16"/>
          <w:szCs w:val="16"/>
        </w:rPr>
        <w:t>.</w:t>
      </w:r>
    </w:p>
    <w:p w14:paraId="57C4DF79" w14:textId="77777777" w:rsidR="0059653A" w:rsidRPr="003F01D3" w:rsidRDefault="0059653A" w:rsidP="003F01D3">
      <w:pPr>
        <w:pStyle w:val="Heading2Pink"/>
        <w:rPr>
          <w:color w:val="683493" w:themeColor="accent1"/>
        </w:rPr>
      </w:pPr>
      <w:bookmarkStart w:id="61" w:name="_Toc499025523"/>
      <w:bookmarkStart w:id="62" w:name="_Ref499133253"/>
      <w:bookmarkStart w:id="63" w:name="_Ref499307799"/>
      <w:bookmarkStart w:id="64" w:name="_Toc504484116"/>
      <w:r w:rsidRPr="003F01D3">
        <w:rPr>
          <w:color w:val="683493" w:themeColor="accent1"/>
        </w:rPr>
        <w:t>Locus of responsibility</w:t>
      </w:r>
      <w:bookmarkEnd w:id="61"/>
      <w:bookmarkEnd w:id="62"/>
      <w:bookmarkEnd w:id="63"/>
      <w:bookmarkEnd w:id="64"/>
    </w:p>
    <w:p w14:paraId="36BE07B7" w14:textId="402EB713" w:rsidR="0059653A" w:rsidRPr="00D13AF1" w:rsidRDefault="0059653A" w:rsidP="0059653A">
      <w:pPr>
        <w:pStyle w:val="BodyEE"/>
      </w:pPr>
      <w:r w:rsidRPr="00D13AF1">
        <w:t>With telemedicine services relying more heavily on technology and equipment, being provided remotely,</w:t>
      </w:r>
      <w:r w:rsidR="00853AD2">
        <w:t xml:space="preserve"> and potentially involving more than one doctor or healthcare professional in the patient’s care,</w:t>
      </w:r>
      <w:r w:rsidRPr="00D13AF1">
        <w:t xml:space="preserve"> the question of who is ultimately responsible for the diagnosis and treatment could be</w:t>
      </w:r>
      <w:r w:rsidR="006E63EA" w:rsidRPr="00D13AF1">
        <w:t xml:space="preserve"> </w:t>
      </w:r>
      <w:r w:rsidRPr="00D13AF1">
        <w:t xml:space="preserve">more complex </w:t>
      </w:r>
      <w:r w:rsidR="006E63EA" w:rsidRPr="00D13AF1">
        <w:t xml:space="preserve">than </w:t>
      </w:r>
      <w:r w:rsidRPr="00D13AF1">
        <w:t>that in standard face-to-face healthcare.</w:t>
      </w:r>
    </w:p>
    <w:p w14:paraId="333ABA64" w14:textId="3CA9832D" w:rsidR="0059653A" w:rsidRPr="00D13AF1" w:rsidRDefault="0059653A" w:rsidP="0059653A">
      <w:pPr>
        <w:pStyle w:val="BodyEE"/>
      </w:pPr>
      <w:r w:rsidRPr="00D13AF1">
        <w:t xml:space="preserve">We explored the issue of responsibility predominantly through interviews. In most jurisdictions, it seemed to be clear that where patient and doctor are in direct contact — regardless of whether the contact is face-to-face or via communication software — the consulting doctor is ultimately responsible for the diagnosis and treatment, including any problems. </w:t>
      </w:r>
    </w:p>
    <w:p w14:paraId="6F0D7008" w14:textId="26F1C1D6" w:rsidR="0059653A" w:rsidRPr="00D13AF1" w:rsidRDefault="0059653A" w:rsidP="0059653A">
      <w:pPr>
        <w:pStyle w:val="BodyEE"/>
      </w:pPr>
      <w:r w:rsidRPr="00D13AF1">
        <w:t xml:space="preserve">In cases where the patient is not in direct contact with </w:t>
      </w:r>
      <w:r w:rsidR="006E63EA" w:rsidRPr="00D13AF1">
        <w:t xml:space="preserve">a </w:t>
      </w:r>
      <w:r w:rsidRPr="00D13AF1">
        <w:t xml:space="preserve">doctor — e.g. where the telemedicine consists of a family physician (the originating doctor) consulting with a specialist — the approach is slightly more varied across regulators. For instance, the FMRAC (Canada) — while not being a regulator strictly speaking — is of the view that in general the originating doctor should be considered ultimately responsible for the outcome. Denmark — where </w:t>
      </w:r>
      <w:r w:rsidR="00853AD2">
        <w:t xml:space="preserve">the definition of </w:t>
      </w:r>
      <w:r w:rsidRPr="00D13AF1">
        <w:t xml:space="preserve">telemedicine </w:t>
      </w:r>
      <w:r w:rsidR="00853AD2">
        <w:t>covers only</w:t>
      </w:r>
      <w:r w:rsidRPr="00D13AF1">
        <w:t xml:space="preserve"> to doctor-doctor</w:t>
      </w:r>
      <w:r w:rsidR="00FC2FF9">
        <w:t xml:space="preserve"> consultations — takes</w:t>
      </w:r>
      <w:r w:rsidRPr="00D13AF1">
        <w:t xml:space="preserve"> a similar approach</w:t>
      </w:r>
      <w:r w:rsidR="00E6613B" w:rsidRPr="00D13AF1">
        <w:t>, i.e.</w:t>
      </w:r>
      <w:r w:rsidRPr="00D13AF1">
        <w:t xml:space="preserve"> the doctor who is in direct contact with the patient would be held ultimately responsible.</w:t>
      </w:r>
      <w:r w:rsidRPr="00D13AF1">
        <w:rPr>
          <w:rStyle w:val="FootnoteReference"/>
        </w:rPr>
        <w:footnoteReference w:id="46"/>
      </w:r>
    </w:p>
    <w:p w14:paraId="01157EE7" w14:textId="4C6A8629" w:rsidR="00E6613B" w:rsidRPr="00D13AF1" w:rsidRDefault="0059653A" w:rsidP="0059653A">
      <w:pPr>
        <w:pStyle w:val="BodyEE"/>
      </w:pPr>
      <w:r w:rsidRPr="00D13AF1">
        <w:t>This does not necessarily mean that the specialist to whom the originating doctor</w:t>
      </w:r>
      <w:r w:rsidR="00654B25" w:rsidRPr="00D13AF1">
        <w:t xml:space="preserve"> refer</w:t>
      </w:r>
      <w:r w:rsidRPr="00D13AF1">
        <w:t xml:space="preserve">s to is not responsible for the quality of the service/consultation he or she provides. For example in the case of </w:t>
      </w:r>
      <w:r w:rsidR="00CE1C15">
        <w:t>teleradiology</w:t>
      </w:r>
      <w:r w:rsidRPr="00D13AF1">
        <w:t>, the regulator in Saskatchewan said that the tele</w:t>
      </w:r>
      <w:r w:rsidR="00E6613B" w:rsidRPr="00D13AF1">
        <w:t>-</w:t>
      </w:r>
      <w:r w:rsidRPr="00D13AF1">
        <w:t xml:space="preserve">radiologist is considered responsible for interpreting the images (i.e. it is not the responsibility of the referring doctor), but the clinic through which the referring doctor operates needs to have a medical director who is responsible for ensuring that appropriately qualified specialists are hired, and thus is indirectly responsible for the quality of the telemedicine services obtained by the clinic. On the other hand, in North Carolina, the responsibility would be shared between both doctors. </w:t>
      </w:r>
    </w:p>
    <w:p w14:paraId="060D96D5" w14:textId="08C7517A" w:rsidR="00F02E4B" w:rsidRDefault="00F02E4B" w:rsidP="00F02E4B">
      <w:pPr>
        <w:pStyle w:val="BodyEE"/>
      </w:pPr>
      <w:r w:rsidRPr="00D13AF1">
        <w:lastRenderedPageBreak/>
        <w:t xml:space="preserve">Yet another case would be where a nurse is physically next to the patient who consults a remote doctor. The Saskatchewan regulator said that its view is that in such a case the nurse should only act within his/her scope of responsibilities, i.e. </w:t>
      </w:r>
      <w:r w:rsidRPr="00593681">
        <w:t>Saskatchewan legislation does not permit the remote doctor to delegate to the nurse action that is not within the nurse’s scope of practice as determined by the nurse’s regulatory body</w:t>
      </w:r>
      <w:r w:rsidRPr="00D13AF1">
        <w:t>. Thi</w:t>
      </w:r>
      <w:r w:rsidR="00FC2FF9">
        <w:t>s also implies that the nurses are</w:t>
      </w:r>
      <w:r w:rsidRPr="00D13AF1">
        <w:t xml:space="preserve"> only responsible for things within </w:t>
      </w:r>
      <w:r w:rsidR="00FC2FF9">
        <w:t>their</w:t>
      </w:r>
      <w:r w:rsidRPr="00D13AF1">
        <w:t xml:space="preserve"> competencies, and not the overall outcome or the doctor’s misdiagnosis, which the nurse</w:t>
      </w:r>
      <w:r w:rsidR="00FC2FF9">
        <w:t xml:space="preserve">s are </w:t>
      </w:r>
      <w:r w:rsidRPr="00D13AF1">
        <w:t xml:space="preserve">not qualified to verify. This approach could be analogous to circumstances where other healthcare professionals are engaged in telemedicine but are not the diagnosing doctor (such as staff in a care home facilitating a consultation between a patient and a doctor). </w:t>
      </w:r>
    </w:p>
    <w:p w14:paraId="2ED20997" w14:textId="14A5733D" w:rsidR="00BC6738" w:rsidRDefault="00BC6738" w:rsidP="00DB6B5B">
      <w:pPr>
        <w:pStyle w:val="Caption"/>
        <w:keepLines/>
      </w:pPr>
      <w:r>
        <w:t xml:space="preserve">Table </w:t>
      </w:r>
      <w:r w:rsidR="00000000">
        <w:fldChar w:fldCharType="begin"/>
      </w:r>
      <w:r w:rsidR="00000000">
        <w:instrText xml:space="preserve"> STYLEREF 1 \s </w:instrText>
      </w:r>
      <w:r w:rsidR="00000000">
        <w:fldChar w:fldCharType="separate"/>
      </w:r>
      <w:r w:rsidR="00B51130">
        <w:rPr>
          <w:noProof/>
        </w:rPr>
        <w:t>4</w:t>
      </w:r>
      <w:r w:rsidR="00000000">
        <w:rPr>
          <w:noProof/>
        </w:rPr>
        <w:fldChar w:fldCharType="end"/>
      </w:r>
      <w:r w:rsidR="00EF67D2">
        <w:t>.</w:t>
      </w:r>
      <w:r w:rsidR="00000000">
        <w:fldChar w:fldCharType="begin"/>
      </w:r>
      <w:r w:rsidR="00000000">
        <w:instrText xml:space="preserve"> SEQ Table \* ARABIC \s 1 </w:instrText>
      </w:r>
      <w:r w:rsidR="00000000">
        <w:fldChar w:fldCharType="separate"/>
      </w:r>
      <w:r w:rsidR="00B51130">
        <w:rPr>
          <w:noProof/>
        </w:rPr>
        <w:t>7</w:t>
      </w:r>
      <w:r w:rsidR="00000000">
        <w:rPr>
          <w:noProof/>
        </w:rPr>
        <w:fldChar w:fldCharType="end"/>
      </w:r>
      <w:r>
        <w:t>: Locus of responsibility in robotic procedures — Singapore Medical Council</w:t>
      </w:r>
    </w:p>
    <w:tbl>
      <w:tblPr>
        <w:tblStyle w:val="LightGrid-Accent1"/>
        <w:tblW w:w="0" w:type="auto"/>
        <w:shd w:val="clear" w:color="auto" w:fill="E8E8E8" w:themeFill="accent4" w:themeFillTint="33"/>
        <w:tblLook w:val="04A0" w:firstRow="1" w:lastRow="0" w:firstColumn="1" w:lastColumn="0" w:noHBand="0" w:noVBand="1"/>
      </w:tblPr>
      <w:tblGrid>
        <w:gridCol w:w="9618"/>
      </w:tblGrid>
      <w:tr w:rsidR="00BC6738" w:rsidRPr="008C0FFA" w14:paraId="446A5035" w14:textId="77777777" w:rsidTr="008C0F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4" w:type="dxa"/>
            <w:shd w:val="clear" w:color="auto" w:fill="E8E8E8" w:themeFill="accent4" w:themeFillTint="33"/>
          </w:tcPr>
          <w:p w14:paraId="4AC6B714" w14:textId="77777777" w:rsidR="00BC6738" w:rsidRPr="008C0FFA" w:rsidRDefault="00BC6738" w:rsidP="00DB6B5B">
            <w:pPr>
              <w:pStyle w:val="LongQuotePurple"/>
              <w:keepNext/>
              <w:keepLines/>
              <w:spacing w:after="0"/>
              <w:rPr>
                <w:i/>
                <w:sz w:val="22"/>
              </w:rPr>
            </w:pPr>
            <w:r w:rsidRPr="008C0FFA">
              <w:rPr>
                <w:i/>
                <w:sz w:val="22"/>
              </w:rPr>
              <w:t>If you avail your patients of robotic procedures performed by other doctors remotely, you have only delegated an aspect of care but still retain responsibility for the overall management of the patients. If you perform robotic surgery on a patient remotely, the standard of care you are required to provide to the patient is no different than if you were to perform the operation in person.</w:t>
            </w:r>
          </w:p>
        </w:tc>
      </w:tr>
    </w:tbl>
    <w:p w14:paraId="0AB3CD27" w14:textId="2626BDAB" w:rsidR="00BC6738" w:rsidRPr="00D13AF1" w:rsidRDefault="00BC6738" w:rsidP="00DB6B5B">
      <w:pPr>
        <w:pStyle w:val="Tablelastnote"/>
        <w:keepNext/>
        <w:keepLines/>
      </w:pPr>
      <w:r>
        <w:t xml:space="preserve">Source: </w:t>
      </w:r>
      <w:r w:rsidR="0022139B">
        <w:t xml:space="preserve">Singapore Medical Council, </w:t>
      </w:r>
      <w:r w:rsidR="0022139B" w:rsidRPr="0022139B">
        <w:t>Guideline A6 of the 2016 edition of the ECEG</w:t>
      </w:r>
      <w:r w:rsidR="0022139B">
        <w:t>.</w:t>
      </w:r>
    </w:p>
    <w:p w14:paraId="58C5356B" w14:textId="628A8691" w:rsidR="003502DC" w:rsidRPr="003F01D3" w:rsidRDefault="002E361B" w:rsidP="003F01D3">
      <w:pPr>
        <w:pStyle w:val="Heading2Pink"/>
        <w:rPr>
          <w:color w:val="683493" w:themeColor="accent1"/>
        </w:rPr>
      </w:pPr>
      <w:bookmarkStart w:id="65" w:name="_Ref499307802"/>
      <w:bookmarkStart w:id="66" w:name="_Toc504484117"/>
      <w:r w:rsidRPr="003F01D3">
        <w:rPr>
          <w:color w:val="683493" w:themeColor="accent1"/>
        </w:rPr>
        <w:t>Consequences of non-compliance</w:t>
      </w:r>
      <w:bookmarkEnd w:id="65"/>
      <w:bookmarkEnd w:id="66"/>
    </w:p>
    <w:p w14:paraId="7759667A" w14:textId="24794277" w:rsidR="002E361B" w:rsidRDefault="005E2C20" w:rsidP="002E361B">
      <w:pPr>
        <w:pStyle w:val="BodyEE"/>
      </w:pPr>
      <w:r w:rsidRPr="00D13AF1">
        <w:t>As mentioned in section</w:t>
      </w:r>
      <w:r w:rsidR="002E361B" w:rsidRPr="00D13AF1">
        <w:t xml:space="preserve"> </w:t>
      </w:r>
      <w:r w:rsidRPr="00D13AF1">
        <w:fldChar w:fldCharType="begin"/>
      </w:r>
      <w:r w:rsidRPr="00D13AF1">
        <w:instrText xml:space="preserve"> REF _Ref499538008 \r \h </w:instrText>
      </w:r>
      <w:r w:rsidRPr="00D13AF1">
        <w:fldChar w:fldCharType="separate"/>
      </w:r>
      <w:r w:rsidR="00B51130">
        <w:t>2.2</w:t>
      </w:r>
      <w:r w:rsidRPr="00D13AF1">
        <w:fldChar w:fldCharType="end"/>
      </w:r>
      <w:r w:rsidRPr="00D13AF1">
        <w:t xml:space="preserve"> </w:t>
      </w:r>
      <w:r w:rsidR="002E361B" w:rsidRPr="00D13AF1">
        <w:t xml:space="preserve">the requirements </w:t>
      </w:r>
      <w:r w:rsidR="001F1961" w:rsidRPr="00D13AF1">
        <w:t xml:space="preserve">discussed above </w:t>
      </w:r>
      <w:r w:rsidR="002E361B" w:rsidRPr="00D13AF1">
        <w:t xml:space="preserve">might vary in the degree to which they are </w:t>
      </w:r>
      <w:proofErr w:type="gramStart"/>
      <w:r w:rsidR="002E361B" w:rsidRPr="00D13AF1">
        <w:t>binding</w:t>
      </w:r>
      <w:proofErr w:type="gramEnd"/>
      <w:r w:rsidR="002E361B" w:rsidRPr="00D13AF1">
        <w:t xml:space="preserve"> and the potential </w:t>
      </w:r>
      <w:r w:rsidR="001F1961" w:rsidRPr="00D13AF1">
        <w:t>repercussions d</w:t>
      </w:r>
      <w:r w:rsidR="002E361B" w:rsidRPr="00D13AF1">
        <w:t xml:space="preserve">octors </w:t>
      </w:r>
      <w:r w:rsidR="001F1961" w:rsidRPr="00D13AF1">
        <w:t xml:space="preserve">might face as a result of </w:t>
      </w:r>
      <w:r w:rsidR="002E361B" w:rsidRPr="00D13AF1">
        <w:t>no</w:t>
      </w:r>
      <w:r w:rsidR="001F1961" w:rsidRPr="00D13AF1">
        <w:t>n-</w:t>
      </w:r>
      <w:r w:rsidR="002E361B" w:rsidRPr="00D13AF1">
        <w:t>compl</w:t>
      </w:r>
      <w:r w:rsidR="001F1961" w:rsidRPr="00D13AF1">
        <w:t>iance.</w:t>
      </w:r>
      <w:r w:rsidR="00DB6B5B">
        <w:t xml:space="preserve"> Based on the evidence gathered, we consider there to be three general categories of requirements, wit</w:t>
      </w:r>
      <w:r w:rsidR="00FC2FF9">
        <w:t>h varying degrees of enforcement</w:t>
      </w:r>
      <w:r w:rsidR="00DB6B5B">
        <w:t>:</w:t>
      </w:r>
    </w:p>
    <w:p w14:paraId="635B0D34" w14:textId="6A040A5F" w:rsidR="00DB6B5B" w:rsidRDefault="00DB6B5B" w:rsidP="00DB6B5B">
      <w:pPr>
        <w:pStyle w:val="Bulletlevel1"/>
      </w:pPr>
      <w:r>
        <w:t>Requirements imposed by law. These are requirements imposed by law</w:t>
      </w:r>
      <w:r w:rsidR="00FC2FF9">
        <w:t xml:space="preserve"> and upheld by regulators</w:t>
      </w:r>
      <w:r>
        <w:t xml:space="preserve">. Violation of these requirements is illegal and a criminal offence. An example could be the legal requirement to have a licence in order to practise medicine.   </w:t>
      </w:r>
    </w:p>
    <w:p w14:paraId="70923B0B" w14:textId="148A69EB" w:rsidR="00DB6B5B" w:rsidRDefault="00DB6B5B" w:rsidP="00DB6B5B">
      <w:pPr>
        <w:pStyle w:val="Bulletlevel1"/>
      </w:pPr>
      <w:r>
        <w:t>Standards. Standards are imposed by regulators and usually reflect the minimum standards expected in medical practice.</w:t>
      </w:r>
      <w:r w:rsidR="00F721DC">
        <w:t xml:space="preserve"> Standards are usually binding and a condition of continued licensing / registration</w:t>
      </w:r>
      <w:r w:rsidR="00A2787F">
        <w:t xml:space="preserve">. </w:t>
      </w:r>
      <w:r w:rsidR="00692027">
        <w:t>Some regulators state that their Standards reflect legal requirements, and that they are enforceable by law. Therefore a</w:t>
      </w:r>
      <w:r w:rsidR="00A2787F">
        <w:t xml:space="preserve"> professional not upholding the regulators’ standards may not be acting illegally, but may be disciplined and struck off the register </w:t>
      </w:r>
      <w:r w:rsidR="00692027">
        <w:t xml:space="preserve">by the regulator. </w:t>
      </w:r>
      <w:r w:rsidR="00A2787F">
        <w:t xml:space="preserve"> </w:t>
      </w:r>
    </w:p>
    <w:p w14:paraId="75C9A0F8" w14:textId="3D12A0C8" w:rsidR="00DB6B5B" w:rsidRPr="00D13AF1" w:rsidRDefault="00532BAD" w:rsidP="00DB6B5B">
      <w:pPr>
        <w:pStyle w:val="Bulletlevel1"/>
      </w:pPr>
      <w:r>
        <w:t>Guidelines</w:t>
      </w:r>
      <w:r w:rsidR="00FC2FF9">
        <w:t xml:space="preserve"> and codes of conduct</w:t>
      </w:r>
      <w:r>
        <w:t>. These are generally conside</w:t>
      </w:r>
      <w:r w:rsidR="00FC2FF9">
        <w:t>red to be non-binding, and can reflect</w:t>
      </w:r>
      <w:r>
        <w:t xml:space="preserve"> best practice.  </w:t>
      </w:r>
    </w:p>
    <w:p w14:paraId="131C3F0B" w14:textId="118AA730" w:rsidR="007646C2" w:rsidRPr="00D13AF1" w:rsidRDefault="007646C2" w:rsidP="007646C2">
      <w:pPr>
        <w:pStyle w:val="Heading3"/>
      </w:pPr>
      <w:r w:rsidRPr="00D13AF1">
        <w:t>Licensing requirements</w:t>
      </w:r>
    </w:p>
    <w:p w14:paraId="7FFD5F23" w14:textId="13285479" w:rsidR="00654B25" w:rsidRPr="00D13AF1" w:rsidRDefault="00654B25" w:rsidP="00654B25">
      <w:pPr>
        <w:pStyle w:val="BodyEE"/>
      </w:pPr>
      <w:r w:rsidRPr="00D13AF1">
        <w:t xml:space="preserve">In general, the most indisputable and binding requirement is to be licensed or registered </w:t>
      </w:r>
      <w:r w:rsidR="00E6613B" w:rsidRPr="00D13AF1">
        <w:t>to practi</w:t>
      </w:r>
      <w:r w:rsidR="006E0E48">
        <w:t>s</w:t>
      </w:r>
      <w:r w:rsidR="00E6613B" w:rsidRPr="00D13AF1">
        <w:t xml:space="preserve">e </w:t>
      </w:r>
      <w:r w:rsidRPr="00D13AF1">
        <w:t>with the relevant regulator.</w:t>
      </w:r>
      <w:r w:rsidRPr="00D13AF1">
        <w:rPr>
          <w:rStyle w:val="FootnoteReference"/>
        </w:rPr>
        <w:footnoteReference w:id="47"/>
      </w:r>
      <w:r w:rsidRPr="00D13AF1">
        <w:t xml:space="preserve"> In the interviews with the </w:t>
      </w:r>
      <w:r w:rsidR="00996726">
        <w:t>USA</w:t>
      </w:r>
      <w:r w:rsidRPr="00D13AF1">
        <w:t xml:space="preserve"> and Canadian regulators, it became clear that compliance with the ‘local’ licensing requirements is generally not a problem. In the </w:t>
      </w:r>
      <w:r w:rsidR="00996726">
        <w:t>USA</w:t>
      </w:r>
      <w:r w:rsidRPr="00D13AF1">
        <w:t xml:space="preserve"> it is against the law to practi</w:t>
      </w:r>
      <w:r w:rsidR="006E0E48">
        <w:t>s</w:t>
      </w:r>
      <w:r w:rsidRPr="00D13AF1">
        <w:t xml:space="preserve">e medicine without a </w:t>
      </w:r>
      <w:r w:rsidR="00E6613B" w:rsidRPr="00D13AF1">
        <w:t>l</w:t>
      </w:r>
      <w:r w:rsidR="00CE1C15">
        <w:t>icen</w:t>
      </w:r>
      <w:r w:rsidR="006E0E48">
        <w:t>c</w:t>
      </w:r>
      <w:r w:rsidR="00E6613B" w:rsidRPr="00D13AF1">
        <w:t>e</w:t>
      </w:r>
      <w:r w:rsidRPr="00D13AF1">
        <w:t>, which — combined with the understanding that medical services (including telemedicine) are occurring where the patient is located — implies that providing telemedicine services to a patient without the relevant ‘local’ licen</w:t>
      </w:r>
      <w:r w:rsidR="006E0E48">
        <w:t>c</w:t>
      </w:r>
      <w:r w:rsidRPr="00D13AF1">
        <w:t>e is a criminal offen</w:t>
      </w:r>
      <w:r w:rsidR="001F5B33">
        <w:t>c</w:t>
      </w:r>
      <w:r w:rsidRPr="00D13AF1">
        <w:t>e, and thus — if uncovered — could have serious consequences</w:t>
      </w:r>
      <w:r w:rsidR="00853AD2">
        <w:t xml:space="preserve"> for the doctor (i.e. criminal proceedings)</w:t>
      </w:r>
      <w:r w:rsidRPr="00D13AF1">
        <w:t xml:space="preserve">. </w:t>
      </w:r>
    </w:p>
    <w:p w14:paraId="3637AE83" w14:textId="1D0E285A" w:rsidR="00654B25" w:rsidRPr="00D13AF1" w:rsidRDefault="00654B25" w:rsidP="00654B25">
      <w:pPr>
        <w:pStyle w:val="BodyEE"/>
      </w:pPr>
      <w:r w:rsidRPr="00D13AF1">
        <w:t>Furthermore, doctors providing remote services to patients via healthcare institutions are unlikely to violate the licensing requirements of that local jurisdiction. First, doctors will need a ‘local’ licen</w:t>
      </w:r>
      <w:r w:rsidR="006E0E48">
        <w:t>c</w:t>
      </w:r>
      <w:r w:rsidRPr="00D13AF1">
        <w:t xml:space="preserve">e to obtain </w:t>
      </w:r>
      <w:r w:rsidR="001931FB" w:rsidRPr="00D13AF1">
        <w:t>benefits</w:t>
      </w:r>
      <w:r w:rsidRPr="00D13AF1">
        <w:t xml:space="preserve"> from the institution which hires them to provide the remote services. Second, hospitals and other healthcare </w:t>
      </w:r>
      <w:r w:rsidRPr="00D13AF1">
        <w:lastRenderedPageBreak/>
        <w:t>providers generally want to avoid the liability associated with employing an unlicensed (remote) healthcare practitioner. Finally, hospitals have to comply with a number of standards to obtain accreditation (and receive payment) so they tend to be careful about hiring someone who is unlicensed. So despite the fact that healthcare providers are not directly responsible for ensuring all their remote healthcare practitioners hold appropriate licen</w:t>
      </w:r>
      <w:r w:rsidR="00672924">
        <w:t>c</w:t>
      </w:r>
      <w:r w:rsidRPr="00D13AF1">
        <w:t xml:space="preserve">es, in practice they create additional layer of oversight. </w:t>
      </w:r>
    </w:p>
    <w:p w14:paraId="112EA78B" w14:textId="736A757F" w:rsidR="00654B25" w:rsidRPr="00D13AF1" w:rsidRDefault="00654B25" w:rsidP="00654B25">
      <w:pPr>
        <w:pStyle w:val="BodyEE"/>
      </w:pPr>
      <w:r w:rsidRPr="00D13AF1">
        <w:t xml:space="preserve">This additional layer of oversight might be effective as a healthcare provider is likely to ensure its remotely employed doctors hold appropriate </w:t>
      </w:r>
      <w:r w:rsidR="00391000">
        <w:t>licen</w:t>
      </w:r>
      <w:r w:rsidR="00672924">
        <w:t>c</w:t>
      </w:r>
      <w:r w:rsidR="00447BD7" w:rsidRPr="00D13AF1">
        <w:t xml:space="preserve">es </w:t>
      </w:r>
      <w:r w:rsidRPr="00D13AF1">
        <w:t xml:space="preserve">in advance of employing them (i.e. proactively rather than retroactively in response to a complaint) and because a healthcare provider would monitor in this way not only doctors based in the </w:t>
      </w:r>
      <w:r w:rsidR="00996726">
        <w:t>USA</w:t>
      </w:r>
      <w:r w:rsidRPr="00D13AF1">
        <w:t xml:space="preserve"> but also abroad.</w:t>
      </w:r>
    </w:p>
    <w:p w14:paraId="45DE2BB4" w14:textId="4D8DFC1D" w:rsidR="00654B25" w:rsidRPr="00D13AF1" w:rsidRDefault="00654B25" w:rsidP="00654B25">
      <w:pPr>
        <w:pStyle w:val="BodyEE"/>
      </w:pPr>
      <w:r w:rsidRPr="00D13AF1">
        <w:t xml:space="preserve">Despite the claims that telemedicine licensing requirements are generally complied with in the </w:t>
      </w:r>
      <w:r w:rsidR="00996726">
        <w:t>USA</w:t>
      </w:r>
      <w:r w:rsidRPr="00D13AF1">
        <w:t xml:space="preserve"> and Canada, some regulators admitted that — especially in cases where doctors are based outside the </w:t>
      </w:r>
      <w:r w:rsidR="00996726">
        <w:t>USA</w:t>
      </w:r>
      <w:r w:rsidRPr="00D13AF1">
        <w:t xml:space="preserve"> and Canada, respectively — it is virtually impossible for the regulators to know whether those requirements are always adhered to</w:t>
      </w:r>
      <w:r w:rsidR="00F70549">
        <w:t>, i.e. whether doctors practi</w:t>
      </w:r>
      <w:r w:rsidR="00672924">
        <w:t>s</w:t>
      </w:r>
      <w:r w:rsidR="00FC2FF9">
        <w:t>ing remotely hold a licenc</w:t>
      </w:r>
      <w:r w:rsidR="00F70549">
        <w:t>e</w:t>
      </w:r>
      <w:r w:rsidRPr="00D13AF1">
        <w:t xml:space="preserve">. In both countries, as well as in New Zealand, the regulators generally adopt a complaint-based approach, which means that they </w:t>
      </w:r>
      <w:r w:rsidR="00FC2FF9">
        <w:t xml:space="preserve">usually only </w:t>
      </w:r>
      <w:r w:rsidRPr="00D13AF1">
        <w:t>investigate individual doctors and their registration/licen</w:t>
      </w:r>
      <w:r w:rsidR="00672924">
        <w:t>s</w:t>
      </w:r>
      <w:r w:rsidRPr="00D13AF1">
        <w:t xml:space="preserve">ed status </w:t>
      </w:r>
      <w:r w:rsidR="00FC2FF9">
        <w:t>with the relevant regulator</w:t>
      </w:r>
      <w:r w:rsidRPr="00D13AF1">
        <w:t xml:space="preserve"> in response to a complaint.</w:t>
      </w:r>
    </w:p>
    <w:p w14:paraId="2E6C6F94" w14:textId="248D9604" w:rsidR="00176B97" w:rsidRDefault="00654B25" w:rsidP="00654B25">
      <w:pPr>
        <w:pStyle w:val="BodyEE"/>
      </w:pPr>
      <w:r w:rsidRPr="00D13AF1">
        <w:t>From a practical point of view, several of our interviewees suggested that</w:t>
      </w:r>
      <w:r w:rsidR="00176B97">
        <w:t xml:space="preserve"> addressing cases of non-compliance will vary case-to-case. For example, there might be an escalation process whereby even if the non-compliance represented an infringement of law (such as </w:t>
      </w:r>
      <w:r w:rsidR="00D372F4">
        <w:t>a foreign</w:t>
      </w:r>
      <w:r w:rsidR="00176B97">
        <w:t xml:space="preserve"> doctor practising telemedicine without a local licence), the local regulator wouldn’t necessarily initiate criminal proceedings in the first instance but rather would try to resolve the matter first. One interviewee in the USA noted that in such </w:t>
      </w:r>
      <w:r w:rsidR="00176B97" w:rsidRPr="00D13AF1">
        <w:t xml:space="preserve">cases it is </w:t>
      </w:r>
      <w:r w:rsidR="00176B97">
        <w:t xml:space="preserve">often </w:t>
      </w:r>
      <w:r w:rsidR="00176B97" w:rsidRPr="00D13AF1">
        <w:t xml:space="preserve">quicker and more effective to work with </w:t>
      </w:r>
      <w:r w:rsidR="00176B97">
        <w:t>the offending doctor and the regulator who has direct jurisdiction over them</w:t>
      </w:r>
      <w:r w:rsidR="00176B97" w:rsidRPr="00D13AF1">
        <w:t xml:space="preserve"> (including non-</w:t>
      </w:r>
      <w:r w:rsidR="00176B97">
        <w:t>USA regulators</w:t>
      </w:r>
      <w:r w:rsidR="00176B97" w:rsidRPr="00D13AF1">
        <w:t>) to address the problem</w:t>
      </w:r>
      <w:r w:rsidR="00176B97">
        <w:t>, rather</w:t>
      </w:r>
      <w:r w:rsidR="00176B97" w:rsidRPr="00D13AF1">
        <w:t xml:space="preserve"> than to formally notify appropriate agencies and attorney generals about the violation of </w:t>
      </w:r>
      <w:r w:rsidR="00176B97">
        <w:t>USA</w:t>
      </w:r>
      <w:r w:rsidR="00176B97" w:rsidRPr="00D13AF1">
        <w:t xml:space="preserve"> law</w:t>
      </w:r>
      <w:r w:rsidR="00176B97">
        <w:t xml:space="preserve">. </w:t>
      </w:r>
    </w:p>
    <w:p w14:paraId="590547FB" w14:textId="39428735" w:rsidR="00654B25" w:rsidRPr="00D13AF1" w:rsidRDefault="00697F12" w:rsidP="00654B25">
      <w:pPr>
        <w:pStyle w:val="BodyEE"/>
      </w:pPr>
      <w:r w:rsidRPr="00D13AF1">
        <w:t xml:space="preserve">The </w:t>
      </w:r>
      <w:r w:rsidR="00654B25" w:rsidRPr="00D13AF1">
        <w:t>global reach of the Internet means that</w:t>
      </w:r>
      <w:r w:rsidRPr="00D13AF1">
        <w:t>, regardless of whether a local licen</w:t>
      </w:r>
      <w:r w:rsidR="00672924">
        <w:t>c</w:t>
      </w:r>
      <w:r w:rsidRPr="00D13AF1">
        <w:t>e is required or not,</w:t>
      </w:r>
      <w:r w:rsidR="00447BD7" w:rsidRPr="00D13AF1">
        <w:t xml:space="preserve"> </w:t>
      </w:r>
      <w:r w:rsidR="00654B25" w:rsidRPr="00D13AF1">
        <w:t>cooperation and collaboration between countries and regulators (which effectively have a national reach at most) becomes vital in ensuring that technology is safely used in providing medical care. Similarly, the FSMB argued that educating the public about their rights and responsibilities, and physicians about the regulation they should adhere to, could go a long way in successful application of telemedicine.</w:t>
      </w:r>
    </w:p>
    <w:p w14:paraId="3AA75ECC" w14:textId="77777777" w:rsidR="00654B25" w:rsidRPr="00D13AF1" w:rsidRDefault="00654B25" w:rsidP="00654B25">
      <w:pPr>
        <w:pStyle w:val="Heading3"/>
      </w:pPr>
      <w:r w:rsidRPr="00D13AF1">
        <w:t>Requirements and standards for telemedicine services</w:t>
      </w:r>
    </w:p>
    <w:p w14:paraId="41EC8031" w14:textId="0BB4F83B" w:rsidR="00654B25" w:rsidRPr="00D13AF1" w:rsidRDefault="00654B25" w:rsidP="00654B25">
      <w:pPr>
        <w:pStyle w:val="BodyEE"/>
      </w:pPr>
      <w:r w:rsidRPr="00D13AF1">
        <w:t xml:space="preserve">Requirements other than licensing </w:t>
      </w:r>
      <w:r w:rsidR="00522D76">
        <w:t xml:space="preserve">can be </w:t>
      </w:r>
      <w:r w:rsidRPr="00D13AF1">
        <w:t>harder to enforce (this would presumably be a feature of any medical professional regulation, not just relating to telemedicine). Many of the interviewed regulators indicated that</w:t>
      </w:r>
      <w:r w:rsidR="00522D76">
        <w:t>, although their standards were binding,</w:t>
      </w:r>
      <w:r w:rsidRPr="00D13AF1">
        <w:t xml:space="preserve"> adherence to those standards is not proactively monitored but rather investigated on case-by-case basis in response to complaints. Since a majority (if not all) of the ‘telemedicine’ requirements are in fact consistent with the requirements applicable to standard healthcare services, the violation of those requirements could be generally considered not to be specific to telemedicine per se. </w:t>
      </w:r>
    </w:p>
    <w:p w14:paraId="28FEA79A" w14:textId="77777777" w:rsidR="00654B25" w:rsidRDefault="00654B25" w:rsidP="00654B25">
      <w:pPr>
        <w:pStyle w:val="BodyEE"/>
      </w:pPr>
      <w:r w:rsidRPr="00D13AF1">
        <w:t>When discussing potential repercussions for non-compliance with the requirements and standards relevant for telemedicine, many regulators stressed once again that these would be heavily case-dependent. If the case under investigation is the first one for that doctor and/or represents a mild deviation from the standards, the regulator would normally arrange a meeting with the doctor to discuss the case, explain the regulator’s view, and provide the doctor with the relevant information for the future practice of telemedicine. More serious or repeated offenders would normally be violating more than just the relevant telemedicine requirements.</w:t>
      </w:r>
    </w:p>
    <w:p w14:paraId="51DC701E" w14:textId="6CB198E2" w:rsidR="00C62F40" w:rsidRPr="003F01D3" w:rsidRDefault="00C62F40" w:rsidP="00C62F40">
      <w:pPr>
        <w:pStyle w:val="Heading1"/>
      </w:pPr>
      <w:bookmarkStart w:id="67" w:name="_Ref499307801"/>
      <w:bookmarkStart w:id="68" w:name="_Toc504484118"/>
      <w:r w:rsidRPr="003F01D3">
        <w:lastRenderedPageBreak/>
        <w:t xml:space="preserve">Challenges in </w:t>
      </w:r>
      <w:r w:rsidR="00003D4D">
        <w:t>R</w:t>
      </w:r>
      <w:r w:rsidRPr="003F01D3">
        <w:t xml:space="preserve">egulating </w:t>
      </w:r>
      <w:r w:rsidR="00003D4D">
        <w:t>T</w:t>
      </w:r>
      <w:r w:rsidRPr="003F01D3">
        <w:t>elemedicine</w:t>
      </w:r>
      <w:bookmarkEnd w:id="67"/>
      <w:bookmarkEnd w:id="68"/>
      <w:r w:rsidRPr="003F01D3">
        <w:t xml:space="preserve"> </w:t>
      </w:r>
    </w:p>
    <w:p w14:paraId="10C61D59" w14:textId="77777777" w:rsidR="00C62F40" w:rsidRPr="00D13AF1" w:rsidRDefault="00C62F40" w:rsidP="00C62F40">
      <w:pPr>
        <w:pStyle w:val="BodyEE"/>
      </w:pPr>
      <w:r w:rsidRPr="00D13AF1">
        <w:t xml:space="preserve">In the interviews we explored the key challenges faced by the regulators. The main concern seemed to be ensuring the same standard of care in telemedicine as in more traditional medical services. In Australia, one of the regulators noted that the main challenge of telemedicine is to determine in which cases teleconsultation is sufficient for a full assessment. (However, in our view this may be analogous to other aspects of medical regulation in which the regulator must allow the professional sufficient scope to determine the best methods/treatment etc. — regulators generally stipulate broad principles that professionals must abide by without specifying details for every area of practice.)  </w:t>
      </w:r>
    </w:p>
    <w:p w14:paraId="1B609FC6" w14:textId="3F982268" w:rsidR="00C62F40" w:rsidRPr="00D13AF1" w:rsidRDefault="00C62F40" w:rsidP="00C62F40">
      <w:pPr>
        <w:pStyle w:val="BodyEE"/>
      </w:pPr>
      <w:r w:rsidRPr="00D13AF1">
        <w:t xml:space="preserve">Moreover, as noted by </w:t>
      </w:r>
      <w:r w:rsidR="00715636">
        <w:t>one USA regulator</w:t>
      </w:r>
      <w:r w:rsidRPr="00D13AF1">
        <w:t xml:space="preserve">, monitoring the standard of care provided via telemedicine and identifying/addressing low standards may be more difficult compared to face-to-face services. One reason is that patients </w:t>
      </w:r>
      <w:r w:rsidR="00A36AB0">
        <w:t>may have</w:t>
      </w:r>
      <w:r w:rsidRPr="00D13AF1">
        <w:t xml:space="preserve"> lower expectations regarding the quality of telemedicine services than face-to-face services. Patients often use telemedicine only for specific purposes (e.g. sensitive issues which they find embarrassing and would prefer not to discuss with their primary care provider), and thus do not expect comprehensive care. Moreover, patients are often willing to accept lower standards of care if the medical service is provided immediately. Since the </w:t>
      </w:r>
      <w:r w:rsidR="00996726">
        <w:t>USA</w:t>
      </w:r>
      <w:r w:rsidRPr="00D13AF1">
        <w:t xml:space="preserve"> regulatory model is</w:t>
      </w:r>
      <w:r w:rsidR="00A36AB0">
        <w:t xml:space="preserve"> predominantly complaint-based</w:t>
      </w:r>
      <w:r w:rsidRPr="00D13AF1">
        <w:t xml:space="preserve"> if, because of low expectations, patients do not complain about poor standard</w:t>
      </w:r>
      <w:r w:rsidR="00A36AB0">
        <w:t>s</w:t>
      </w:r>
      <w:r w:rsidRPr="00D13AF1">
        <w:t xml:space="preserve"> of received care, the regulator is unable to take any action to prevent such situations in the future. This means that the standards of care in relation to telemedicine may well be lower than for traditional delivery methods due to reduced market discipline –– certainly the </w:t>
      </w:r>
      <w:r w:rsidR="00A36AB0">
        <w:t>interviewee</w:t>
      </w:r>
      <w:r w:rsidRPr="00D13AF1">
        <w:t xml:space="preserve"> felt this to be the case but as yet did not have evidence (i.e. in the form of complaints</w:t>
      </w:r>
      <w:r w:rsidR="00FD3ADF">
        <w:t xml:space="preserve"> or other research</w:t>
      </w:r>
      <w:r w:rsidRPr="00D13AF1">
        <w:t xml:space="preserve">) to formally back this up.  </w:t>
      </w:r>
    </w:p>
    <w:p w14:paraId="64DE2A7F" w14:textId="77777777" w:rsidR="00C62F40" w:rsidRPr="00D13AF1" w:rsidRDefault="00C62F40" w:rsidP="00C62F40">
      <w:pPr>
        <w:pStyle w:val="BodyEE"/>
      </w:pPr>
      <w:r w:rsidRPr="00D13AF1">
        <w:t>Some of the Canadian provinces are concerned with the fact that with telemedicine services could be provided in an isolated, fragmented manner, which could create health risks for the patients. This is most relevant in cases where patients — due to the sensitive nature of their condition for example — do not agree for the medical records taken during the tele-consultation to be shared with their primary care provider.</w:t>
      </w:r>
    </w:p>
    <w:p w14:paraId="3A11337D" w14:textId="77777777" w:rsidR="00C62F40" w:rsidRPr="00D13AF1" w:rsidRDefault="00C62F40" w:rsidP="00C62F40">
      <w:pPr>
        <w:pStyle w:val="BodyEE"/>
      </w:pPr>
      <w:r w:rsidRPr="00D13AF1">
        <w:t>For similar reasons, the regulators in Saskatchewan and British Columbia (Canada) noted that the “entrepreneurial side of telemedicine” (e.g. online pharmacies, dermatology advice) is where ensuring high quality and comprehensiveness of healthcare becomes challenging from a regulatory point of view.</w:t>
      </w:r>
    </w:p>
    <w:p w14:paraId="5E04D9D8" w14:textId="77777777" w:rsidR="00C62F40" w:rsidRPr="00D13AF1" w:rsidRDefault="00C62F40" w:rsidP="00654B25">
      <w:pPr>
        <w:pStyle w:val="BodyEE"/>
      </w:pPr>
    </w:p>
    <w:p w14:paraId="34642B4D" w14:textId="297A3608" w:rsidR="00D31800" w:rsidRPr="00D13AF1" w:rsidRDefault="00D31800" w:rsidP="00D31800">
      <w:pPr>
        <w:pStyle w:val="Heading1"/>
      </w:pPr>
      <w:bookmarkStart w:id="69" w:name="_Ref499306976"/>
      <w:bookmarkStart w:id="70" w:name="_Toc504484119"/>
      <w:r w:rsidRPr="00D13AF1">
        <w:lastRenderedPageBreak/>
        <w:t>Regulating Remote Services in Other Industries</w:t>
      </w:r>
      <w:bookmarkEnd w:id="69"/>
      <w:bookmarkEnd w:id="70"/>
    </w:p>
    <w:p w14:paraId="741B2365" w14:textId="2E3E15BE" w:rsidR="002E293B" w:rsidRPr="00D13AF1" w:rsidRDefault="002E293B" w:rsidP="002E293B">
      <w:pPr>
        <w:pStyle w:val="BodyEE"/>
      </w:pPr>
      <w:r w:rsidRPr="00D13AF1">
        <w:t xml:space="preserve">Using ICT for providing services at a distance is not unique to medicine and many other professions such as financial, legal, or engineering services have benefitted from the ICT development. In this section we review </w:t>
      </w:r>
      <w:r w:rsidR="0082175F">
        <w:t xml:space="preserve">associate </w:t>
      </w:r>
      <w:r w:rsidRPr="00D13AF1">
        <w:t>guidance and policies by relevant regulatory bodies and professional associations</w:t>
      </w:r>
      <w:r w:rsidR="0082175F">
        <w:t xml:space="preserve">. </w:t>
      </w:r>
      <w:r w:rsidRPr="00D13AF1">
        <w:t>More specifically, we have reviewed the following professions:</w:t>
      </w:r>
    </w:p>
    <w:p w14:paraId="5029CC2E" w14:textId="3B93B512" w:rsidR="002E293B" w:rsidRPr="00D13AF1" w:rsidRDefault="00C91D7C" w:rsidP="002E293B">
      <w:pPr>
        <w:pStyle w:val="Bulletlevel1"/>
        <w:ind w:left="284" w:hanging="284"/>
      </w:pPr>
      <w:r>
        <w:t>e</w:t>
      </w:r>
      <w:r w:rsidR="002E293B" w:rsidRPr="00D13AF1">
        <w:t xml:space="preserve">ngineering, </w:t>
      </w:r>
    </w:p>
    <w:p w14:paraId="6E8AEF87" w14:textId="19605F3D" w:rsidR="002E293B" w:rsidRPr="00D13AF1" w:rsidRDefault="00C91D7C" w:rsidP="002E293B">
      <w:pPr>
        <w:pStyle w:val="Bulletlevel1"/>
        <w:ind w:left="284" w:hanging="284"/>
      </w:pPr>
      <w:r>
        <w:t>s</w:t>
      </w:r>
      <w:r w:rsidR="002E293B" w:rsidRPr="00D13AF1">
        <w:t xml:space="preserve">urveying, and </w:t>
      </w:r>
    </w:p>
    <w:p w14:paraId="631400AE" w14:textId="00714627" w:rsidR="002E293B" w:rsidRPr="00D13AF1" w:rsidRDefault="00C91D7C" w:rsidP="002E293B">
      <w:pPr>
        <w:pStyle w:val="Bulletlevel1"/>
        <w:ind w:left="284" w:hanging="284"/>
      </w:pPr>
      <w:r>
        <w:t>legal advice.</w:t>
      </w:r>
    </w:p>
    <w:p w14:paraId="116B101F" w14:textId="1ED4F60A" w:rsidR="002E293B" w:rsidRPr="00D13AF1" w:rsidRDefault="002E293B" w:rsidP="002E293B">
      <w:pPr>
        <w:pStyle w:val="BodyEE"/>
      </w:pPr>
      <w:r w:rsidRPr="00D13AF1">
        <w:t xml:space="preserve">We base on findings on desk research, </w:t>
      </w:r>
      <w:r w:rsidR="0082175F">
        <w:t xml:space="preserve">a </w:t>
      </w:r>
      <w:r w:rsidRPr="00D13AF1">
        <w:t>review of relevant professional guidance and interviews with representatives of professional regulatory bodies.</w:t>
      </w:r>
    </w:p>
    <w:p w14:paraId="535620DE" w14:textId="77777777" w:rsidR="002E293B" w:rsidRPr="003F01D3" w:rsidRDefault="002E293B" w:rsidP="003F01D3">
      <w:pPr>
        <w:pStyle w:val="Heading2Pink"/>
        <w:rPr>
          <w:color w:val="683493" w:themeColor="accent1"/>
        </w:rPr>
      </w:pPr>
      <w:bookmarkStart w:id="71" w:name="_Toc504484120"/>
      <w:r w:rsidRPr="003F01D3">
        <w:rPr>
          <w:color w:val="683493" w:themeColor="accent1"/>
        </w:rPr>
        <w:t>Engineering</w:t>
      </w:r>
      <w:bookmarkEnd w:id="71"/>
    </w:p>
    <w:p w14:paraId="2A37D9EA" w14:textId="6482065A" w:rsidR="002E293B" w:rsidRPr="00D13AF1" w:rsidRDefault="002E293B" w:rsidP="002E293B">
      <w:pPr>
        <w:pStyle w:val="BodyEE"/>
      </w:pPr>
      <w:r w:rsidRPr="00D13AF1">
        <w:t xml:space="preserve">The </w:t>
      </w:r>
      <w:r w:rsidRPr="00D13AF1">
        <w:rPr>
          <w:rStyle w:val="EmphasisPurpleChar"/>
        </w:rPr>
        <w:t>UK’s Engineering Council</w:t>
      </w:r>
      <w:r w:rsidRPr="00D13AF1">
        <w:t xml:space="preserve"> is the main </w:t>
      </w:r>
      <w:r w:rsidRPr="00D13AF1">
        <w:rPr>
          <w:rStyle w:val="EmphasisPurpleChar"/>
        </w:rPr>
        <w:t>regulatory body for the engineering profession</w:t>
      </w:r>
      <w:r w:rsidRPr="00D13AF1">
        <w:t>. We reviewed the Engineering Council’s Standards</w:t>
      </w:r>
      <w:r w:rsidRPr="00D13AF1">
        <w:rPr>
          <w:rStyle w:val="FootnoteReference"/>
        </w:rPr>
        <w:footnoteReference w:id="48"/>
      </w:r>
      <w:r w:rsidRPr="00D13AF1">
        <w:t xml:space="preserve"> that define registration process and competence requirements and Guidance</w:t>
      </w:r>
      <w:r w:rsidRPr="00D13AF1">
        <w:rPr>
          <w:rStyle w:val="FootnoteReference"/>
        </w:rPr>
        <w:footnoteReference w:id="49"/>
      </w:r>
      <w:r w:rsidRPr="00D13AF1">
        <w:t xml:space="preserve"> that deal with ethics, risk, security, and sustainability. We also held short conversation</w:t>
      </w:r>
      <w:r w:rsidR="00D04FDE">
        <w:t>s</w:t>
      </w:r>
      <w:r w:rsidRPr="00D13AF1">
        <w:t xml:space="preserve"> with the </w:t>
      </w:r>
      <w:r w:rsidRPr="00D13AF1">
        <w:rPr>
          <w:rStyle w:val="EmphasisPurpleChar"/>
        </w:rPr>
        <w:t xml:space="preserve">Engineering Council </w:t>
      </w:r>
      <w:r w:rsidRPr="00D13AF1">
        <w:t>and</w:t>
      </w:r>
      <w:r w:rsidRPr="00D13AF1">
        <w:rPr>
          <w:rStyle w:val="EmphasisPurpleChar"/>
        </w:rPr>
        <w:t xml:space="preserve"> the Institution of Engineering and Technology</w:t>
      </w:r>
      <w:r w:rsidRPr="00D13AF1">
        <w:t xml:space="preserve"> (one of 35 professional bo</w:t>
      </w:r>
      <w:r w:rsidR="00D829C1">
        <w:t>dies</w:t>
      </w:r>
      <w:r w:rsidRPr="00D13AF1">
        <w:t xml:space="preserve"> for engineers).</w:t>
      </w:r>
      <w:r w:rsidRPr="00D13AF1">
        <w:rPr>
          <w:rStyle w:val="FootnoteReference"/>
        </w:rPr>
        <w:footnoteReference w:id="50"/>
      </w:r>
      <w:r w:rsidRPr="00D13AF1">
        <w:t xml:space="preserve"> </w:t>
      </w:r>
    </w:p>
    <w:p w14:paraId="14FA0EB0" w14:textId="26404E7B" w:rsidR="00EA4154" w:rsidRPr="00D13AF1" w:rsidRDefault="00EA4154" w:rsidP="00EA4154">
      <w:pPr>
        <w:pStyle w:val="BodyEE"/>
      </w:pPr>
      <w:r w:rsidRPr="00D13AF1">
        <w:t>Examples of remote services range from basic remote IT support, to equipment monitoring and maintenance services using ICT, and complex technical work involving devices (measurement tools, manipulators, robots, etc.</w:t>
      </w:r>
      <w:r w:rsidR="00A65CAA">
        <w:t>) controlled by an engineer in</w:t>
      </w:r>
      <w:r w:rsidRPr="00D13AF1">
        <w:t xml:space="preserve"> another location.</w:t>
      </w:r>
      <w:r w:rsidR="00D00AF1">
        <w:t xml:space="preserve"> </w:t>
      </w:r>
      <w:r w:rsidR="00D00AF1" w:rsidRPr="00EA4154">
        <w:t xml:space="preserve">Remote engineering might be </w:t>
      </w:r>
      <w:r w:rsidR="003A67B1">
        <w:t>a preferred option where there are</w:t>
      </w:r>
      <w:r w:rsidR="00D00AF1" w:rsidRPr="00EA4154">
        <w:t xml:space="preserve"> additional health and safety risks, e.g. nuclear power sites, or for sites that might be difficult to reach, e.g. underwater works</w:t>
      </w:r>
      <w:r w:rsidR="00A65CAA">
        <w:t>.</w:t>
      </w:r>
      <w:r w:rsidR="00D00AF1">
        <w:rPr>
          <w:rStyle w:val="FootnoteReference"/>
        </w:rPr>
        <w:t xml:space="preserve"> </w:t>
      </w:r>
    </w:p>
    <w:p w14:paraId="3BAFA3C0" w14:textId="4A26C5CE" w:rsidR="002E293B" w:rsidRPr="00D13AF1" w:rsidRDefault="002E293B" w:rsidP="002E293B">
      <w:pPr>
        <w:pStyle w:val="BodyEE"/>
      </w:pPr>
      <w:r w:rsidRPr="00D13AF1">
        <w:t>There seems to be no recognised definition of remote engineering services. An internet search suggests that remote services happen when the engineer located in one place uses ICT to work on a technical assignment or system located elsewhere</w:t>
      </w:r>
      <w:r w:rsidR="00A65CAA">
        <w:t xml:space="preserve"> (with</w:t>
      </w:r>
      <w:r w:rsidR="00366231">
        <w:t xml:space="preserve"> or without support of engineers at the remote site). </w:t>
      </w:r>
      <w:r w:rsidRPr="00D13AF1">
        <w:t xml:space="preserve"> </w:t>
      </w:r>
      <w:r w:rsidR="00366231">
        <w:t xml:space="preserve">As </w:t>
      </w:r>
      <w:r w:rsidR="00A65CAA">
        <w:t xml:space="preserve">with </w:t>
      </w:r>
      <w:r w:rsidR="00366231">
        <w:t>any other engineering problem, a rem</w:t>
      </w:r>
      <w:r w:rsidR="00A65CAA">
        <w:t>ote engineering service</w:t>
      </w:r>
      <w:r w:rsidRPr="00D13AF1">
        <w:t xml:space="preserve"> would involve some degree of problem-specific thinking and searching for a solution, and in this respect, it would resemble telemedicine.</w:t>
      </w:r>
    </w:p>
    <w:p w14:paraId="458F06CD" w14:textId="405F28AB" w:rsidR="002E293B" w:rsidRPr="00D13AF1" w:rsidRDefault="00603D17" w:rsidP="002E293B">
      <w:pPr>
        <w:pStyle w:val="BodyEE"/>
      </w:pPr>
      <w:r>
        <w:t>I</w:t>
      </w:r>
      <w:r w:rsidR="00EA4154">
        <w:t xml:space="preserve">t </w:t>
      </w:r>
      <w:r>
        <w:t xml:space="preserve">also </w:t>
      </w:r>
      <w:r w:rsidR="00EA4154">
        <w:t xml:space="preserve">seems that </w:t>
      </w:r>
      <w:r w:rsidR="002E293B" w:rsidRPr="00D13AF1">
        <w:t xml:space="preserve">there is no special guidance for providing </w:t>
      </w:r>
      <w:r>
        <w:t>remote engineering services — a</w:t>
      </w:r>
      <w:r w:rsidR="002E293B" w:rsidRPr="00D13AF1">
        <w:t>ll rules and recommendations apply</w:t>
      </w:r>
      <w:r w:rsidR="00EA4154">
        <w:t xml:space="preserve"> to remote services</w:t>
      </w:r>
      <w:r w:rsidR="002E293B" w:rsidRPr="00D13AF1">
        <w:t xml:space="preserve"> as if </w:t>
      </w:r>
      <w:r w:rsidR="00EA4154">
        <w:t xml:space="preserve">they </w:t>
      </w:r>
      <w:r w:rsidR="002E293B" w:rsidRPr="00D13AF1">
        <w:t>w</w:t>
      </w:r>
      <w:r w:rsidR="00366231">
        <w:t>ere</w:t>
      </w:r>
      <w:r w:rsidR="002E293B" w:rsidRPr="00D13AF1">
        <w:t xml:space="preserve"> provided on site.</w:t>
      </w:r>
    </w:p>
    <w:p w14:paraId="1B04C27D" w14:textId="77777777" w:rsidR="002E293B" w:rsidRPr="003F01D3" w:rsidRDefault="002E293B" w:rsidP="003F01D3">
      <w:pPr>
        <w:pStyle w:val="Heading2Pink"/>
        <w:rPr>
          <w:color w:val="683493" w:themeColor="accent1"/>
        </w:rPr>
      </w:pPr>
      <w:bookmarkStart w:id="72" w:name="_Toc504484121"/>
      <w:r w:rsidRPr="003F01D3">
        <w:rPr>
          <w:color w:val="683493" w:themeColor="accent1"/>
        </w:rPr>
        <w:t>Surveying</w:t>
      </w:r>
      <w:bookmarkEnd w:id="72"/>
    </w:p>
    <w:p w14:paraId="560C0F79" w14:textId="4C7F3F7C" w:rsidR="008D5F90" w:rsidRDefault="002E293B" w:rsidP="002E293B">
      <w:pPr>
        <w:pStyle w:val="BodyEE"/>
      </w:pPr>
      <w:r w:rsidRPr="00D13AF1">
        <w:t xml:space="preserve">The </w:t>
      </w:r>
      <w:r w:rsidRPr="00D13AF1">
        <w:rPr>
          <w:rStyle w:val="EmphasisPurpleChar"/>
        </w:rPr>
        <w:t>Royal Institute of Chartered Surveyor</w:t>
      </w:r>
      <w:r w:rsidR="00A65CAA">
        <w:rPr>
          <w:rStyle w:val="EmphasisPurpleChar"/>
        </w:rPr>
        <w:t>s</w:t>
      </w:r>
      <w:r w:rsidRPr="00D13AF1">
        <w:t xml:space="preserve"> (RICS) is the regulatory professional body for UK-based surveyors. </w:t>
      </w:r>
    </w:p>
    <w:p w14:paraId="73449CA1" w14:textId="5B453867" w:rsidR="00EA4154" w:rsidRPr="00EA4154" w:rsidRDefault="00EA4154" w:rsidP="002E293B">
      <w:pPr>
        <w:pStyle w:val="BodyEE"/>
        <w:rPr>
          <w:rFonts w:ascii="Times New Roman" w:hAnsi="Times New Roman"/>
        </w:rPr>
      </w:pPr>
      <w:r w:rsidRPr="00D13AF1">
        <w:lastRenderedPageBreak/>
        <w:t>A simple internet search indicates that companies providing remote services tend to use ICT and remotely controlled devices to survey a building or a plot of land. For example, a client might send photos of the building to the surveyor who would analyse the quality of construction work and materials used and provide recommendations on the property value or potential repairs. Another example of remote services would be</w:t>
      </w:r>
      <w:r w:rsidR="00A65CAA">
        <w:t xml:space="preserve"> the</w:t>
      </w:r>
      <w:r w:rsidRPr="00D13AF1">
        <w:t xml:space="preserve"> use of video-drones to examine a high building without installing scaffolding or using high-altitude workers. </w:t>
      </w:r>
      <w:r w:rsidR="00A65CAA">
        <w:t>Similar</w:t>
      </w:r>
      <w:r>
        <w:t xml:space="preserve"> to certain applications of telemedicine, t</w:t>
      </w:r>
      <w:r w:rsidRPr="00D13AF1">
        <w:t>he quality of remote surveying advice would depend critically on the quality of images sent by the client or acquired by the drone.</w:t>
      </w:r>
    </w:p>
    <w:p w14:paraId="20A5EAFC" w14:textId="3390AAE4" w:rsidR="002E293B" w:rsidRPr="00D13AF1" w:rsidRDefault="008C4BAA" w:rsidP="002E293B">
      <w:pPr>
        <w:pStyle w:val="BodyEE"/>
      </w:pPr>
      <w:r>
        <w:t>That said, b</w:t>
      </w:r>
      <w:r w:rsidR="00124EF5">
        <w:t xml:space="preserve">ased on the </w:t>
      </w:r>
      <w:r w:rsidR="0003566E">
        <w:t xml:space="preserve">RICS </w:t>
      </w:r>
      <w:r w:rsidR="00124EF5">
        <w:t>‘</w:t>
      </w:r>
      <w:r w:rsidR="002E293B" w:rsidRPr="00D13AF1">
        <w:t>Rules of conduct</w:t>
      </w:r>
      <w:r w:rsidR="00124EF5">
        <w:t>’</w:t>
      </w:r>
      <w:r w:rsidR="002E293B" w:rsidRPr="00D13AF1">
        <w:t xml:space="preserve"> for individual members and firms</w:t>
      </w:r>
      <w:r w:rsidR="00F9200C">
        <w:t>’</w:t>
      </w:r>
      <w:r w:rsidR="00124EF5">
        <w:t>,</w:t>
      </w:r>
      <w:r w:rsidR="0003566E">
        <w:rPr>
          <w:rStyle w:val="FootnoteReference"/>
        </w:rPr>
        <w:footnoteReference w:id="51"/>
      </w:r>
      <w:r w:rsidR="00124EF5">
        <w:t xml:space="preserve"> it appears that t</w:t>
      </w:r>
      <w:r w:rsidR="00A65CAA">
        <w:t>he RICS has</w:t>
      </w:r>
      <w:r w:rsidR="002E293B" w:rsidRPr="00D13AF1">
        <w:t xml:space="preserve"> no definition of remote services nor specific guidance on the providing them.</w:t>
      </w:r>
    </w:p>
    <w:p w14:paraId="3518930B" w14:textId="281699E2" w:rsidR="002E293B" w:rsidRPr="003F01D3" w:rsidRDefault="008C3909" w:rsidP="003F01D3">
      <w:pPr>
        <w:pStyle w:val="Heading2Pink"/>
        <w:rPr>
          <w:color w:val="683493" w:themeColor="accent1"/>
        </w:rPr>
      </w:pPr>
      <w:bookmarkStart w:id="73" w:name="_Toc504484122"/>
      <w:r w:rsidRPr="003F01D3">
        <w:rPr>
          <w:color w:val="683493" w:themeColor="accent1"/>
        </w:rPr>
        <w:t>Legal advice</w:t>
      </w:r>
      <w:bookmarkEnd w:id="73"/>
    </w:p>
    <w:p w14:paraId="167E6431" w14:textId="1AD684F2" w:rsidR="00B66827" w:rsidRDefault="00B66827" w:rsidP="002E293B">
      <w:pPr>
        <w:pStyle w:val="BodyEE"/>
      </w:pPr>
      <w:r>
        <w:t xml:space="preserve">The </w:t>
      </w:r>
      <w:r w:rsidRPr="003A67B1">
        <w:rPr>
          <w:rStyle w:val="EmphasisPurpleChar"/>
        </w:rPr>
        <w:t>Solicitors Regulation Authority</w:t>
      </w:r>
      <w:r>
        <w:t xml:space="preserve"> (SRA) is </w:t>
      </w:r>
      <w:r w:rsidRPr="00470550">
        <w:t>the regulatory body for solicitors in England and Wales</w:t>
      </w:r>
      <w:r>
        <w:t>. The SRA established the SRA Innovate initiat</w:t>
      </w:r>
      <w:r w:rsidR="003A67B1">
        <w:t>ive</w:t>
      </w:r>
      <w:r>
        <w:t xml:space="preserve"> to review and support innovative practices in the legal services industry</w:t>
      </w:r>
      <w:r w:rsidR="00CF63E3">
        <w:t xml:space="preserve">, such as online services or </w:t>
      </w:r>
      <w:r w:rsidR="003A67B1">
        <w:t>one-stop</w:t>
      </w:r>
      <w:r w:rsidR="00CF63E3" w:rsidRPr="00CF63E3">
        <w:t xml:space="preserve"> packaging</w:t>
      </w:r>
      <w:r w:rsidR="00CF63E3">
        <w:t>.</w:t>
      </w:r>
      <w:r w:rsidR="00CF63E3">
        <w:rPr>
          <w:rStyle w:val="FootnoteReference"/>
        </w:rPr>
        <w:footnoteReference w:id="52"/>
      </w:r>
      <w:r w:rsidR="00CF63E3">
        <w:t xml:space="preserve"> H</w:t>
      </w:r>
      <w:r>
        <w:t xml:space="preserve">owever, </w:t>
      </w:r>
      <w:r w:rsidR="00CF63E3">
        <w:t>the SRA</w:t>
      </w:r>
      <w:r>
        <w:t xml:space="preserve"> has made no special regulatory provisions for remote</w:t>
      </w:r>
      <w:r w:rsidR="002850B3">
        <w:t xml:space="preserve"> </w:t>
      </w:r>
      <w:r>
        <w:t>legal services</w:t>
      </w:r>
      <w:r w:rsidR="00CF63E3">
        <w:t xml:space="preserve"> </w:t>
      </w:r>
      <w:r w:rsidR="002850B3">
        <w:t xml:space="preserve">(e.g. </w:t>
      </w:r>
      <w:r w:rsidR="0029460E">
        <w:t xml:space="preserve">via </w:t>
      </w:r>
      <w:r w:rsidR="002850B3">
        <w:t xml:space="preserve">email, telephone or video conferences) or automated legal solutions (e.g. online legal packages), </w:t>
      </w:r>
      <w:r w:rsidR="00CF63E3">
        <w:t>in</w:t>
      </w:r>
      <w:r w:rsidR="00056EDC">
        <w:t xml:space="preserve"> its</w:t>
      </w:r>
      <w:r w:rsidR="00F34325">
        <w:t xml:space="preserve"> Principles or the</w:t>
      </w:r>
      <w:r w:rsidR="00CF63E3">
        <w:t xml:space="preserve"> Code of Conduc</w:t>
      </w:r>
      <w:r w:rsidR="00F34325">
        <w:t>t</w:t>
      </w:r>
      <w:r w:rsidR="0028795E">
        <w:t>.</w:t>
      </w:r>
    </w:p>
    <w:p w14:paraId="0ACDE5B7" w14:textId="345851BD" w:rsidR="002E293B" w:rsidRPr="00470550" w:rsidRDefault="00F34325" w:rsidP="002E293B">
      <w:pPr>
        <w:pStyle w:val="BodyEE"/>
      </w:pPr>
      <w:r>
        <w:t>By contrast, t</w:t>
      </w:r>
      <w:r w:rsidR="002E293B" w:rsidRPr="00D13AF1">
        <w:t xml:space="preserve">he </w:t>
      </w:r>
      <w:r w:rsidR="002E293B" w:rsidRPr="00D13AF1">
        <w:rPr>
          <w:rStyle w:val="EmphasisPurpleChar"/>
        </w:rPr>
        <w:t>Law Society</w:t>
      </w:r>
      <w:r w:rsidR="002E293B" w:rsidRPr="00D13AF1">
        <w:t xml:space="preserve"> </w:t>
      </w:r>
      <w:r>
        <w:t xml:space="preserve">which </w:t>
      </w:r>
      <w:r w:rsidR="002E293B" w:rsidRPr="00470550">
        <w:t xml:space="preserve">is the </w:t>
      </w:r>
      <w:r w:rsidR="002F6A34">
        <w:t>representative</w:t>
      </w:r>
      <w:r w:rsidR="002F6A34" w:rsidRPr="00470550">
        <w:t xml:space="preserve"> </w:t>
      </w:r>
      <w:r w:rsidR="002E293B" w:rsidRPr="00470550">
        <w:t>body for solicitors in England and Wales</w:t>
      </w:r>
      <w:r w:rsidR="00056EDC">
        <w:t>,</w:t>
      </w:r>
      <w:r>
        <w:t xml:space="preserve"> </w:t>
      </w:r>
      <w:r w:rsidR="008038F7">
        <w:t xml:space="preserve">has </w:t>
      </w:r>
      <w:r>
        <w:t>published a p</w:t>
      </w:r>
      <w:r w:rsidRPr="00470550">
        <w:t>ractice note on semi-automated online services</w:t>
      </w:r>
      <w:r w:rsidR="002E293B" w:rsidRPr="00470550">
        <w:t>.</w:t>
      </w:r>
      <w:r w:rsidRPr="00470550">
        <w:rPr>
          <w:rStyle w:val="FootnoteReference"/>
        </w:rPr>
        <w:footnoteReference w:id="53"/>
      </w:r>
      <w:r w:rsidR="002E293B" w:rsidRPr="00470550">
        <w:t xml:space="preserve"> </w:t>
      </w:r>
      <w:r>
        <w:t xml:space="preserve">The </w:t>
      </w:r>
      <w:r w:rsidR="002660ED">
        <w:t>document</w:t>
      </w:r>
      <w:r>
        <w:t xml:space="preserve"> describes th</w:t>
      </w:r>
      <w:r w:rsidRPr="00470550">
        <w:t>e Law Society's view of good practice</w:t>
      </w:r>
      <w:r>
        <w:t xml:space="preserve"> in cases where </w:t>
      </w:r>
      <w:r w:rsidRPr="00470550">
        <w:t xml:space="preserve">legal services </w:t>
      </w:r>
      <w:r>
        <w:t xml:space="preserve">are provided </w:t>
      </w:r>
      <w:r w:rsidRPr="00470550">
        <w:t>electronically with little or no human intervention</w:t>
      </w:r>
      <w:r>
        <w:t xml:space="preserve">. </w:t>
      </w:r>
      <w:r w:rsidR="002E293B" w:rsidRPr="00470550">
        <w:t xml:space="preserve">We reviewed </w:t>
      </w:r>
      <w:r>
        <w:t>the practice note</w:t>
      </w:r>
      <w:r w:rsidR="002E293B" w:rsidRPr="00470550">
        <w:t xml:space="preserve"> </w:t>
      </w:r>
      <w:r>
        <w:t xml:space="preserve">and </w:t>
      </w:r>
      <w:r w:rsidR="002E293B" w:rsidRPr="00470550">
        <w:t xml:space="preserve">further explored the topic in the interview with them. </w:t>
      </w:r>
      <w:r w:rsidR="00B2726D" w:rsidRPr="00470550">
        <w:t>The practice notes are not bi</w:t>
      </w:r>
      <w:r w:rsidR="00056EDC">
        <w:t>n</w:t>
      </w:r>
      <w:r w:rsidR="00B2726D" w:rsidRPr="00470550">
        <w:t>ding or compulsory, rather they represent the view of the Law Society on good practice. When there is a complaint against a legal professional, the practice note would represent a model against which the conduct of legal professional would be assessed.</w:t>
      </w:r>
    </w:p>
    <w:p w14:paraId="10F5E588" w14:textId="222303DF" w:rsidR="002E293B" w:rsidRPr="00D13AF1" w:rsidRDefault="008D5F90" w:rsidP="008D5F90">
      <w:pPr>
        <w:pStyle w:val="BodyEE"/>
      </w:pPr>
      <w:r w:rsidRPr="00470550">
        <w:t>Semi-automated service</w:t>
      </w:r>
      <w:r w:rsidR="000C006E" w:rsidRPr="00470550">
        <w:t>s</w:t>
      </w:r>
      <w:r w:rsidRPr="00470550">
        <w:t xml:space="preserve"> in the context of legal advice</w:t>
      </w:r>
      <w:r w:rsidR="00056EDC">
        <w:t xml:space="preserve"> are not simply electronic communication, but refer to online </w:t>
      </w:r>
      <w:r w:rsidR="002E293B" w:rsidRPr="00470550">
        <w:t>tools and automated</w:t>
      </w:r>
      <w:r w:rsidR="00056EDC">
        <w:t xml:space="preserve"> technologies that provide</w:t>
      </w:r>
      <w:r w:rsidR="002E293B" w:rsidRPr="00D13AF1">
        <w:t xml:space="preserve"> solution</w:t>
      </w:r>
      <w:r w:rsidR="00056EDC">
        <w:t>s to clients’</w:t>
      </w:r>
      <w:r w:rsidR="002E293B" w:rsidRPr="00D13AF1">
        <w:t xml:space="preserve"> legal problem</w:t>
      </w:r>
      <w:r w:rsidR="00056EDC">
        <w:t xml:space="preserve">s (rather like an automated decision tree based on algorithms). </w:t>
      </w:r>
      <w:r w:rsidR="002E293B" w:rsidRPr="00D13AF1">
        <w:t>The automate</w:t>
      </w:r>
      <w:r w:rsidR="008C4BAA">
        <w:t>d</w:t>
      </w:r>
      <w:r w:rsidR="002E293B" w:rsidRPr="00D13AF1">
        <w:t xml:space="preserve"> answer </w:t>
      </w:r>
      <w:r w:rsidR="008F0517">
        <w:t>can sometimes be</w:t>
      </w:r>
      <w:r w:rsidR="008C4BAA">
        <w:t xml:space="preserve"> </w:t>
      </w:r>
      <w:r w:rsidR="002E293B" w:rsidRPr="00D13AF1">
        <w:t xml:space="preserve">verified by a solicitor to ensure the key elements of the problem and the risks are properly considered </w:t>
      </w:r>
      <w:r w:rsidR="008F0517">
        <w:t>by the tools</w:t>
      </w:r>
      <w:r w:rsidR="002E293B" w:rsidRPr="00D13AF1">
        <w:t>. Examples of semi-automated services include automated preparation of legal documents (e.g. wills) or uncontested online divorce</w:t>
      </w:r>
      <w:r w:rsidR="000C006E">
        <w:t>s</w:t>
      </w:r>
      <w:r w:rsidR="002E293B" w:rsidRPr="00D13AF1">
        <w:t>.</w:t>
      </w:r>
      <w:r w:rsidR="00D21381">
        <w:t xml:space="preserve"> </w:t>
      </w:r>
      <w:r w:rsidR="005502B5">
        <w:t xml:space="preserve">Our interviewee from the Law Society </w:t>
      </w:r>
      <w:r w:rsidR="00D21381">
        <w:t xml:space="preserve">suggested that semi-automated services could be as good or in some cases even better than the traditional services </w:t>
      </w:r>
      <w:r w:rsidR="005502B5">
        <w:t>(</w:t>
      </w:r>
      <w:r w:rsidR="00D21381">
        <w:t xml:space="preserve">as they can </w:t>
      </w:r>
      <w:r w:rsidR="005502B5">
        <w:t xml:space="preserve">make use of the wealth of accumulated knowledge) but are also subject to certain risks. </w:t>
      </w:r>
      <w:r w:rsidR="008F0517">
        <w:t>These</w:t>
      </w:r>
      <w:r w:rsidR="002E293B" w:rsidRPr="00D13AF1">
        <w:t xml:space="preserve"> risks are </w:t>
      </w:r>
      <w:r w:rsidR="005502B5">
        <w:t xml:space="preserve">broadly </w:t>
      </w:r>
      <w:r w:rsidR="009C136F">
        <w:t>associated with:</w:t>
      </w:r>
      <w:r w:rsidR="002E293B" w:rsidRPr="00D13AF1">
        <w:t xml:space="preserve"> </w:t>
      </w:r>
      <w:r w:rsidR="009C136F">
        <w:t xml:space="preserve">(1) </w:t>
      </w:r>
      <w:r w:rsidR="007A6933" w:rsidRPr="00D13AF1">
        <w:t>i</w:t>
      </w:r>
      <w:r w:rsidR="002E293B" w:rsidRPr="00D13AF1">
        <w:t>dentify</w:t>
      </w:r>
      <w:r w:rsidR="008C4BAA">
        <w:t>ing</w:t>
      </w:r>
      <w:r w:rsidR="002E293B" w:rsidRPr="00D13AF1">
        <w:t xml:space="preserve"> the client and the problem, and </w:t>
      </w:r>
      <w:r w:rsidR="009C136F">
        <w:t xml:space="preserve">(2) </w:t>
      </w:r>
      <w:r w:rsidR="007A6933" w:rsidRPr="00D13AF1">
        <w:t>d</w:t>
      </w:r>
      <w:r w:rsidR="002E293B" w:rsidRPr="00D13AF1">
        <w:t>ealing with the problem</w:t>
      </w:r>
      <w:r>
        <w:t xml:space="preserve"> itself</w:t>
      </w:r>
      <w:r w:rsidR="002E293B" w:rsidRPr="00D13AF1">
        <w:t>.</w:t>
      </w:r>
    </w:p>
    <w:p w14:paraId="44733C4B" w14:textId="1AB9BA22" w:rsidR="002E293B" w:rsidRPr="00D13AF1" w:rsidRDefault="002E293B" w:rsidP="002E293B">
      <w:pPr>
        <w:pStyle w:val="BodyEE"/>
      </w:pPr>
      <w:r w:rsidRPr="00D13AF1">
        <w:t>If the remote legal service is provided entirely via a standardised interface, there is a risk of incorrectly identifying the client’</w:t>
      </w:r>
      <w:r w:rsidR="00F9200C">
        <w:t>s</w:t>
      </w:r>
      <w:r w:rsidRPr="00D13AF1">
        <w:t xml:space="preserve"> </w:t>
      </w:r>
      <w:r w:rsidR="009C136F">
        <w:t xml:space="preserve">identity </w:t>
      </w:r>
      <w:r w:rsidRPr="00D13AF1">
        <w:t>and his legal rights (</w:t>
      </w:r>
      <w:r w:rsidR="008C4BAA">
        <w:t>which could be especially important</w:t>
      </w:r>
      <w:r w:rsidRPr="00D13AF1">
        <w:t xml:space="preserve"> in case of vulnerable clients). Therefore, the Law Society recommends some degree of direct personal interaction, to assess the client’s vulnerability and avoid undue influence or impersonation.</w:t>
      </w:r>
    </w:p>
    <w:p w14:paraId="0B726466" w14:textId="3B447D54" w:rsidR="005108BD" w:rsidRDefault="000C006E" w:rsidP="002E293B">
      <w:pPr>
        <w:pStyle w:val="BodyEE"/>
      </w:pPr>
      <w:r>
        <w:t>The second type of risk</w:t>
      </w:r>
      <w:r w:rsidR="002E293B" w:rsidRPr="00D13AF1">
        <w:t xml:space="preserve"> relates to the </w:t>
      </w:r>
      <w:r w:rsidR="009C136F">
        <w:t xml:space="preserve">automated </w:t>
      </w:r>
      <w:r w:rsidR="002E293B" w:rsidRPr="00D13AF1">
        <w:t>legal solution</w:t>
      </w:r>
      <w:r w:rsidR="008038F7">
        <w:t>s</w:t>
      </w:r>
      <w:r w:rsidR="002E293B" w:rsidRPr="00D13AF1">
        <w:t xml:space="preserve">. It is important to understand that the semi-automated services rely on complex </w:t>
      </w:r>
      <w:r w:rsidR="00744D8A">
        <w:t>decision-trees</w:t>
      </w:r>
      <w:r w:rsidR="005108BD">
        <w:t>,</w:t>
      </w:r>
      <w:r w:rsidR="009C136F">
        <w:t xml:space="preserve"> </w:t>
      </w:r>
      <w:r w:rsidR="005108BD">
        <w:t xml:space="preserve">and it is not obvious </w:t>
      </w:r>
      <w:r w:rsidR="00D93C32">
        <w:t>to what extent</w:t>
      </w:r>
      <w:r w:rsidR="005108BD">
        <w:t xml:space="preserve"> solicitors need to verify </w:t>
      </w:r>
      <w:r w:rsidR="00D93C32">
        <w:t>the path along the decision tree in each case.</w:t>
      </w:r>
      <w:r w:rsidR="00DC773A">
        <w:rPr>
          <w:rStyle w:val="FootnoteReference"/>
        </w:rPr>
        <w:footnoteReference w:id="54"/>
      </w:r>
      <w:r w:rsidR="00D93C32">
        <w:t xml:space="preserve"> As semi-automated solutions evolve (potentially taking </w:t>
      </w:r>
      <w:r w:rsidR="00D93C32">
        <w:lastRenderedPageBreak/>
        <w:t>advantage of machine learning) and become virtually impenetrable for individual solicitors, it will become even more challenging to ensure transparency and to determine accountability</w:t>
      </w:r>
      <w:r w:rsidR="00D21381">
        <w:t>.</w:t>
      </w:r>
      <w:r w:rsidR="004E33D1">
        <w:t xml:space="preserve"> </w:t>
      </w:r>
      <w:r w:rsidR="00D21381">
        <w:t xml:space="preserve">The Law Society is </w:t>
      </w:r>
      <w:r w:rsidR="00CB27A5">
        <w:t>currently considering what kind of governance processes would be necessary in such cases.</w:t>
      </w:r>
    </w:p>
    <w:p w14:paraId="19575351" w14:textId="58DCA4F1" w:rsidR="002E293B" w:rsidRPr="00D13AF1" w:rsidRDefault="002E293B" w:rsidP="002E293B">
      <w:pPr>
        <w:pStyle w:val="BodyEE"/>
      </w:pPr>
      <w:r w:rsidRPr="00D13AF1">
        <w:t xml:space="preserve">When compared to telemedicine, the requirement of direct interaction between the client and the legal professional is similar to the </w:t>
      </w:r>
      <w:r w:rsidR="000B06FE">
        <w:t xml:space="preserve">discussion around establishing a patient-doctor relationship. </w:t>
      </w:r>
      <w:r w:rsidRPr="00D13AF1">
        <w:t xml:space="preserve">Further, the issue of undue influence or impersonation in the legal profession resembles the issues of informed consent and patient’s identity in many telemedicine policies. The issue of correct algorithms </w:t>
      </w:r>
      <w:r w:rsidR="00B463F5">
        <w:t xml:space="preserve">(and </w:t>
      </w:r>
      <w:r w:rsidR="00416690">
        <w:t>when it is appropriate to fully rely on them and when a</w:t>
      </w:r>
      <w:r w:rsidR="000B06FE">
        <w:t xml:space="preserve"> qualified person </w:t>
      </w:r>
      <w:r w:rsidR="00416690">
        <w:t xml:space="preserve">should monitor the outcome) </w:t>
      </w:r>
      <w:r w:rsidR="00B463F5">
        <w:t xml:space="preserve">could in turn be related to online pharmacies where prescriptions </w:t>
      </w:r>
      <w:r w:rsidR="00416690">
        <w:t xml:space="preserve">are </w:t>
      </w:r>
      <w:r w:rsidR="00B463F5">
        <w:t>issued based on a standardised questionnaire</w:t>
      </w:r>
      <w:r w:rsidR="00416690">
        <w:t>.</w:t>
      </w:r>
    </w:p>
    <w:p w14:paraId="46240F0F" w14:textId="77777777" w:rsidR="002E293B" w:rsidRPr="003F01D3" w:rsidRDefault="002E293B" w:rsidP="003F01D3">
      <w:pPr>
        <w:pStyle w:val="Heading2Pink"/>
        <w:rPr>
          <w:color w:val="683493" w:themeColor="accent1"/>
        </w:rPr>
      </w:pPr>
      <w:bookmarkStart w:id="74" w:name="_Toc504484123"/>
      <w:r w:rsidRPr="003F01D3">
        <w:rPr>
          <w:color w:val="683493" w:themeColor="accent1"/>
        </w:rPr>
        <w:t>Summary</w:t>
      </w:r>
      <w:bookmarkEnd w:id="74"/>
    </w:p>
    <w:p w14:paraId="70629AF9" w14:textId="09C61DDB" w:rsidR="002E293B" w:rsidRDefault="002E293B" w:rsidP="002E293B">
      <w:pPr>
        <w:pStyle w:val="BodyEE"/>
      </w:pPr>
      <w:r w:rsidRPr="00D13AF1">
        <w:t>The use of remote service</w:t>
      </w:r>
      <w:r w:rsidR="00C428FB">
        <w:t>s</w:t>
      </w:r>
      <w:r w:rsidRPr="00D13AF1">
        <w:t xml:space="preserve"> and formal regulations varies between industries.</w:t>
      </w:r>
      <w:r w:rsidR="008038F7">
        <w:t xml:space="preserve"> Most</w:t>
      </w:r>
      <w:r w:rsidRPr="00D13AF1">
        <w:t xml:space="preserve"> professional regulators do</w:t>
      </w:r>
      <w:r w:rsidR="008C3723">
        <w:t xml:space="preserve"> not have any specific policies relating to the regulation of remote services</w:t>
      </w:r>
      <w:r w:rsidRPr="00D13AF1">
        <w:t>. By contrast, the Law Society pr</w:t>
      </w:r>
      <w:r w:rsidR="008038F7">
        <w:t>ovides detailed guidance for automated</w:t>
      </w:r>
      <w:r w:rsidRPr="00D13AF1">
        <w:t xml:space="preserve"> ICT-based services as the legal services, in principle, deal with complex personal issues and may impact profoundly the client’s quality of life.</w:t>
      </w:r>
    </w:p>
    <w:p w14:paraId="29A62417" w14:textId="4862E511" w:rsidR="00446A3C" w:rsidRDefault="00446A3C" w:rsidP="002E293B">
      <w:pPr>
        <w:pStyle w:val="BodyEE"/>
      </w:pPr>
      <w:r>
        <w:t xml:space="preserve">With respect to telemedicine, </w:t>
      </w:r>
      <w:r w:rsidR="00940563">
        <w:t>several</w:t>
      </w:r>
      <w:r>
        <w:t xml:space="preserve"> lessons can be drawn</w:t>
      </w:r>
      <w:r w:rsidR="009C7C5D">
        <w:t xml:space="preserve"> from the (non-)regulation of remote services in other industries</w:t>
      </w:r>
      <w:r w:rsidR="00BB4FA6">
        <w:t xml:space="preserve">. These are largely a confirmation of requirements already in place in some jurisdictions, rather than providing new insights into regulatory approaches. </w:t>
      </w:r>
    </w:p>
    <w:p w14:paraId="5171A832" w14:textId="29D3A241" w:rsidR="00B72953" w:rsidRDefault="008038F7" w:rsidP="008038F7">
      <w:pPr>
        <w:pStyle w:val="Bulletlevel1"/>
      </w:pPr>
      <w:r>
        <w:t>The lack of a clear definition of tele-services among these regulators suggests that</w:t>
      </w:r>
      <w:r w:rsidR="00B72953">
        <w:t xml:space="preserve"> these do not</w:t>
      </w:r>
      <w:r w:rsidRPr="00D13AF1">
        <w:t xml:space="preserve"> recognise remoteness and ICT as an additional feature of the profession that requires</w:t>
      </w:r>
      <w:r>
        <w:t xml:space="preserve"> separate</w:t>
      </w:r>
      <w:r w:rsidRPr="00D13AF1">
        <w:t xml:space="preserve"> regulation</w:t>
      </w:r>
      <w:r w:rsidR="00B72953">
        <w:t xml:space="preserve">. Rather, the general consensus is that professionals in these areas should adhere </w:t>
      </w:r>
      <w:r w:rsidR="00446A3C" w:rsidRPr="008038F7">
        <w:t xml:space="preserve">to </w:t>
      </w:r>
      <w:r w:rsidR="00B72953">
        <w:t xml:space="preserve">the </w:t>
      </w:r>
      <w:r w:rsidR="00446A3C" w:rsidRPr="008038F7">
        <w:t xml:space="preserve">same standards of care as in </w:t>
      </w:r>
      <w:r w:rsidR="00B72953">
        <w:t>“</w:t>
      </w:r>
      <w:r w:rsidR="00446A3C" w:rsidRPr="008038F7">
        <w:t>face-to-face</w:t>
      </w:r>
      <w:r w:rsidR="00B72953">
        <w:t>”</w:t>
      </w:r>
      <w:r w:rsidR="00446A3C" w:rsidRPr="008038F7">
        <w:t xml:space="preserve"> </w:t>
      </w:r>
      <w:r w:rsidR="00B72953">
        <w:t xml:space="preserve">services. This may also suggest that these regulators are not as up-to-date with advances in remote technologies as the industries, although this is not something we can verify. </w:t>
      </w:r>
    </w:p>
    <w:p w14:paraId="1196B41A" w14:textId="77777777" w:rsidR="0060261E" w:rsidRDefault="00B72953" w:rsidP="008038F7">
      <w:pPr>
        <w:pStyle w:val="Bulletlevel1"/>
      </w:pPr>
      <w:r>
        <w:t xml:space="preserve">The exception is the Law Society which, as a professional body rather than a regulator, may arguably be more up-to-date with advances in the profession. </w:t>
      </w:r>
      <w:r w:rsidR="000433A7">
        <w:t xml:space="preserve">A lesson here may be </w:t>
      </w:r>
      <w:r w:rsidR="00F95B83">
        <w:t>that whilst medical professional bodies may not issue laws and regulations, the</w:t>
      </w:r>
      <w:r w:rsidR="000433A7">
        <w:t>y may have relevant</w:t>
      </w:r>
      <w:r w:rsidR="00F95B83">
        <w:t xml:space="preserve"> insights into the potential advances in telemedicine. Our research for this report did not find any notable coverage of telemedicine</w:t>
      </w:r>
      <w:r w:rsidR="000433A7">
        <w:t xml:space="preserve"> by non-regulator professional bodies, but presumably more informal discussions with these would be valuable over time. </w:t>
      </w:r>
    </w:p>
    <w:p w14:paraId="62961D9D" w14:textId="2CBF03DE" w:rsidR="00446A3C" w:rsidRPr="008038F7" w:rsidRDefault="0060261E" w:rsidP="008038F7">
      <w:pPr>
        <w:pStyle w:val="Bulletlevel1"/>
      </w:pPr>
      <w:r>
        <w:t>The Law Society’s requirement for some</w:t>
      </w:r>
      <w:r w:rsidRPr="00D13AF1">
        <w:t xml:space="preserve"> direct interaction between the clie</w:t>
      </w:r>
      <w:r>
        <w:t xml:space="preserve">nt and the legal professional can be applied to the telemedicine issue of establishing a patient-doctor relationship before the provision of telemedicine. </w:t>
      </w:r>
    </w:p>
    <w:p w14:paraId="7210E373" w14:textId="3A53FB4B" w:rsidR="0076453D" w:rsidRDefault="00BB4FA6" w:rsidP="008038F7">
      <w:pPr>
        <w:pStyle w:val="Bulletlevel1"/>
      </w:pPr>
      <w:r>
        <w:t xml:space="preserve">This is reinforced by the need to </w:t>
      </w:r>
      <w:r w:rsidR="00E2629B" w:rsidRPr="008038F7">
        <w:t>v</w:t>
      </w:r>
      <w:r>
        <w:t>erify the</w:t>
      </w:r>
      <w:r w:rsidR="0076453D" w:rsidRPr="008038F7">
        <w:t xml:space="preserve"> client’s identity when offering </w:t>
      </w:r>
      <w:r>
        <w:t xml:space="preserve">legal </w:t>
      </w:r>
      <w:r w:rsidR="0076453D" w:rsidRPr="008038F7">
        <w:t>s</w:t>
      </w:r>
      <w:r>
        <w:t xml:space="preserve">ervices via a remote interface, which </w:t>
      </w:r>
      <w:r w:rsidR="00123E01">
        <w:t>again</w:t>
      </w:r>
      <w:r w:rsidR="00644CAD">
        <w:t xml:space="preserve"> is reflected by the issue of patients’ identities and informed consent in the context of telemedicine. </w:t>
      </w:r>
    </w:p>
    <w:p w14:paraId="42DC4FE7" w14:textId="4EACE349" w:rsidR="00644CAD" w:rsidRPr="008038F7" w:rsidRDefault="00644CAD" w:rsidP="008038F7">
      <w:pPr>
        <w:pStyle w:val="Bulletlevel1"/>
      </w:pPr>
      <w:r>
        <w:t>The risks entailed in using increasingly sophisticated and technically opaque automated solutions could be a useful learning point for telemedicine. The greater the use of decision-making algorithms, the less direct control the doctor has over the outcome. Whilst this is currently most identifiable with online prescribing using standardised questionnaires, it may extend to other forms of consultation. The Law Society’s awareness of the risks and cautions around over-reliance</w:t>
      </w:r>
      <w:r w:rsidR="00E41B1E">
        <w:t xml:space="preserve"> on these tools is a </w:t>
      </w:r>
      <w:r w:rsidR="002F3480">
        <w:t xml:space="preserve">valuable lesson, even though it is still considering how to address this issue. </w:t>
      </w:r>
      <w:r>
        <w:t xml:space="preserve"> </w:t>
      </w:r>
    </w:p>
    <w:p w14:paraId="11E02B36" w14:textId="77777777" w:rsidR="002E293B" w:rsidRPr="00D13AF1" w:rsidRDefault="002E293B" w:rsidP="002E293B">
      <w:pPr>
        <w:pStyle w:val="BodyEE"/>
      </w:pPr>
      <w:r w:rsidRPr="00D13AF1">
        <w:t>The table below summarises the use of remote services in the three industries and the available regulation.</w:t>
      </w:r>
    </w:p>
    <w:p w14:paraId="5FE667B2" w14:textId="3543DBD4" w:rsidR="002E293B" w:rsidRPr="00D13AF1" w:rsidRDefault="002E293B" w:rsidP="000F19BB">
      <w:pPr>
        <w:pStyle w:val="Caption"/>
        <w:keepLines/>
      </w:pPr>
      <w:r w:rsidRPr="00D13AF1">
        <w:lastRenderedPageBreak/>
        <w:t xml:space="preserve">Table </w:t>
      </w:r>
      <w:r w:rsidR="00000000">
        <w:fldChar w:fldCharType="begin"/>
      </w:r>
      <w:r w:rsidR="00000000">
        <w:instrText xml:space="preserve"> STYLEREF 1 \s </w:instrText>
      </w:r>
      <w:r w:rsidR="00000000">
        <w:fldChar w:fldCharType="separate"/>
      </w:r>
      <w:r w:rsidR="00B51130">
        <w:rPr>
          <w:noProof/>
        </w:rPr>
        <w:t>6</w:t>
      </w:r>
      <w:r w:rsidR="00000000">
        <w:rPr>
          <w:noProof/>
        </w:rPr>
        <w:fldChar w:fldCharType="end"/>
      </w:r>
      <w:r w:rsidR="00EF67D2">
        <w:t>.</w:t>
      </w:r>
      <w:r w:rsidR="00000000">
        <w:fldChar w:fldCharType="begin"/>
      </w:r>
      <w:r w:rsidR="00000000">
        <w:instrText xml:space="preserve"> SEQ Table \* ARABIC \s 1 </w:instrText>
      </w:r>
      <w:r w:rsidR="00000000">
        <w:fldChar w:fldCharType="separate"/>
      </w:r>
      <w:r w:rsidR="00B51130">
        <w:rPr>
          <w:noProof/>
        </w:rPr>
        <w:t>1</w:t>
      </w:r>
      <w:r w:rsidR="00000000">
        <w:rPr>
          <w:noProof/>
        </w:rPr>
        <w:fldChar w:fldCharType="end"/>
      </w:r>
      <w:r w:rsidRPr="00D13AF1">
        <w:t>: Remote services in selected industries</w:t>
      </w:r>
    </w:p>
    <w:tbl>
      <w:tblPr>
        <w:tblStyle w:val="LightShading-Accent11"/>
        <w:tblW w:w="5000" w:type="pct"/>
        <w:tblLook w:val="0420" w:firstRow="1" w:lastRow="0" w:firstColumn="0" w:lastColumn="0" w:noHBand="0" w:noVBand="1"/>
      </w:tblPr>
      <w:tblGrid>
        <w:gridCol w:w="1053"/>
        <w:gridCol w:w="1258"/>
        <w:gridCol w:w="1398"/>
        <w:gridCol w:w="1265"/>
        <w:gridCol w:w="1351"/>
        <w:gridCol w:w="2020"/>
        <w:gridCol w:w="1293"/>
      </w:tblGrid>
      <w:tr w:rsidR="002E293B" w:rsidRPr="00D13AF1" w14:paraId="519F4B7A" w14:textId="77777777" w:rsidTr="00F70549">
        <w:trPr>
          <w:cnfStyle w:val="100000000000" w:firstRow="1" w:lastRow="0" w:firstColumn="0" w:lastColumn="0" w:oddVBand="0" w:evenVBand="0" w:oddHBand="0" w:evenHBand="0" w:firstRowFirstColumn="0" w:firstRowLastColumn="0" w:lastRowFirstColumn="0" w:lastRowLastColumn="0"/>
          <w:trHeight w:val="584"/>
        </w:trPr>
        <w:tc>
          <w:tcPr>
            <w:tcW w:w="538" w:type="pct"/>
            <w:hideMark/>
          </w:tcPr>
          <w:p w14:paraId="2524F088" w14:textId="77777777" w:rsidR="002E293B" w:rsidRPr="00D13AF1" w:rsidRDefault="002E293B" w:rsidP="000F19BB">
            <w:pPr>
              <w:pStyle w:val="Tabletext"/>
              <w:jc w:val="left"/>
              <w:rPr>
                <w:sz w:val="18"/>
                <w:lang w:val="en-GB"/>
              </w:rPr>
            </w:pPr>
            <w:r w:rsidRPr="00D13AF1">
              <w:rPr>
                <w:sz w:val="18"/>
                <w:lang w:val="en-GB"/>
              </w:rPr>
              <w:t>Industry</w:t>
            </w:r>
          </w:p>
        </w:tc>
        <w:tc>
          <w:tcPr>
            <w:tcW w:w="654" w:type="pct"/>
            <w:hideMark/>
          </w:tcPr>
          <w:p w14:paraId="152C5538" w14:textId="77777777" w:rsidR="002E293B" w:rsidRPr="00D13AF1" w:rsidRDefault="002E293B" w:rsidP="000F19BB">
            <w:pPr>
              <w:pStyle w:val="Tabletext"/>
              <w:jc w:val="left"/>
              <w:rPr>
                <w:sz w:val="18"/>
                <w:lang w:val="en-GB"/>
              </w:rPr>
            </w:pPr>
            <w:r w:rsidRPr="00D13AF1">
              <w:rPr>
                <w:sz w:val="18"/>
                <w:lang w:val="en-GB"/>
              </w:rPr>
              <w:t>Informal definition</w:t>
            </w:r>
          </w:p>
        </w:tc>
        <w:tc>
          <w:tcPr>
            <w:tcW w:w="727" w:type="pct"/>
            <w:hideMark/>
          </w:tcPr>
          <w:p w14:paraId="60CE0794" w14:textId="77777777" w:rsidR="002E293B" w:rsidRPr="00D13AF1" w:rsidRDefault="002E293B" w:rsidP="000F19BB">
            <w:pPr>
              <w:pStyle w:val="Tabletext"/>
              <w:jc w:val="left"/>
              <w:rPr>
                <w:sz w:val="18"/>
                <w:lang w:val="en-GB"/>
              </w:rPr>
            </w:pPr>
            <w:r w:rsidRPr="00D13AF1">
              <w:rPr>
                <w:sz w:val="18"/>
                <w:lang w:val="en-GB"/>
              </w:rPr>
              <w:t>Examples</w:t>
            </w:r>
          </w:p>
        </w:tc>
        <w:tc>
          <w:tcPr>
            <w:tcW w:w="658" w:type="pct"/>
            <w:hideMark/>
          </w:tcPr>
          <w:p w14:paraId="5B05A87B" w14:textId="77777777" w:rsidR="002E293B" w:rsidRPr="00D13AF1" w:rsidRDefault="002E293B" w:rsidP="000F19BB">
            <w:pPr>
              <w:pStyle w:val="Tabletext"/>
              <w:jc w:val="left"/>
              <w:rPr>
                <w:sz w:val="18"/>
                <w:lang w:val="en-GB"/>
              </w:rPr>
            </w:pPr>
            <w:r w:rsidRPr="00D13AF1">
              <w:rPr>
                <w:sz w:val="18"/>
                <w:lang w:val="en-GB"/>
              </w:rPr>
              <w:t>Benefits</w:t>
            </w:r>
          </w:p>
        </w:tc>
        <w:tc>
          <w:tcPr>
            <w:tcW w:w="702" w:type="pct"/>
            <w:hideMark/>
          </w:tcPr>
          <w:p w14:paraId="031D7039" w14:textId="5C92BF01" w:rsidR="002E293B" w:rsidRPr="00D13AF1" w:rsidRDefault="002E293B" w:rsidP="000F19BB">
            <w:pPr>
              <w:pStyle w:val="Tabletext"/>
              <w:jc w:val="left"/>
              <w:rPr>
                <w:sz w:val="18"/>
                <w:lang w:val="en-GB"/>
              </w:rPr>
            </w:pPr>
            <w:r w:rsidRPr="00D13AF1">
              <w:rPr>
                <w:sz w:val="18"/>
                <w:lang w:val="en-GB"/>
              </w:rPr>
              <w:t>Risks</w:t>
            </w:r>
            <w:r w:rsidR="00BE2648">
              <w:rPr>
                <w:sz w:val="18"/>
                <w:lang w:val="en-GB"/>
              </w:rPr>
              <w:t xml:space="preserve"> / challenges</w:t>
            </w:r>
          </w:p>
        </w:tc>
        <w:tc>
          <w:tcPr>
            <w:tcW w:w="1049" w:type="pct"/>
            <w:hideMark/>
          </w:tcPr>
          <w:p w14:paraId="1B66DFA6" w14:textId="77777777" w:rsidR="002E293B" w:rsidRPr="00D13AF1" w:rsidRDefault="002E293B" w:rsidP="000F19BB">
            <w:pPr>
              <w:pStyle w:val="Tabletext"/>
              <w:jc w:val="left"/>
              <w:rPr>
                <w:sz w:val="18"/>
                <w:lang w:val="en-GB"/>
              </w:rPr>
            </w:pPr>
            <w:r w:rsidRPr="00D13AF1">
              <w:rPr>
                <w:sz w:val="18"/>
                <w:lang w:val="en-GB"/>
              </w:rPr>
              <w:t>Similar to telemedicine?</w:t>
            </w:r>
          </w:p>
        </w:tc>
        <w:tc>
          <w:tcPr>
            <w:tcW w:w="673" w:type="pct"/>
          </w:tcPr>
          <w:p w14:paraId="549EABD6" w14:textId="77777777" w:rsidR="002E293B" w:rsidRPr="00D13AF1" w:rsidRDefault="002E293B" w:rsidP="000F19BB">
            <w:pPr>
              <w:pStyle w:val="Tabletext"/>
              <w:jc w:val="left"/>
              <w:rPr>
                <w:sz w:val="18"/>
                <w:lang w:val="en-GB"/>
              </w:rPr>
            </w:pPr>
            <w:r w:rsidRPr="00D13AF1">
              <w:rPr>
                <w:sz w:val="18"/>
                <w:lang w:val="en-GB"/>
              </w:rPr>
              <w:t>Regulation</w:t>
            </w:r>
          </w:p>
          <w:p w14:paraId="66331AFD" w14:textId="5313E961" w:rsidR="002E293B" w:rsidRPr="00D13AF1" w:rsidRDefault="0039549A" w:rsidP="000F19BB">
            <w:pPr>
              <w:pStyle w:val="Tabletext"/>
              <w:jc w:val="left"/>
              <w:rPr>
                <w:sz w:val="18"/>
                <w:lang w:val="en-GB"/>
              </w:rPr>
            </w:pPr>
            <w:r>
              <w:rPr>
                <w:sz w:val="18"/>
                <w:lang w:val="en-GB"/>
              </w:rPr>
              <w:t>o</w:t>
            </w:r>
            <w:r w:rsidR="002E293B" w:rsidRPr="00D13AF1">
              <w:rPr>
                <w:sz w:val="18"/>
                <w:lang w:val="en-GB"/>
              </w:rPr>
              <w:t>f remote services</w:t>
            </w:r>
          </w:p>
        </w:tc>
      </w:tr>
      <w:tr w:rsidR="002E293B" w:rsidRPr="00D13AF1" w14:paraId="3B9D761C" w14:textId="77777777" w:rsidTr="00F70549">
        <w:trPr>
          <w:cnfStyle w:val="000000100000" w:firstRow="0" w:lastRow="0" w:firstColumn="0" w:lastColumn="0" w:oddVBand="0" w:evenVBand="0" w:oddHBand="1" w:evenHBand="0" w:firstRowFirstColumn="0" w:firstRowLastColumn="0" w:lastRowFirstColumn="0" w:lastRowLastColumn="0"/>
          <w:trHeight w:val="584"/>
        </w:trPr>
        <w:tc>
          <w:tcPr>
            <w:tcW w:w="538" w:type="pct"/>
            <w:hideMark/>
          </w:tcPr>
          <w:p w14:paraId="671F72EA" w14:textId="77777777" w:rsidR="002E293B" w:rsidRPr="00D13AF1" w:rsidRDefault="002E293B" w:rsidP="000F19BB">
            <w:pPr>
              <w:pStyle w:val="Tabletext"/>
              <w:jc w:val="left"/>
              <w:rPr>
                <w:sz w:val="18"/>
                <w:lang w:val="en-GB"/>
              </w:rPr>
            </w:pPr>
            <w:r w:rsidRPr="00D13AF1">
              <w:rPr>
                <w:sz w:val="18"/>
                <w:lang w:val="en-GB"/>
              </w:rPr>
              <w:t>Engineering</w:t>
            </w:r>
          </w:p>
        </w:tc>
        <w:tc>
          <w:tcPr>
            <w:tcW w:w="654" w:type="pct"/>
            <w:hideMark/>
          </w:tcPr>
          <w:p w14:paraId="3C8874EB" w14:textId="77777777" w:rsidR="002E293B" w:rsidRPr="00D13AF1" w:rsidRDefault="002E293B" w:rsidP="000F19BB">
            <w:pPr>
              <w:pStyle w:val="Tabletext"/>
              <w:jc w:val="left"/>
              <w:rPr>
                <w:sz w:val="18"/>
                <w:lang w:val="en-GB"/>
              </w:rPr>
            </w:pPr>
            <w:r w:rsidRPr="00D13AF1">
              <w:rPr>
                <w:sz w:val="18"/>
                <w:lang w:val="en-GB"/>
              </w:rPr>
              <w:t>Engineer at one site remotely controls equipment at another site</w:t>
            </w:r>
          </w:p>
        </w:tc>
        <w:tc>
          <w:tcPr>
            <w:tcW w:w="727" w:type="pct"/>
            <w:hideMark/>
          </w:tcPr>
          <w:p w14:paraId="59FA2327" w14:textId="6B95DA0C" w:rsidR="002E293B" w:rsidRPr="00D13AF1" w:rsidRDefault="002E293B" w:rsidP="000F19BB">
            <w:pPr>
              <w:pStyle w:val="Tabletext"/>
              <w:jc w:val="left"/>
              <w:rPr>
                <w:sz w:val="18"/>
                <w:lang w:val="en-GB"/>
              </w:rPr>
            </w:pPr>
            <w:r w:rsidRPr="00D13AF1">
              <w:rPr>
                <w:sz w:val="18"/>
                <w:lang w:val="en-GB"/>
              </w:rPr>
              <w:t>Remote IT support</w:t>
            </w:r>
            <w:r w:rsidR="008014EA">
              <w:rPr>
                <w:sz w:val="18"/>
                <w:lang w:val="en-GB"/>
              </w:rPr>
              <w:t>;</w:t>
            </w:r>
          </w:p>
          <w:p w14:paraId="6C236974" w14:textId="6EDAE695" w:rsidR="002E293B" w:rsidRPr="00D13AF1" w:rsidRDefault="002E293B" w:rsidP="000F19BB">
            <w:pPr>
              <w:pStyle w:val="Tabletext"/>
              <w:jc w:val="left"/>
              <w:rPr>
                <w:sz w:val="18"/>
                <w:lang w:val="en-GB"/>
              </w:rPr>
            </w:pPr>
            <w:r w:rsidRPr="00D13AF1">
              <w:rPr>
                <w:sz w:val="18"/>
                <w:lang w:val="en-GB"/>
              </w:rPr>
              <w:t>Equipment monitoring and maintenance services using ICT</w:t>
            </w:r>
            <w:r w:rsidR="008014EA">
              <w:rPr>
                <w:sz w:val="18"/>
                <w:lang w:val="en-GB"/>
              </w:rPr>
              <w:t>;</w:t>
            </w:r>
          </w:p>
          <w:p w14:paraId="259182A0" w14:textId="77777777" w:rsidR="002E293B" w:rsidRPr="00D13AF1" w:rsidRDefault="002E293B" w:rsidP="000F19BB">
            <w:pPr>
              <w:pStyle w:val="Tabletext"/>
              <w:jc w:val="left"/>
              <w:rPr>
                <w:sz w:val="18"/>
                <w:lang w:val="en-GB"/>
              </w:rPr>
            </w:pPr>
            <w:r w:rsidRPr="00D13AF1">
              <w:rPr>
                <w:sz w:val="18"/>
                <w:lang w:val="en-GB"/>
              </w:rPr>
              <w:t>Complex technical work using robots</w:t>
            </w:r>
          </w:p>
        </w:tc>
        <w:tc>
          <w:tcPr>
            <w:tcW w:w="658" w:type="pct"/>
            <w:hideMark/>
          </w:tcPr>
          <w:p w14:paraId="5A4CF4C9" w14:textId="77777777" w:rsidR="002E293B" w:rsidRPr="00D13AF1" w:rsidRDefault="002E293B" w:rsidP="000F19BB">
            <w:pPr>
              <w:pStyle w:val="Tabletext"/>
              <w:jc w:val="left"/>
              <w:rPr>
                <w:sz w:val="18"/>
                <w:lang w:val="en-GB"/>
              </w:rPr>
            </w:pPr>
            <w:r w:rsidRPr="00D13AF1">
              <w:rPr>
                <w:sz w:val="18"/>
                <w:lang w:val="en-GB"/>
              </w:rPr>
              <w:t>Reduce health and safety risks, e.g. nuclear power sites</w:t>
            </w:r>
          </w:p>
          <w:p w14:paraId="5557B9DB" w14:textId="77777777" w:rsidR="002E293B" w:rsidRPr="00D13AF1" w:rsidRDefault="002E293B" w:rsidP="000F19BB">
            <w:pPr>
              <w:pStyle w:val="Tabletext"/>
              <w:jc w:val="left"/>
              <w:rPr>
                <w:sz w:val="18"/>
                <w:lang w:val="en-GB"/>
              </w:rPr>
            </w:pPr>
            <w:r w:rsidRPr="00D13AF1">
              <w:rPr>
                <w:sz w:val="18"/>
                <w:lang w:val="en-GB"/>
              </w:rPr>
              <w:t>Access sites that might be difficult to reach, e.g. underwater works</w:t>
            </w:r>
          </w:p>
        </w:tc>
        <w:tc>
          <w:tcPr>
            <w:tcW w:w="702" w:type="pct"/>
            <w:hideMark/>
          </w:tcPr>
          <w:p w14:paraId="2181E38C" w14:textId="77777777" w:rsidR="002E293B" w:rsidRPr="00D13AF1" w:rsidRDefault="002E293B" w:rsidP="000F19BB">
            <w:pPr>
              <w:pStyle w:val="Tabletext"/>
              <w:jc w:val="left"/>
              <w:rPr>
                <w:sz w:val="18"/>
                <w:lang w:val="en-GB"/>
              </w:rPr>
            </w:pPr>
            <w:r w:rsidRPr="00D13AF1">
              <w:rPr>
                <w:sz w:val="18"/>
                <w:lang w:val="en-GB"/>
              </w:rPr>
              <w:t>No-one on site to quickly deal with an emergency situation</w:t>
            </w:r>
          </w:p>
        </w:tc>
        <w:tc>
          <w:tcPr>
            <w:tcW w:w="1049" w:type="pct"/>
            <w:hideMark/>
          </w:tcPr>
          <w:p w14:paraId="0F03354C" w14:textId="77777777" w:rsidR="002E293B" w:rsidRPr="00D13AF1" w:rsidRDefault="002E293B" w:rsidP="000F19BB">
            <w:pPr>
              <w:pStyle w:val="Tabletext"/>
              <w:jc w:val="left"/>
              <w:rPr>
                <w:sz w:val="18"/>
                <w:lang w:val="en-GB"/>
              </w:rPr>
            </w:pPr>
            <w:r w:rsidRPr="00D13AF1">
              <w:rPr>
                <w:sz w:val="18"/>
                <w:lang w:val="en-GB"/>
              </w:rPr>
              <w:t>Yes, remote service involves ICT and problem-specific thinking and searching for a solution; substitutes for human presence</w:t>
            </w:r>
          </w:p>
        </w:tc>
        <w:tc>
          <w:tcPr>
            <w:tcW w:w="673" w:type="pct"/>
          </w:tcPr>
          <w:p w14:paraId="09206A5F" w14:textId="77777777" w:rsidR="002E293B" w:rsidRPr="00D13AF1" w:rsidRDefault="002E293B" w:rsidP="000F19BB">
            <w:pPr>
              <w:pStyle w:val="Tabletext"/>
              <w:jc w:val="left"/>
              <w:rPr>
                <w:sz w:val="18"/>
                <w:lang w:val="en-GB"/>
              </w:rPr>
            </w:pPr>
            <w:r w:rsidRPr="00D13AF1">
              <w:rPr>
                <w:sz w:val="18"/>
                <w:lang w:val="en-GB"/>
              </w:rPr>
              <w:t>No special regulation or guidance</w:t>
            </w:r>
          </w:p>
        </w:tc>
      </w:tr>
      <w:tr w:rsidR="002E293B" w:rsidRPr="00D13AF1" w14:paraId="38B011B0" w14:textId="77777777" w:rsidTr="00F70549">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Height w:val="584"/>
        </w:trPr>
        <w:tc>
          <w:tcPr>
            <w:tcW w:w="538" w:type="pct"/>
            <w:hideMark/>
          </w:tcPr>
          <w:p w14:paraId="22C8E179" w14:textId="77777777" w:rsidR="002E293B" w:rsidRPr="00D13AF1" w:rsidRDefault="002E293B" w:rsidP="000F19BB">
            <w:pPr>
              <w:pStyle w:val="Tabletext"/>
              <w:jc w:val="left"/>
              <w:rPr>
                <w:sz w:val="18"/>
                <w:lang w:val="en-GB"/>
              </w:rPr>
            </w:pPr>
            <w:r w:rsidRPr="00D13AF1">
              <w:rPr>
                <w:sz w:val="18"/>
                <w:lang w:val="en-GB"/>
              </w:rPr>
              <w:t>Surveying</w:t>
            </w:r>
          </w:p>
        </w:tc>
        <w:tc>
          <w:tcPr>
            <w:tcW w:w="654" w:type="pct"/>
            <w:hideMark/>
          </w:tcPr>
          <w:p w14:paraId="0F7E9582" w14:textId="77777777" w:rsidR="002E293B" w:rsidRPr="00D13AF1" w:rsidRDefault="002E293B" w:rsidP="000F19BB">
            <w:pPr>
              <w:pStyle w:val="Tabletext"/>
              <w:jc w:val="left"/>
              <w:rPr>
                <w:sz w:val="18"/>
                <w:lang w:val="en-GB"/>
              </w:rPr>
            </w:pPr>
            <w:r w:rsidRPr="00D13AF1">
              <w:rPr>
                <w:sz w:val="18"/>
                <w:lang w:val="en-GB"/>
              </w:rPr>
              <w:t>Surveyor using ICT to assess condition of a building/plot of land</w:t>
            </w:r>
          </w:p>
        </w:tc>
        <w:tc>
          <w:tcPr>
            <w:tcW w:w="727" w:type="pct"/>
            <w:hideMark/>
          </w:tcPr>
          <w:p w14:paraId="063A58B3" w14:textId="0E303CB6" w:rsidR="002E293B" w:rsidRPr="00D13AF1" w:rsidRDefault="002E293B" w:rsidP="000F19BB">
            <w:pPr>
              <w:pStyle w:val="Tabletext"/>
              <w:jc w:val="left"/>
              <w:rPr>
                <w:sz w:val="18"/>
                <w:lang w:val="en-GB"/>
              </w:rPr>
            </w:pPr>
            <w:r w:rsidRPr="00D13AF1">
              <w:rPr>
                <w:sz w:val="18"/>
                <w:lang w:val="en-GB"/>
              </w:rPr>
              <w:t>Client sends photos of the house interior – surveyor advises on house value or repair</w:t>
            </w:r>
            <w:r w:rsidR="008014EA">
              <w:rPr>
                <w:sz w:val="18"/>
                <w:lang w:val="en-GB"/>
              </w:rPr>
              <w:t>;</w:t>
            </w:r>
          </w:p>
          <w:p w14:paraId="07696E8C" w14:textId="77777777" w:rsidR="002E293B" w:rsidRPr="00D13AF1" w:rsidRDefault="002E293B" w:rsidP="000F19BB">
            <w:pPr>
              <w:pStyle w:val="Tabletext"/>
              <w:jc w:val="left"/>
              <w:rPr>
                <w:sz w:val="18"/>
                <w:lang w:val="en-GB"/>
              </w:rPr>
            </w:pPr>
            <w:r w:rsidRPr="00D13AF1">
              <w:rPr>
                <w:sz w:val="18"/>
                <w:lang w:val="en-GB"/>
              </w:rPr>
              <w:t>Video-drone to examine a high building/plot of land</w:t>
            </w:r>
          </w:p>
        </w:tc>
        <w:tc>
          <w:tcPr>
            <w:tcW w:w="658" w:type="pct"/>
            <w:hideMark/>
          </w:tcPr>
          <w:p w14:paraId="72C2A814" w14:textId="5ECCD571" w:rsidR="002E293B" w:rsidRPr="00D13AF1" w:rsidRDefault="002E293B" w:rsidP="000F19BB">
            <w:pPr>
              <w:pStyle w:val="Tabletext"/>
              <w:jc w:val="left"/>
              <w:rPr>
                <w:sz w:val="18"/>
                <w:lang w:val="en-GB"/>
              </w:rPr>
            </w:pPr>
            <w:r w:rsidRPr="00D13AF1">
              <w:rPr>
                <w:sz w:val="18"/>
                <w:lang w:val="en-GB"/>
              </w:rPr>
              <w:t>Save time/cost</w:t>
            </w:r>
            <w:r w:rsidR="008014EA">
              <w:rPr>
                <w:sz w:val="18"/>
                <w:lang w:val="en-GB"/>
              </w:rPr>
              <w:t>;</w:t>
            </w:r>
          </w:p>
          <w:p w14:paraId="30B70273" w14:textId="77777777" w:rsidR="002E293B" w:rsidRPr="00D13AF1" w:rsidRDefault="002E293B" w:rsidP="000F19BB">
            <w:pPr>
              <w:pStyle w:val="Tabletext"/>
              <w:jc w:val="left"/>
              <w:rPr>
                <w:sz w:val="18"/>
                <w:lang w:val="en-GB"/>
              </w:rPr>
            </w:pPr>
            <w:r w:rsidRPr="00D13AF1">
              <w:rPr>
                <w:sz w:val="18"/>
                <w:lang w:val="en-GB"/>
              </w:rPr>
              <w:t>Reach otherwise inaccessible parts of the building or area</w:t>
            </w:r>
          </w:p>
        </w:tc>
        <w:tc>
          <w:tcPr>
            <w:tcW w:w="702" w:type="pct"/>
            <w:hideMark/>
          </w:tcPr>
          <w:p w14:paraId="77E5C0ED" w14:textId="77777777" w:rsidR="002E293B" w:rsidRPr="00D13AF1" w:rsidRDefault="002E293B" w:rsidP="000F19BB">
            <w:pPr>
              <w:pStyle w:val="Tabletext"/>
              <w:jc w:val="left"/>
              <w:rPr>
                <w:sz w:val="18"/>
                <w:lang w:val="en-GB"/>
              </w:rPr>
            </w:pPr>
            <w:r w:rsidRPr="00D13AF1">
              <w:rPr>
                <w:sz w:val="18"/>
                <w:lang w:val="en-GB"/>
              </w:rPr>
              <w:t>Critical dependence on quality of images</w:t>
            </w:r>
          </w:p>
        </w:tc>
        <w:tc>
          <w:tcPr>
            <w:tcW w:w="1049" w:type="pct"/>
            <w:hideMark/>
          </w:tcPr>
          <w:p w14:paraId="44274B6B" w14:textId="77777777" w:rsidR="002E293B" w:rsidRPr="00D13AF1" w:rsidRDefault="002E293B" w:rsidP="000F19BB">
            <w:pPr>
              <w:pStyle w:val="Tabletext"/>
              <w:jc w:val="left"/>
              <w:rPr>
                <w:sz w:val="18"/>
                <w:lang w:val="en-GB"/>
              </w:rPr>
            </w:pPr>
            <w:r w:rsidRPr="00D13AF1">
              <w:rPr>
                <w:sz w:val="18"/>
                <w:lang w:val="en-GB"/>
              </w:rPr>
              <w:t>Yes, remote service involves ICT, examination of a specific building and individual advice; substitutes for human presence</w:t>
            </w:r>
          </w:p>
        </w:tc>
        <w:tc>
          <w:tcPr>
            <w:tcW w:w="673" w:type="pct"/>
          </w:tcPr>
          <w:p w14:paraId="32852382" w14:textId="77777777" w:rsidR="002E293B" w:rsidRPr="00D13AF1" w:rsidRDefault="002E293B" w:rsidP="000F19BB">
            <w:pPr>
              <w:pStyle w:val="Tabletext"/>
              <w:jc w:val="left"/>
              <w:rPr>
                <w:sz w:val="18"/>
                <w:lang w:val="en-GB"/>
              </w:rPr>
            </w:pPr>
            <w:r w:rsidRPr="00D13AF1">
              <w:rPr>
                <w:sz w:val="18"/>
                <w:lang w:val="en-GB"/>
              </w:rPr>
              <w:t>No special regulation or guidance</w:t>
            </w:r>
          </w:p>
        </w:tc>
      </w:tr>
      <w:tr w:rsidR="002E293B" w:rsidRPr="00D13AF1" w14:paraId="2D6CEFC2" w14:textId="77777777" w:rsidTr="00F7054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538" w:type="pct"/>
            <w:hideMark/>
          </w:tcPr>
          <w:p w14:paraId="55A35026" w14:textId="77777777" w:rsidR="002E293B" w:rsidRPr="00D13AF1" w:rsidRDefault="002E293B" w:rsidP="00697056">
            <w:pPr>
              <w:pStyle w:val="Tabletext"/>
              <w:jc w:val="left"/>
              <w:rPr>
                <w:b w:val="0"/>
                <w:sz w:val="18"/>
                <w:lang w:val="en-GB"/>
              </w:rPr>
            </w:pPr>
            <w:r w:rsidRPr="00D13AF1">
              <w:rPr>
                <w:b w:val="0"/>
                <w:sz w:val="18"/>
                <w:lang w:val="en-GB"/>
              </w:rPr>
              <w:t>Legal services</w:t>
            </w:r>
          </w:p>
        </w:tc>
        <w:tc>
          <w:tcPr>
            <w:tcW w:w="654" w:type="pct"/>
            <w:hideMark/>
          </w:tcPr>
          <w:p w14:paraId="75469905" w14:textId="63F4AD07" w:rsidR="002E293B" w:rsidRPr="00D13AF1" w:rsidRDefault="002E293B" w:rsidP="00697056">
            <w:pPr>
              <w:pStyle w:val="Tabletext"/>
              <w:jc w:val="left"/>
              <w:cnfStyle w:val="000000100000" w:firstRow="0" w:lastRow="0" w:firstColumn="0" w:lastColumn="0" w:oddVBand="0" w:evenVBand="0" w:oddHBand="1" w:evenHBand="0" w:firstRowFirstColumn="0" w:firstRowLastColumn="0" w:lastRowFirstColumn="0" w:lastRowLastColumn="0"/>
              <w:rPr>
                <w:sz w:val="18"/>
                <w:lang w:val="en-GB"/>
              </w:rPr>
            </w:pPr>
            <w:r w:rsidRPr="00D13AF1">
              <w:rPr>
                <w:sz w:val="18"/>
                <w:lang w:val="en-GB"/>
              </w:rPr>
              <w:t>Semi-automated legal services using ICT</w:t>
            </w:r>
            <w:r w:rsidR="008014EA">
              <w:rPr>
                <w:sz w:val="18"/>
                <w:lang w:val="en-GB"/>
              </w:rPr>
              <w:t xml:space="preserve"> and algorithms</w:t>
            </w:r>
          </w:p>
        </w:tc>
        <w:tc>
          <w:tcPr>
            <w:tcW w:w="727" w:type="pct"/>
            <w:hideMark/>
          </w:tcPr>
          <w:p w14:paraId="30693F24" w14:textId="2C92B0EA" w:rsidR="002E293B" w:rsidRPr="00D13AF1" w:rsidRDefault="002E293B" w:rsidP="00930937">
            <w:pPr>
              <w:pStyle w:val="Tabletext"/>
              <w:jc w:val="left"/>
              <w:cnfStyle w:val="000000100000" w:firstRow="0" w:lastRow="0" w:firstColumn="0" w:lastColumn="0" w:oddVBand="0" w:evenVBand="0" w:oddHBand="1" w:evenHBand="0" w:firstRowFirstColumn="0" w:firstRowLastColumn="0" w:lastRowFirstColumn="0" w:lastRowLastColumn="0"/>
              <w:rPr>
                <w:sz w:val="18"/>
                <w:lang w:val="en-GB"/>
              </w:rPr>
            </w:pPr>
            <w:r w:rsidRPr="00D13AF1">
              <w:rPr>
                <w:sz w:val="18"/>
                <w:lang w:val="en-GB"/>
              </w:rPr>
              <w:t>Preparing a s</w:t>
            </w:r>
            <w:r w:rsidR="00BE2648">
              <w:rPr>
                <w:sz w:val="18"/>
                <w:lang w:val="en-GB"/>
              </w:rPr>
              <w:t>tandardised document, e.g. will;</w:t>
            </w:r>
          </w:p>
          <w:p w14:paraId="50A81853" w14:textId="77777777" w:rsidR="002E293B" w:rsidRPr="00D13AF1" w:rsidRDefault="002E293B" w:rsidP="00526663">
            <w:pPr>
              <w:pStyle w:val="Tabletext"/>
              <w:jc w:val="left"/>
              <w:cnfStyle w:val="000000100000" w:firstRow="0" w:lastRow="0" w:firstColumn="0" w:lastColumn="0" w:oddVBand="0" w:evenVBand="0" w:oddHBand="1" w:evenHBand="0" w:firstRowFirstColumn="0" w:firstRowLastColumn="0" w:lastRowFirstColumn="0" w:lastRowLastColumn="0"/>
              <w:rPr>
                <w:sz w:val="18"/>
                <w:lang w:val="en-GB"/>
              </w:rPr>
            </w:pPr>
            <w:r w:rsidRPr="00D13AF1">
              <w:rPr>
                <w:sz w:val="18"/>
                <w:lang w:val="en-GB"/>
              </w:rPr>
              <w:t xml:space="preserve">Online legal advice for an undisputed divorce </w:t>
            </w:r>
          </w:p>
        </w:tc>
        <w:tc>
          <w:tcPr>
            <w:tcW w:w="658" w:type="pct"/>
            <w:hideMark/>
          </w:tcPr>
          <w:p w14:paraId="5BBA1698" w14:textId="1299D1B5" w:rsidR="002E293B" w:rsidRPr="00D13AF1" w:rsidRDefault="002E293B" w:rsidP="00E56F0C">
            <w:pPr>
              <w:pStyle w:val="Tabletext"/>
              <w:jc w:val="left"/>
              <w:cnfStyle w:val="000000100000" w:firstRow="0" w:lastRow="0" w:firstColumn="0" w:lastColumn="0" w:oddVBand="0" w:evenVBand="0" w:oddHBand="1" w:evenHBand="0" w:firstRowFirstColumn="0" w:firstRowLastColumn="0" w:lastRowFirstColumn="0" w:lastRowLastColumn="0"/>
              <w:rPr>
                <w:sz w:val="18"/>
                <w:lang w:val="en-GB"/>
              </w:rPr>
            </w:pPr>
            <w:r w:rsidRPr="00D13AF1">
              <w:rPr>
                <w:sz w:val="18"/>
                <w:lang w:val="en-GB"/>
              </w:rPr>
              <w:t>Save time on standard solutions</w:t>
            </w:r>
            <w:r w:rsidR="00BE2648">
              <w:rPr>
                <w:sz w:val="18"/>
                <w:lang w:val="en-GB"/>
              </w:rPr>
              <w:t>;</w:t>
            </w:r>
          </w:p>
          <w:p w14:paraId="320ED848" w14:textId="77777777" w:rsidR="002E293B" w:rsidRDefault="002E293B" w:rsidP="00895384">
            <w:pPr>
              <w:pStyle w:val="Tabletext"/>
              <w:jc w:val="left"/>
              <w:cnfStyle w:val="000000100000" w:firstRow="0" w:lastRow="0" w:firstColumn="0" w:lastColumn="0" w:oddVBand="0" w:evenVBand="0" w:oddHBand="1" w:evenHBand="0" w:firstRowFirstColumn="0" w:firstRowLastColumn="0" w:lastRowFirstColumn="0" w:lastRowLastColumn="0"/>
              <w:rPr>
                <w:sz w:val="18"/>
                <w:lang w:val="en-GB"/>
              </w:rPr>
            </w:pPr>
            <w:r w:rsidRPr="00D13AF1">
              <w:rPr>
                <w:sz w:val="18"/>
                <w:lang w:val="en-GB"/>
              </w:rPr>
              <w:t>Reduce cost</w:t>
            </w:r>
            <w:r w:rsidR="00BE2648">
              <w:rPr>
                <w:sz w:val="18"/>
                <w:lang w:val="en-GB"/>
              </w:rPr>
              <w:t>;</w:t>
            </w:r>
          </w:p>
          <w:p w14:paraId="0D01BB62" w14:textId="618296A2" w:rsidR="00BE2648" w:rsidRPr="00D13AF1" w:rsidRDefault="00BE2648">
            <w:pPr>
              <w:pStyle w:val="Tabletext"/>
              <w:jc w:val="left"/>
              <w:cnfStyle w:val="000000100000" w:firstRow="0" w:lastRow="0" w:firstColumn="0" w:lastColumn="0" w:oddVBand="0" w:evenVBand="0" w:oddHBand="1" w:evenHBand="0" w:firstRowFirstColumn="0" w:firstRowLastColumn="0" w:lastRowFirstColumn="0" w:lastRowLastColumn="0"/>
              <w:rPr>
                <w:sz w:val="18"/>
                <w:lang w:val="en-GB"/>
              </w:rPr>
            </w:pPr>
            <w:r>
              <w:rPr>
                <w:sz w:val="18"/>
                <w:lang w:val="en-GB"/>
              </w:rPr>
              <w:t>Increase accessibility of legal services</w:t>
            </w:r>
          </w:p>
        </w:tc>
        <w:tc>
          <w:tcPr>
            <w:tcW w:w="702" w:type="pct"/>
            <w:hideMark/>
          </w:tcPr>
          <w:p w14:paraId="167E633D" w14:textId="77777777" w:rsidR="002E293B" w:rsidRPr="00D13AF1" w:rsidRDefault="002E293B">
            <w:pPr>
              <w:pStyle w:val="Tabletext"/>
              <w:jc w:val="left"/>
              <w:cnfStyle w:val="000000100000" w:firstRow="0" w:lastRow="0" w:firstColumn="0" w:lastColumn="0" w:oddVBand="0" w:evenVBand="0" w:oddHBand="1" w:evenHBand="0" w:firstRowFirstColumn="0" w:firstRowLastColumn="0" w:lastRowFirstColumn="0" w:lastRowLastColumn="0"/>
              <w:rPr>
                <w:sz w:val="18"/>
                <w:lang w:val="en-GB"/>
              </w:rPr>
            </w:pPr>
            <w:r w:rsidRPr="00D13AF1">
              <w:rPr>
                <w:sz w:val="18"/>
                <w:lang w:val="en-GB"/>
              </w:rPr>
              <w:t>Client’s identity verification;</w:t>
            </w:r>
          </w:p>
          <w:p w14:paraId="0084346E" w14:textId="756EBB5B" w:rsidR="002E293B" w:rsidRPr="00D13AF1" w:rsidRDefault="00BE2648">
            <w:pPr>
              <w:pStyle w:val="Tabletext"/>
              <w:jc w:val="left"/>
              <w:cnfStyle w:val="000000100000" w:firstRow="0" w:lastRow="0" w:firstColumn="0" w:lastColumn="0" w:oddVBand="0" w:evenVBand="0" w:oddHBand="1" w:evenHBand="0" w:firstRowFirstColumn="0" w:firstRowLastColumn="0" w:lastRowFirstColumn="0" w:lastRowLastColumn="0"/>
              <w:rPr>
                <w:sz w:val="18"/>
                <w:lang w:val="en-GB"/>
              </w:rPr>
            </w:pPr>
            <w:r>
              <w:rPr>
                <w:sz w:val="18"/>
                <w:lang w:val="en-GB"/>
              </w:rPr>
              <w:t>Transparency and accountability when automated are based on algorithms too complex for a solicitor to fully understand</w:t>
            </w:r>
          </w:p>
        </w:tc>
        <w:tc>
          <w:tcPr>
            <w:tcW w:w="1049" w:type="pct"/>
            <w:hideMark/>
          </w:tcPr>
          <w:p w14:paraId="39D7DE14" w14:textId="77777777" w:rsidR="00BE2648" w:rsidRDefault="00BE2648">
            <w:pPr>
              <w:pStyle w:val="Tabletext"/>
              <w:jc w:val="left"/>
              <w:cnfStyle w:val="000000100000" w:firstRow="0" w:lastRow="0" w:firstColumn="0" w:lastColumn="0" w:oddVBand="0" w:evenVBand="0" w:oddHBand="1" w:evenHBand="0" w:firstRowFirstColumn="0" w:firstRowLastColumn="0" w:lastRowFirstColumn="0" w:lastRowLastColumn="0"/>
              <w:rPr>
                <w:sz w:val="18"/>
                <w:lang w:val="en-GB"/>
              </w:rPr>
            </w:pPr>
            <w:r>
              <w:rPr>
                <w:sz w:val="18"/>
                <w:lang w:val="en-GB"/>
              </w:rPr>
              <w:t>To some extent: c</w:t>
            </w:r>
            <w:r w:rsidR="002E293B" w:rsidRPr="00D13AF1">
              <w:rPr>
                <w:sz w:val="18"/>
                <w:lang w:val="en-GB"/>
              </w:rPr>
              <w:t xml:space="preserve">lient’s identity verification is a similar issue; </w:t>
            </w:r>
          </w:p>
          <w:p w14:paraId="56494A91" w14:textId="77777777" w:rsidR="0069043D" w:rsidRDefault="00BE2648">
            <w:pPr>
              <w:pStyle w:val="Tabletext"/>
              <w:jc w:val="left"/>
              <w:cnfStyle w:val="000000100000" w:firstRow="0" w:lastRow="0" w:firstColumn="0" w:lastColumn="0" w:oddVBand="0" w:evenVBand="0" w:oddHBand="1" w:evenHBand="0" w:firstRowFirstColumn="0" w:firstRowLastColumn="0" w:lastRowFirstColumn="0" w:lastRowLastColumn="0"/>
              <w:rPr>
                <w:sz w:val="18"/>
                <w:lang w:val="en-GB"/>
              </w:rPr>
            </w:pPr>
            <w:r>
              <w:rPr>
                <w:sz w:val="18"/>
                <w:lang w:val="en-GB"/>
              </w:rPr>
              <w:t>P</w:t>
            </w:r>
            <w:r w:rsidR="002E293B" w:rsidRPr="00D13AF1">
              <w:rPr>
                <w:sz w:val="18"/>
                <w:lang w:val="en-GB"/>
              </w:rPr>
              <w:t>roblem description is similar to making the diagnosis;</w:t>
            </w:r>
            <w:r w:rsidR="00416690">
              <w:rPr>
                <w:sz w:val="18"/>
                <w:lang w:val="en-GB"/>
              </w:rPr>
              <w:t xml:space="preserve"> </w:t>
            </w:r>
          </w:p>
          <w:p w14:paraId="2ECD3B2F" w14:textId="50B135F3" w:rsidR="002E293B" w:rsidRPr="00D13AF1" w:rsidRDefault="0069043D">
            <w:pPr>
              <w:pStyle w:val="Tabletext"/>
              <w:jc w:val="left"/>
              <w:cnfStyle w:val="000000100000" w:firstRow="0" w:lastRow="0" w:firstColumn="0" w:lastColumn="0" w:oddVBand="0" w:evenVBand="0" w:oddHBand="1" w:evenHBand="0" w:firstRowFirstColumn="0" w:firstRowLastColumn="0" w:lastRowFirstColumn="0" w:lastRowLastColumn="0"/>
              <w:rPr>
                <w:sz w:val="18"/>
                <w:lang w:val="en-GB"/>
              </w:rPr>
            </w:pPr>
            <w:r>
              <w:rPr>
                <w:sz w:val="18"/>
                <w:lang w:val="en-GB"/>
              </w:rPr>
              <w:t>C</w:t>
            </w:r>
            <w:r w:rsidR="00416690">
              <w:rPr>
                <w:sz w:val="18"/>
                <w:lang w:val="en-GB"/>
              </w:rPr>
              <w:t>ould be viewed as similar to questi</w:t>
            </w:r>
            <w:r>
              <w:rPr>
                <w:sz w:val="18"/>
                <w:lang w:val="en-GB"/>
              </w:rPr>
              <w:t>onnaire-based online pharmacies</w:t>
            </w:r>
          </w:p>
        </w:tc>
        <w:tc>
          <w:tcPr>
            <w:tcW w:w="673" w:type="pct"/>
          </w:tcPr>
          <w:p w14:paraId="12645065" w14:textId="77777777" w:rsidR="002E293B" w:rsidRPr="00D13AF1" w:rsidRDefault="002E293B">
            <w:pPr>
              <w:pStyle w:val="Tabletext"/>
              <w:jc w:val="left"/>
              <w:cnfStyle w:val="000000100000" w:firstRow="0" w:lastRow="0" w:firstColumn="0" w:lastColumn="0" w:oddVBand="0" w:evenVBand="0" w:oddHBand="1" w:evenHBand="0" w:firstRowFirstColumn="0" w:firstRowLastColumn="0" w:lastRowFirstColumn="0" w:lastRowLastColumn="0"/>
              <w:rPr>
                <w:sz w:val="18"/>
                <w:lang w:val="en-GB"/>
              </w:rPr>
            </w:pPr>
            <w:r w:rsidRPr="00D13AF1">
              <w:rPr>
                <w:sz w:val="18"/>
                <w:lang w:val="en-GB"/>
              </w:rPr>
              <w:t>Law Society’s practice note on semi-automated online services</w:t>
            </w:r>
          </w:p>
        </w:tc>
      </w:tr>
    </w:tbl>
    <w:p w14:paraId="69BC33C6" w14:textId="6E663112" w:rsidR="002E293B" w:rsidRDefault="007A6933" w:rsidP="000F19BB">
      <w:pPr>
        <w:pStyle w:val="Tablelastnote"/>
        <w:keepNext/>
        <w:keepLines/>
      </w:pPr>
      <w:r w:rsidRPr="00D13AF1">
        <w:t>Source: Europe Economics.</w:t>
      </w:r>
    </w:p>
    <w:p w14:paraId="7771631D" w14:textId="77777777" w:rsidR="004111E2" w:rsidRDefault="004111E2" w:rsidP="002C65C6">
      <w:pPr>
        <w:pStyle w:val="Tablelastnote"/>
        <w:keepNext/>
        <w:keepLines/>
        <w:sectPr w:rsidR="004111E2" w:rsidSect="001C22CA">
          <w:headerReference w:type="default" r:id="rId29"/>
          <w:headerReference w:type="first" r:id="rId30"/>
          <w:pgSz w:w="11906" w:h="16838"/>
          <w:pgMar w:top="1701" w:right="1134" w:bottom="1134" w:left="1134" w:header="567" w:footer="397" w:gutter="0"/>
          <w:pgNumType w:start="1"/>
          <w:cols w:space="708"/>
          <w:titlePg/>
          <w:docGrid w:linePitch="360"/>
        </w:sectPr>
      </w:pPr>
    </w:p>
    <w:p w14:paraId="726FACCB" w14:textId="4144EBB2" w:rsidR="00977DE8" w:rsidRPr="00D13AF1" w:rsidRDefault="00977DE8" w:rsidP="00977DE8">
      <w:pPr>
        <w:pStyle w:val="Heading1"/>
      </w:pPr>
      <w:bookmarkStart w:id="75" w:name="_Ref499306977"/>
      <w:bookmarkStart w:id="76" w:name="_Toc504484124"/>
      <w:r w:rsidRPr="00D13AF1">
        <w:lastRenderedPageBreak/>
        <w:t>Conclusions</w:t>
      </w:r>
      <w:bookmarkEnd w:id="75"/>
      <w:bookmarkEnd w:id="76"/>
    </w:p>
    <w:p w14:paraId="01DDFA33" w14:textId="7B7A949D" w:rsidR="00D31800" w:rsidRPr="00D13AF1" w:rsidRDefault="008E1A13" w:rsidP="00234AFB">
      <w:pPr>
        <w:pStyle w:val="BodyEE"/>
      </w:pPr>
      <w:r w:rsidRPr="00D13AF1">
        <w:t xml:space="preserve">Telemedicine is a quickly evolving </w:t>
      </w:r>
      <w:r w:rsidR="003F3330" w:rsidRPr="00D13AF1">
        <w:t xml:space="preserve">area of healthcare </w:t>
      </w:r>
      <w:r w:rsidRPr="00D13AF1">
        <w:t xml:space="preserve">and, thus, often </w:t>
      </w:r>
      <w:r w:rsidR="003F3330" w:rsidRPr="00D13AF1">
        <w:t xml:space="preserve">a </w:t>
      </w:r>
      <w:r w:rsidRPr="00D13AF1">
        <w:t xml:space="preserve">challenging </w:t>
      </w:r>
      <w:r w:rsidR="003F3330" w:rsidRPr="00D13AF1">
        <w:t>one to regulate</w:t>
      </w:r>
      <w:r w:rsidRPr="00D13AF1">
        <w:t xml:space="preserve">. </w:t>
      </w:r>
      <w:r w:rsidR="00612B03" w:rsidRPr="00D13AF1">
        <w:t>T</w:t>
      </w:r>
      <w:r w:rsidR="00974260" w:rsidRPr="00D13AF1">
        <w:t>echnological progress creates opportunities for better, cheaper and more accessible medical services, but it also creates risks</w:t>
      </w:r>
      <w:r w:rsidR="00F70549">
        <w:t xml:space="preserve"> (such as inferior standard of care</w:t>
      </w:r>
      <w:r w:rsidR="00CD43B7">
        <w:t xml:space="preserve"> or lack of regulatory oversight in case</w:t>
      </w:r>
      <w:r w:rsidR="00591A8E">
        <w:t>s</w:t>
      </w:r>
      <w:r w:rsidR="00CD43B7">
        <w:t xml:space="preserve"> of cross-jurisdiction telemedicine</w:t>
      </w:r>
      <w:r w:rsidR="00F70549">
        <w:t>)</w:t>
      </w:r>
      <w:r w:rsidR="00274925" w:rsidRPr="00D13AF1">
        <w:t>,</w:t>
      </w:r>
      <w:r w:rsidR="00974260" w:rsidRPr="00D13AF1">
        <w:t xml:space="preserve"> </w:t>
      </w:r>
      <w:r w:rsidR="00274925" w:rsidRPr="00D13AF1">
        <w:t xml:space="preserve">which are </w:t>
      </w:r>
      <w:r w:rsidR="00974260" w:rsidRPr="00D13AF1">
        <w:t>recognised by regulators</w:t>
      </w:r>
      <w:r w:rsidR="009A264C" w:rsidRPr="00D13AF1">
        <w:t xml:space="preserve"> around the world. </w:t>
      </w:r>
    </w:p>
    <w:p w14:paraId="4D3CC0DC" w14:textId="1D79AEE3" w:rsidR="00274925" w:rsidRPr="00D13AF1" w:rsidRDefault="00274925" w:rsidP="00234AFB">
      <w:pPr>
        <w:pStyle w:val="BodyEE"/>
      </w:pPr>
      <w:r w:rsidRPr="00D13AF1">
        <w:t xml:space="preserve">In our research, we found that telemedicine </w:t>
      </w:r>
      <w:r w:rsidR="00C604E3" w:rsidRPr="00D13AF1">
        <w:t xml:space="preserve">was usually perceived as a </w:t>
      </w:r>
      <w:r w:rsidR="00A555E8" w:rsidRPr="00D13AF1">
        <w:t>means</w:t>
      </w:r>
      <w:r w:rsidR="00C604E3" w:rsidRPr="00D13AF1">
        <w:t xml:space="preserve"> of </w:t>
      </w:r>
      <w:r w:rsidR="00A555E8" w:rsidRPr="00D13AF1">
        <w:rPr>
          <w:i/>
        </w:rPr>
        <w:t>delivering</w:t>
      </w:r>
      <w:r w:rsidR="00A555E8" w:rsidRPr="00D13AF1">
        <w:t xml:space="preserve"> </w:t>
      </w:r>
      <w:r w:rsidR="00C604E3" w:rsidRPr="00D13AF1">
        <w:t>medical services rather than a medical service which is distinct from more traditional healthcare. Telemedicine seems to be</w:t>
      </w:r>
      <w:r w:rsidRPr="00D13AF1">
        <w:t xml:space="preserve"> defined</w:t>
      </w:r>
      <w:r w:rsidR="00C604E3" w:rsidRPr="00D13AF1">
        <w:t xml:space="preserve"> in broadly</w:t>
      </w:r>
      <w:r w:rsidRPr="00D13AF1">
        <w:t xml:space="preserve"> similar </w:t>
      </w:r>
      <w:r w:rsidR="00C604E3" w:rsidRPr="00D13AF1">
        <w:t xml:space="preserve">terms </w:t>
      </w:r>
      <w:r w:rsidRPr="00D13AF1">
        <w:t xml:space="preserve">across jurisdictions, i.e. as a medical </w:t>
      </w:r>
      <w:r w:rsidR="00C604E3" w:rsidRPr="00D13AF1">
        <w:t>service</w:t>
      </w:r>
      <w:r w:rsidRPr="00D13AF1">
        <w:t xml:space="preserve"> provided remotely using ICT. It is usually interpreted as </w:t>
      </w:r>
      <w:r w:rsidR="00F9701A" w:rsidRPr="00D13AF1">
        <w:t>an interaction between a patient and a doctor, but in many jurisdictions it</w:t>
      </w:r>
      <w:r w:rsidR="003F3330" w:rsidRPr="00D13AF1">
        <w:t xml:space="preserve"> is</w:t>
      </w:r>
      <w:r w:rsidR="00F9701A" w:rsidRPr="00D13AF1">
        <w:t xml:space="preserve"> recognised that it could also include </w:t>
      </w:r>
      <w:r w:rsidR="00001348" w:rsidRPr="00D13AF1">
        <w:t>consultations and services exchanged between medical professionals</w:t>
      </w:r>
      <w:r w:rsidR="003F3330" w:rsidRPr="00D13AF1">
        <w:t xml:space="preserve"> (or even only between the latter)</w:t>
      </w:r>
      <w:r w:rsidR="00001348" w:rsidRPr="00D13AF1">
        <w:t xml:space="preserve">. </w:t>
      </w:r>
      <w:r w:rsidR="007B0D92" w:rsidRPr="00D13AF1">
        <w:t>Telemedicin</w:t>
      </w:r>
      <w:r w:rsidR="00C129F8">
        <w:t xml:space="preserve">e is not necessarily limited to </w:t>
      </w:r>
      <w:r w:rsidR="007B0D92" w:rsidRPr="00D13AF1">
        <w:t xml:space="preserve">consultations, and might also include diagnosis and treatment. </w:t>
      </w:r>
    </w:p>
    <w:p w14:paraId="6A9261C8" w14:textId="11441237" w:rsidR="00C604E3" w:rsidRDefault="004C398F" w:rsidP="00234AFB">
      <w:pPr>
        <w:pStyle w:val="BodyEE"/>
      </w:pPr>
      <w:r w:rsidRPr="00D13AF1">
        <w:t xml:space="preserve">There are two </w:t>
      </w:r>
      <w:r w:rsidR="00A555E8" w:rsidRPr="00D13AF1">
        <w:t>general categories of</w:t>
      </w:r>
      <w:r w:rsidR="000A2C65" w:rsidRPr="00D13AF1">
        <w:t xml:space="preserve"> requirements imposed on doctors practi</w:t>
      </w:r>
      <w:r w:rsidR="00965CF0">
        <w:t>s</w:t>
      </w:r>
      <w:r w:rsidR="000A2C65" w:rsidRPr="00D13AF1">
        <w:t>ing telemedicine</w:t>
      </w:r>
      <w:r w:rsidRPr="00D13AF1">
        <w:t xml:space="preserve">: </w:t>
      </w:r>
      <w:r w:rsidR="000F19BB">
        <w:t xml:space="preserve">entry </w:t>
      </w:r>
      <w:r w:rsidRPr="00D13AF1">
        <w:t>licensing</w:t>
      </w:r>
      <w:r w:rsidR="000F19BB">
        <w:t>/registration</w:t>
      </w:r>
      <w:r w:rsidRPr="00D13AF1">
        <w:t xml:space="preserve"> requirements</w:t>
      </w:r>
      <w:r w:rsidR="000F19BB">
        <w:t xml:space="preserve"> for permission to practise medicine,</w:t>
      </w:r>
      <w:r w:rsidRPr="00D13AF1">
        <w:t xml:space="preserve"> and</w:t>
      </w:r>
      <w:r w:rsidR="000F19BB">
        <w:t xml:space="preserve"> ongoing</w:t>
      </w:r>
      <w:r w:rsidRPr="00D13AF1">
        <w:t xml:space="preserve"> requirements </w:t>
      </w:r>
      <w:r w:rsidR="000F19BB">
        <w:t xml:space="preserve">related to the </w:t>
      </w:r>
      <w:r w:rsidRPr="00D13AF1">
        <w:t xml:space="preserve">provision of </w:t>
      </w:r>
      <w:r w:rsidR="003F3330" w:rsidRPr="00D13AF1">
        <w:t xml:space="preserve">the </w:t>
      </w:r>
      <w:r w:rsidRPr="00D13AF1">
        <w:t xml:space="preserve">telemedicine services themselves. </w:t>
      </w:r>
      <w:r w:rsidR="00D32365" w:rsidRPr="00D13AF1">
        <w:t xml:space="preserve">The licensing requirement </w:t>
      </w:r>
      <w:r w:rsidR="00F34289" w:rsidRPr="00D13AF1">
        <w:t>is</w:t>
      </w:r>
      <w:r w:rsidR="00D32365" w:rsidRPr="00D13AF1">
        <w:t xml:space="preserve"> the main </w:t>
      </w:r>
      <w:r w:rsidR="00EE3901" w:rsidRPr="00D13AF1">
        <w:t xml:space="preserve">tool </w:t>
      </w:r>
      <w:r w:rsidR="00F34289" w:rsidRPr="00D13AF1">
        <w:t xml:space="preserve">regulators use </w:t>
      </w:r>
      <w:r w:rsidR="00EE3901" w:rsidRPr="00D13AF1">
        <w:t xml:space="preserve">to ensure </w:t>
      </w:r>
      <w:r w:rsidR="00F34289" w:rsidRPr="00D13AF1">
        <w:t xml:space="preserve">a form of </w:t>
      </w:r>
      <w:r w:rsidR="00EE3901" w:rsidRPr="00D13AF1">
        <w:t>proactive oversight over doctors providing medical services while being located (and subject to regulation</w:t>
      </w:r>
      <w:r w:rsidR="00C129F8">
        <w:t>) in</w:t>
      </w:r>
      <w:r w:rsidR="00EE3901" w:rsidRPr="00D13AF1">
        <w:t xml:space="preserve"> </w:t>
      </w:r>
      <w:r w:rsidR="003F3330" w:rsidRPr="00D13AF1">
        <w:t xml:space="preserve">both </w:t>
      </w:r>
      <w:r w:rsidR="00A555E8" w:rsidRPr="00D13AF1">
        <w:t xml:space="preserve">their jurisdiction and in </w:t>
      </w:r>
      <w:r w:rsidR="00EE3901" w:rsidRPr="00D13AF1">
        <w:t xml:space="preserve">another </w:t>
      </w:r>
      <w:r w:rsidR="00F34289" w:rsidRPr="00D13AF1">
        <w:t>jurisdiction</w:t>
      </w:r>
      <w:r w:rsidR="00EE3901" w:rsidRPr="00D13AF1">
        <w:t xml:space="preserve">. </w:t>
      </w:r>
      <w:r w:rsidR="00B84CE3" w:rsidRPr="00D13AF1">
        <w:t xml:space="preserve">It is also the strongest requirement which might have legal implications if not complied with. </w:t>
      </w:r>
      <w:r w:rsidR="00F34289" w:rsidRPr="00D13AF1">
        <w:t xml:space="preserve">However, </w:t>
      </w:r>
      <w:r w:rsidR="00CD43B7">
        <w:t>in cases where doctors practi</w:t>
      </w:r>
      <w:r w:rsidR="00965CF0">
        <w:t>s</w:t>
      </w:r>
      <w:r w:rsidR="00CD43B7">
        <w:t xml:space="preserve">ing telemedicine are outside the regulator’s jurisdiction, </w:t>
      </w:r>
      <w:r w:rsidR="00F34289" w:rsidRPr="00D13AF1">
        <w:t xml:space="preserve">this </w:t>
      </w:r>
      <w:r w:rsidR="006C2855" w:rsidRPr="00D13AF1">
        <w:t>tool is available only to certain regulators, most nota</w:t>
      </w:r>
      <w:r w:rsidR="00DF1769" w:rsidRPr="00D13AF1">
        <w:t xml:space="preserve">bly those in the </w:t>
      </w:r>
      <w:r w:rsidR="00996726">
        <w:t>USA</w:t>
      </w:r>
      <w:r w:rsidR="00DF1769" w:rsidRPr="00D13AF1">
        <w:t xml:space="preserve"> and Canada. In those jurisdictions, the </w:t>
      </w:r>
      <w:r w:rsidR="003F3330" w:rsidRPr="00D13AF1">
        <w:t>licen</w:t>
      </w:r>
      <w:r w:rsidR="00965CF0">
        <w:t>c</w:t>
      </w:r>
      <w:r w:rsidR="003F3330" w:rsidRPr="00D13AF1">
        <w:t xml:space="preserve">e </w:t>
      </w:r>
      <w:r w:rsidR="00DF1769" w:rsidRPr="00D13AF1">
        <w:t>requirements for practi</w:t>
      </w:r>
      <w:r w:rsidR="00965CF0">
        <w:t>s</w:t>
      </w:r>
      <w:r w:rsidR="00DF1769" w:rsidRPr="00D13AF1">
        <w:t>ing telemedicine are generally the same as the requirements</w:t>
      </w:r>
      <w:r w:rsidR="00696165" w:rsidRPr="00D13AF1">
        <w:t xml:space="preserve"> for practi</w:t>
      </w:r>
      <w:r w:rsidR="00965CF0">
        <w:t>s</w:t>
      </w:r>
      <w:r w:rsidR="00696165" w:rsidRPr="00D13AF1">
        <w:t>ing in the</w:t>
      </w:r>
      <w:r w:rsidR="00DF1769" w:rsidRPr="00D13AF1">
        <w:t xml:space="preserve"> traditional</w:t>
      </w:r>
      <w:r w:rsidR="00B84CE3" w:rsidRPr="00D13AF1">
        <w:t xml:space="preserve"> face-to-face manner, but in some cases an abbreviated or cheaper licen</w:t>
      </w:r>
      <w:r w:rsidR="00965CF0">
        <w:t>c</w:t>
      </w:r>
      <w:r w:rsidR="00B84CE3" w:rsidRPr="00D13AF1">
        <w:t>e is available if used solely for the purpose of telemedicine</w:t>
      </w:r>
      <w:r w:rsidR="003F3330" w:rsidRPr="00D13AF1">
        <w:t>,</w:t>
      </w:r>
      <w:r w:rsidR="00B84CE3" w:rsidRPr="00D13AF1">
        <w:t xml:space="preserve"> or for a small number of patients. </w:t>
      </w:r>
    </w:p>
    <w:p w14:paraId="60FBC054" w14:textId="6E9A7BC1" w:rsidR="00A00603" w:rsidRPr="00D13AF1" w:rsidRDefault="006F5CF4" w:rsidP="00234AFB">
      <w:pPr>
        <w:pStyle w:val="BodyEE"/>
      </w:pPr>
      <w:r>
        <w:t xml:space="preserve">The remit of </w:t>
      </w:r>
      <w:r w:rsidR="00A00603">
        <w:t>European regulators — including the GMC —</w:t>
      </w:r>
      <w:r>
        <w:t xml:space="preserve"> </w:t>
      </w:r>
      <w:r w:rsidR="00A00603">
        <w:t xml:space="preserve">seems </w:t>
      </w:r>
      <w:r>
        <w:t xml:space="preserve">to include only doctors (and other medical professionals, where relevant) who are physically </w:t>
      </w:r>
      <w:r w:rsidR="006345ED">
        <w:t>located in their jurisdictions. This appears to be a material limitation in terms of overseeing cross-jurisdiction telemedicine services.</w:t>
      </w:r>
    </w:p>
    <w:p w14:paraId="737CB024" w14:textId="7B7B874B" w:rsidR="008972FE" w:rsidRPr="00D13AF1" w:rsidRDefault="00B84CE3" w:rsidP="008972FE">
      <w:pPr>
        <w:pStyle w:val="BodyEE"/>
      </w:pPr>
      <w:r w:rsidRPr="00D13AF1">
        <w:t xml:space="preserve">Requirements relevant to the provision of telemedicine services themselves are usually in the form of standards, policies or codes of conduct. </w:t>
      </w:r>
      <w:r w:rsidR="008A0531" w:rsidRPr="00D13AF1">
        <w:t xml:space="preserve">While </w:t>
      </w:r>
      <w:r w:rsidR="00693456" w:rsidRPr="00D13AF1">
        <w:t xml:space="preserve">compulsory to adhere to </w:t>
      </w:r>
      <w:r w:rsidR="008A0531" w:rsidRPr="00D13AF1">
        <w:t>in</w:t>
      </w:r>
      <w:r w:rsidR="00693456" w:rsidRPr="00D13AF1">
        <w:t xml:space="preserve"> theory</w:t>
      </w:r>
      <w:r w:rsidR="00A555E8" w:rsidRPr="00D13AF1">
        <w:t xml:space="preserve"> (i.e. as a c</w:t>
      </w:r>
      <w:r w:rsidR="00391000">
        <w:t>ondition of maintain</w:t>
      </w:r>
      <w:r w:rsidR="00C129F8">
        <w:t>ing a licence to practi</w:t>
      </w:r>
      <w:r w:rsidR="00C2373D">
        <w:t>s</w:t>
      </w:r>
      <w:r w:rsidR="00A555E8" w:rsidRPr="00D13AF1">
        <w:t>e)</w:t>
      </w:r>
      <w:r w:rsidR="00693456" w:rsidRPr="00D13AF1">
        <w:t xml:space="preserve">, these requirements are much harder to monitor and enforce. </w:t>
      </w:r>
      <w:r w:rsidR="00845444" w:rsidRPr="00D13AF1">
        <w:t xml:space="preserve">The key requirements we found in our research </w:t>
      </w:r>
      <w:r w:rsidR="00AB089B" w:rsidRPr="00D13AF1">
        <w:t>relate to:</w:t>
      </w:r>
    </w:p>
    <w:p w14:paraId="4A9D2A78" w14:textId="3C81620F" w:rsidR="00AB089B" w:rsidRPr="00D13AF1" w:rsidRDefault="00AB089B" w:rsidP="00AB089B">
      <w:pPr>
        <w:pStyle w:val="Bulletlevel1"/>
      </w:pPr>
      <w:r w:rsidRPr="00D13AF1">
        <w:t xml:space="preserve">ensuring the same standard of care as </w:t>
      </w:r>
      <w:r w:rsidR="00A555E8" w:rsidRPr="00D13AF1">
        <w:t>that</w:t>
      </w:r>
      <w:r w:rsidRPr="00D13AF1">
        <w:t xml:space="preserve"> of face-to-face healthcare; </w:t>
      </w:r>
    </w:p>
    <w:p w14:paraId="35458FF5" w14:textId="7A37876F" w:rsidR="00AB089B" w:rsidRPr="00D13AF1" w:rsidRDefault="00AB089B" w:rsidP="00AB089B">
      <w:pPr>
        <w:pStyle w:val="Bulletlevel1"/>
      </w:pPr>
      <w:r w:rsidRPr="00D13AF1">
        <w:t>ensuring that telemedicine is an appropriate method of delivering healthcare;</w:t>
      </w:r>
    </w:p>
    <w:p w14:paraId="1051D325" w14:textId="5EC7CCD0" w:rsidR="00AB089B" w:rsidRPr="00D13AF1" w:rsidRDefault="00AB089B" w:rsidP="00AB089B">
      <w:pPr>
        <w:pStyle w:val="Bulletlevel1"/>
      </w:pPr>
      <w:r w:rsidRPr="00D13AF1">
        <w:t>ensuring that sufficient information regarding patient’s medical history and current condition is available for diagnosing and/or treating patient</w:t>
      </w:r>
      <w:r w:rsidR="00D829C1">
        <w:t>s</w:t>
      </w:r>
      <w:r w:rsidRPr="00D13AF1">
        <w:t>;</w:t>
      </w:r>
    </w:p>
    <w:p w14:paraId="212BB08C" w14:textId="71F7E409" w:rsidR="00AB089B" w:rsidRPr="00D13AF1" w:rsidRDefault="00AB089B" w:rsidP="00AB089B">
      <w:pPr>
        <w:pStyle w:val="Bulletlevel1"/>
      </w:pPr>
      <w:r w:rsidRPr="00D13AF1">
        <w:t xml:space="preserve">ensuring confidentiality, safety and security of the exchanged </w:t>
      </w:r>
      <w:r w:rsidR="00616460" w:rsidRPr="00D13AF1">
        <w:t>information;</w:t>
      </w:r>
    </w:p>
    <w:p w14:paraId="519E9C3F" w14:textId="38BB942A" w:rsidR="00616460" w:rsidRPr="00D13AF1" w:rsidRDefault="00616460" w:rsidP="00AB089B">
      <w:pPr>
        <w:pStyle w:val="Bulletlevel1"/>
      </w:pPr>
      <w:r w:rsidRPr="00D13AF1">
        <w:t>obtaining patient’s consent for this method of providing medical services, sometimes paired with a requirement to provide an overview of what the patient can expect from a tele-consultation or tele-treatment;</w:t>
      </w:r>
      <w:r w:rsidR="003F3330" w:rsidRPr="00D13AF1">
        <w:t xml:space="preserve"> and</w:t>
      </w:r>
    </w:p>
    <w:p w14:paraId="5D1461C6" w14:textId="0F2FDB03" w:rsidR="00616460" w:rsidRPr="00D13AF1" w:rsidRDefault="00616460" w:rsidP="00AB089B">
      <w:pPr>
        <w:pStyle w:val="Bulletlevel1"/>
      </w:pPr>
      <w:r w:rsidRPr="00D13AF1">
        <w:t xml:space="preserve">confirming </w:t>
      </w:r>
      <w:r w:rsidR="003F3330" w:rsidRPr="00D13AF1">
        <w:t xml:space="preserve">a </w:t>
      </w:r>
      <w:r w:rsidRPr="00D13AF1">
        <w:t>patient’s identity and maintaining medical records.</w:t>
      </w:r>
    </w:p>
    <w:p w14:paraId="113112CC" w14:textId="77777777" w:rsidR="00A120F7" w:rsidRDefault="00A120F7" w:rsidP="00A120F7">
      <w:pPr>
        <w:pStyle w:val="BodyEE"/>
      </w:pPr>
      <w:r>
        <w:t xml:space="preserve">The key types of telemedicine requirements adopted elsewhere in the world appear to be mirroring the challenges some of the UK regulators already observed in the context of remote medical care. In particular, among the telemedicine-related concerns raised by the </w:t>
      </w:r>
      <w:r w:rsidRPr="00154AA7">
        <w:t>Care Quality Commission</w:t>
      </w:r>
      <w:r>
        <w:t xml:space="preserve"> (CQC) are:</w:t>
      </w:r>
    </w:p>
    <w:p w14:paraId="22AADEA6" w14:textId="4D0234BE" w:rsidR="00A120F7" w:rsidRPr="00D13AF1" w:rsidRDefault="00A120F7" w:rsidP="00A120F7">
      <w:pPr>
        <w:pStyle w:val="Bulletlevel1"/>
      </w:pPr>
      <w:r w:rsidRPr="00D13AF1">
        <w:lastRenderedPageBreak/>
        <w:t xml:space="preserve">access to patients’ long-term medical records </w:t>
      </w:r>
      <w:r>
        <w:t>— which relates to the requirement to ensure that sufficient information regarding patients</w:t>
      </w:r>
      <w:r w:rsidR="001D3AD6">
        <w:t>’</w:t>
      </w:r>
      <w:r>
        <w:t xml:space="preserve"> medical history and current condition is available for diagnosing and/or treating patient</w:t>
      </w:r>
      <w:r w:rsidR="001D3AD6">
        <w:t>s</w:t>
      </w:r>
      <w:r>
        <w:t>;</w:t>
      </w:r>
    </w:p>
    <w:p w14:paraId="102C452C" w14:textId="7E928CEB" w:rsidR="00A120F7" w:rsidRPr="00D13AF1" w:rsidRDefault="00A120F7" w:rsidP="00A120F7">
      <w:pPr>
        <w:pStyle w:val="Bulletlevel1"/>
      </w:pPr>
      <w:r w:rsidRPr="00D13AF1">
        <w:t xml:space="preserve">identification of the patient, including some key characteristics such as </w:t>
      </w:r>
      <w:r>
        <w:t>age, gender, body weight etc. — which relates to the requirement to confirm patients</w:t>
      </w:r>
      <w:r w:rsidR="001D3AD6">
        <w:t>’</w:t>
      </w:r>
      <w:r>
        <w:t xml:space="preserve"> </w:t>
      </w:r>
      <w:r w:rsidR="001D3AD6">
        <w:t>identities</w:t>
      </w:r>
      <w:r>
        <w:t>;</w:t>
      </w:r>
    </w:p>
    <w:p w14:paraId="0D666BAD" w14:textId="77777777" w:rsidR="00A120F7" w:rsidRPr="00682E85" w:rsidRDefault="00A120F7" w:rsidP="00A120F7">
      <w:pPr>
        <w:pStyle w:val="Bulletlevel1"/>
      </w:pPr>
      <w:r w:rsidRPr="00D13AF1">
        <w:t>healthcare based on an asynchronous, text-based relationship (e.g. questio</w:t>
      </w:r>
      <w:r>
        <w:t>nnaires or standardised emails — which relates, again, to the requirement that sufficient medical information is obtained before forming a diagnosis or starting treatment, but also to the fact that some regulators do not consider single-modality communication to fall within the scope of telemedicine;</w:t>
      </w:r>
    </w:p>
    <w:p w14:paraId="2D3D724A" w14:textId="57351885" w:rsidR="00A120F7" w:rsidRPr="00D13AF1" w:rsidRDefault="00A120F7" w:rsidP="00A120F7">
      <w:pPr>
        <w:pStyle w:val="Bulletlevel1"/>
      </w:pPr>
      <w:r>
        <w:t xml:space="preserve">requesting confidentiality being potentially abused by patients to avoid sensitive </w:t>
      </w:r>
      <w:r w:rsidRPr="00D13AF1">
        <w:t xml:space="preserve">information </w:t>
      </w:r>
      <w:r>
        <w:t xml:space="preserve">being shared between the remote doctor and their primary </w:t>
      </w:r>
      <w:r w:rsidRPr="00D13AF1">
        <w:t xml:space="preserve">healthcare </w:t>
      </w:r>
      <w:r>
        <w:t xml:space="preserve">provider — which is closely matched by the concerns of the </w:t>
      </w:r>
      <w:r w:rsidR="00996726">
        <w:t>USA</w:t>
      </w:r>
      <w:r>
        <w:t xml:space="preserve"> and Canadian regulators that telemedicine increases the risk of patients being treated in isolation of other healthcare services they receive, and which could be mitigated (as some regulators and organisations from jurisdictions outside North America do) by a requirement (or encouragement) to provide telemedicine only in cases of pre-established face-to-face relationship between the patient and the doctor, or at least a physical intermediation from another healthcare professional at the location of the patient.</w:t>
      </w:r>
    </w:p>
    <w:p w14:paraId="383BC90C" w14:textId="4A9BBD54" w:rsidR="00A870AF" w:rsidRDefault="00A870AF" w:rsidP="00A870AF">
      <w:pPr>
        <w:pStyle w:val="BodyEE"/>
      </w:pPr>
      <w:r w:rsidRPr="00D13AF1">
        <w:t xml:space="preserve">Many of the interviewed regulators expressed </w:t>
      </w:r>
      <w:r w:rsidR="007434EB" w:rsidRPr="00D13AF1">
        <w:t>a concern that, while telemedicine could be extremely helpful in terms of increasing accessibility of healthcare in remote or rural areas, it is often difficult for the regulator to monitor and ensure the same quality of care is provided as in medical services provided in a more traditional, face-to-face setting.</w:t>
      </w:r>
      <w:r w:rsidR="00DB5759" w:rsidRPr="00D13AF1">
        <w:t xml:space="preserve"> First, </w:t>
      </w:r>
      <w:r w:rsidR="008806E5" w:rsidRPr="00D13AF1">
        <w:t>technolog</w:t>
      </w:r>
      <w:r w:rsidR="0050663D" w:rsidRPr="00D13AF1">
        <w:t xml:space="preserve">y </w:t>
      </w:r>
      <w:r w:rsidR="008806E5" w:rsidRPr="00D13AF1">
        <w:t>make</w:t>
      </w:r>
      <w:r w:rsidR="0050663D" w:rsidRPr="00D13AF1">
        <w:t>s</w:t>
      </w:r>
      <w:r w:rsidR="008806E5" w:rsidRPr="00D13AF1">
        <w:t xml:space="preserve"> </w:t>
      </w:r>
      <w:r w:rsidR="00741EB1" w:rsidRPr="00D13AF1">
        <w:t xml:space="preserve">it possible to provide </w:t>
      </w:r>
      <w:r w:rsidR="008806E5" w:rsidRPr="00D13AF1">
        <w:t xml:space="preserve">telemedicine </w:t>
      </w:r>
      <w:r w:rsidR="00741EB1" w:rsidRPr="00D13AF1">
        <w:t xml:space="preserve">services from </w:t>
      </w:r>
      <w:r w:rsidR="001C5A1D" w:rsidRPr="00D13AF1">
        <w:t>outside the regulator’s jurisdiction (and thus its area of influence)</w:t>
      </w:r>
      <w:r w:rsidR="00A555E8" w:rsidRPr="00D13AF1">
        <w:t>,</w:t>
      </w:r>
      <w:r w:rsidR="001C5A1D" w:rsidRPr="00D13AF1">
        <w:t xml:space="preserve"> but also </w:t>
      </w:r>
      <w:r w:rsidR="0050663D" w:rsidRPr="00D13AF1">
        <w:t xml:space="preserve">it means that in practice it is often </w:t>
      </w:r>
      <w:r w:rsidR="00DB5759" w:rsidRPr="00D13AF1">
        <w:t>impossible to track who is in fac</w:t>
      </w:r>
      <w:r w:rsidR="0050663D" w:rsidRPr="00D13AF1">
        <w:t>t providing the medical service.</w:t>
      </w:r>
      <w:r w:rsidR="00DB5759" w:rsidRPr="00D13AF1">
        <w:t xml:space="preserve"> Second, patients often seem to be willing to accept a lower standard of care in exchange for increased privacy or immediate access to a doctor.</w:t>
      </w:r>
    </w:p>
    <w:p w14:paraId="2B081B0F" w14:textId="2AFA779D" w:rsidR="00A870AF" w:rsidRPr="00D13AF1" w:rsidRDefault="001A40BD" w:rsidP="00A870AF">
      <w:pPr>
        <w:pStyle w:val="BodyEE"/>
      </w:pPr>
      <w:r w:rsidRPr="00D13AF1">
        <w:t xml:space="preserve">Even though </w:t>
      </w:r>
      <w:r w:rsidR="0050663D" w:rsidRPr="00D13AF1">
        <w:t xml:space="preserve">in </w:t>
      </w:r>
      <w:r w:rsidRPr="00D13AF1">
        <w:t>some jurisdictions we reviewed telemedicine has been practi</w:t>
      </w:r>
      <w:r w:rsidR="00C2373D">
        <w:t>s</w:t>
      </w:r>
      <w:r w:rsidRPr="00D13AF1">
        <w:t xml:space="preserve">ed for many years and appears to be relatively common, the relevant regulation is still evolving. </w:t>
      </w:r>
    </w:p>
    <w:p w14:paraId="7881E6B1" w14:textId="77777777" w:rsidR="001A40BD" w:rsidRPr="00D13AF1" w:rsidRDefault="001A40BD" w:rsidP="00A870AF">
      <w:pPr>
        <w:pStyle w:val="BodyEE"/>
        <w:sectPr w:rsidR="001A40BD" w:rsidRPr="00D13AF1" w:rsidSect="00775F06">
          <w:headerReference w:type="first" r:id="rId31"/>
          <w:pgSz w:w="11906" w:h="16838"/>
          <w:pgMar w:top="1701" w:right="1134" w:bottom="1134" w:left="1134" w:header="567" w:footer="397" w:gutter="0"/>
          <w:cols w:space="708"/>
          <w:titlePg/>
          <w:docGrid w:linePitch="360"/>
        </w:sectPr>
      </w:pPr>
    </w:p>
    <w:p w14:paraId="7E932477" w14:textId="77777777" w:rsidR="00255B2F" w:rsidRPr="00D13AF1" w:rsidRDefault="00255B2F" w:rsidP="00255B2F">
      <w:pPr>
        <w:pStyle w:val="Bulletlevel1"/>
        <w:numPr>
          <w:ilvl w:val="0"/>
          <w:numId w:val="0"/>
        </w:numPr>
      </w:pPr>
      <w:r w:rsidRPr="00D13AF1">
        <w:rPr>
          <w:rStyle w:val="SectionDividerChar"/>
          <w:noProof/>
          <w:color w:val="18416A" w:themeColor="accent5"/>
          <w:lang w:eastAsia="en-GB"/>
        </w:rPr>
        <w:lastRenderedPageBreak/>
        <w:drawing>
          <wp:anchor distT="0" distB="0" distL="114300" distR="114300" simplePos="0" relativeHeight="251656192" behindDoc="1" locked="0" layoutInCell="1" allowOverlap="1" wp14:anchorId="53AF812B" wp14:editId="7D1804C1">
            <wp:simplePos x="0" y="0"/>
            <wp:positionH relativeFrom="page">
              <wp:posOffset>0</wp:posOffset>
            </wp:positionH>
            <wp:positionV relativeFrom="page">
              <wp:posOffset>19050</wp:posOffset>
            </wp:positionV>
            <wp:extent cx="7559624" cy="10668000"/>
            <wp:effectExtent l="0" t="0" r="381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 - CL copy.jpg"/>
                    <pic:cNvPicPr/>
                  </pic:nvPicPr>
                  <pic:blipFill>
                    <a:blip r:embed="rId32">
                      <a:extLst>
                        <a:ext uri="{28A0092B-C50C-407E-A947-70E740481C1C}">
                          <a14:useLocalDpi xmlns:a14="http://schemas.microsoft.com/office/drawing/2010/main" val="0"/>
                        </a:ext>
                      </a:extLst>
                    </a:blip>
                    <a:stretch>
                      <a:fillRect/>
                    </a:stretch>
                  </pic:blipFill>
                  <pic:spPr>
                    <a:xfrm>
                      <a:off x="0" y="0"/>
                      <a:ext cx="7575491" cy="106903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EAEE61" w14:textId="12A0FD28" w:rsidR="00255B2F" w:rsidRPr="00D13AF1" w:rsidRDefault="00255B2F" w:rsidP="00255B2F">
      <w:pPr>
        <w:pStyle w:val="Heading1"/>
        <w:pageBreakBefore w:val="0"/>
        <w:numPr>
          <w:ilvl w:val="0"/>
          <w:numId w:val="0"/>
        </w:numPr>
        <w:ind w:left="709" w:hanging="709"/>
        <w:rPr>
          <w:b/>
          <w:color w:val="C64187" w:themeColor="accent2"/>
        </w:rPr>
      </w:pPr>
      <w:bookmarkStart w:id="77" w:name="_Ref487459874"/>
      <w:bookmarkStart w:id="78" w:name="_Toc488047288"/>
      <w:bookmarkStart w:id="79" w:name="_Ref499307047"/>
      <w:bookmarkStart w:id="80" w:name="_Ref499718764"/>
      <w:bookmarkStart w:id="81" w:name="_Toc504484125"/>
      <w:r w:rsidRPr="00D13AF1">
        <w:rPr>
          <w:b/>
          <w:color w:val="C64187" w:themeColor="accent2"/>
        </w:rPr>
        <w:t>Appendix</w:t>
      </w:r>
      <w:bookmarkEnd w:id="77"/>
      <w:bookmarkEnd w:id="78"/>
      <w:r w:rsidR="00D02020" w:rsidRPr="00D13AF1">
        <w:rPr>
          <w:b/>
          <w:color w:val="C64187" w:themeColor="accent2"/>
        </w:rPr>
        <w:t xml:space="preserve"> 1 — online </w:t>
      </w:r>
      <w:bookmarkEnd w:id="79"/>
      <w:r w:rsidR="00517F81">
        <w:rPr>
          <w:b/>
          <w:color w:val="C64187" w:themeColor="accent2"/>
        </w:rPr>
        <w:t>survey</w:t>
      </w:r>
      <w:bookmarkEnd w:id="80"/>
      <w:bookmarkEnd w:id="81"/>
      <w:r w:rsidR="00517F81">
        <w:rPr>
          <w:b/>
          <w:color w:val="C64187" w:themeColor="accent2"/>
        </w:rPr>
        <w:t xml:space="preserve"> </w:t>
      </w:r>
    </w:p>
    <w:p w14:paraId="68C7E776" w14:textId="77777777" w:rsidR="00255B2F" w:rsidRPr="00D13AF1" w:rsidRDefault="00255B2F" w:rsidP="00255B2F"/>
    <w:p w14:paraId="58078D2E" w14:textId="77777777" w:rsidR="00255B2F" w:rsidRPr="00D13AF1" w:rsidRDefault="00255B2F" w:rsidP="00255B2F">
      <w:pPr>
        <w:sectPr w:rsidR="00255B2F" w:rsidRPr="00D13AF1" w:rsidSect="003874E5">
          <w:headerReference w:type="default" r:id="rId33"/>
          <w:headerReference w:type="first" r:id="rId34"/>
          <w:footerReference w:type="first" r:id="rId35"/>
          <w:pgSz w:w="11906" w:h="16838"/>
          <w:pgMar w:top="9923" w:right="1134" w:bottom="1134" w:left="1134" w:header="567" w:footer="397" w:gutter="0"/>
          <w:cols w:space="708"/>
          <w:docGrid w:linePitch="360"/>
        </w:sectPr>
      </w:pPr>
    </w:p>
    <w:p w14:paraId="40A2FB75" w14:textId="68F1EECD" w:rsidR="00D96AB4" w:rsidRPr="00397FF0" w:rsidRDefault="00D96AB4" w:rsidP="00397FF0">
      <w:pPr>
        <w:pStyle w:val="Heading1"/>
        <w:ind w:left="709" w:hanging="714"/>
        <w:rPr>
          <w:color w:val="C64187" w:themeColor="accent2"/>
        </w:rPr>
      </w:pPr>
      <w:bookmarkStart w:id="82" w:name="_Toc504484126"/>
      <w:bookmarkStart w:id="83" w:name="_Ref494191994"/>
      <w:r w:rsidRPr="00397FF0">
        <w:rPr>
          <w:color w:val="C64187" w:themeColor="accent2"/>
        </w:rPr>
        <w:lastRenderedPageBreak/>
        <w:t xml:space="preserve">Telemedicine </w:t>
      </w:r>
      <w:r w:rsidR="00501441" w:rsidRPr="00397FF0">
        <w:rPr>
          <w:color w:val="C64187" w:themeColor="accent2"/>
        </w:rPr>
        <w:t xml:space="preserve">Online </w:t>
      </w:r>
      <w:r w:rsidRPr="00397FF0">
        <w:rPr>
          <w:color w:val="C64187" w:themeColor="accent2"/>
        </w:rPr>
        <w:t>Survey</w:t>
      </w:r>
      <w:bookmarkEnd w:id="82"/>
    </w:p>
    <w:p w14:paraId="479592FE" w14:textId="77777777" w:rsidR="00D96AB4" w:rsidRPr="00D13AF1" w:rsidRDefault="00D96AB4" w:rsidP="00523C25">
      <w:pPr>
        <w:pStyle w:val="BodyEE"/>
        <w:keepNext/>
        <w:spacing w:before="240"/>
        <w:rPr>
          <w:rFonts w:asciiTheme="majorHAnsi" w:hAnsiTheme="majorHAnsi"/>
          <w:color w:val="C64187" w:themeColor="accent2"/>
          <w:sz w:val="32"/>
          <w:szCs w:val="32"/>
        </w:rPr>
      </w:pPr>
      <w:r w:rsidRPr="00D13AF1">
        <w:rPr>
          <w:rFonts w:asciiTheme="majorHAnsi" w:hAnsiTheme="majorHAnsi"/>
          <w:color w:val="C64187" w:themeColor="accent2"/>
          <w:sz w:val="32"/>
          <w:szCs w:val="32"/>
        </w:rPr>
        <w:t>Introduction</w:t>
      </w:r>
    </w:p>
    <w:p w14:paraId="5034EBCB" w14:textId="77777777" w:rsidR="00D96AB4" w:rsidRPr="00D13AF1" w:rsidRDefault="00D96AB4" w:rsidP="00C5567F">
      <w:pPr>
        <w:pStyle w:val="BodyEE"/>
        <w:rPr>
          <w:color w:val="38383A" w:themeColor="text2"/>
        </w:rPr>
      </w:pPr>
      <w:r w:rsidRPr="00D13AF1">
        <w:rPr>
          <w:color w:val="38383A" w:themeColor="text2"/>
        </w:rPr>
        <w:t>Thank you for responding to our questionnaire.</w:t>
      </w:r>
    </w:p>
    <w:p w14:paraId="1F00916B" w14:textId="65031AFF" w:rsidR="00C5567F" w:rsidRPr="00D13AF1" w:rsidRDefault="00D96AB4" w:rsidP="00C5567F">
      <w:pPr>
        <w:pStyle w:val="BodyEE"/>
      </w:pPr>
      <w:r w:rsidRPr="00D13AF1">
        <w:t>Europe Economics has been commissioned by the General Medical Council (GMC) to conduct a review of regulatory approaches to telemedicine, in order to contribute to the development of the GMC's policy in this area. This questionnaire seeks to gather views and approaches across a range of healthcare re</w:t>
      </w:r>
      <w:r w:rsidR="00894E82" w:rsidRPr="00D13AF1">
        <w:t>gulators to inform our review.</w:t>
      </w:r>
    </w:p>
    <w:p w14:paraId="170D0B7A" w14:textId="2A71A63C" w:rsidR="00C5567F" w:rsidRPr="00D13AF1" w:rsidRDefault="00D96AB4" w:rsidP="00C5567F">
      <w:pPr>
        <w:pStyle w:val="BodyEE"/>
      </w:pPr>
      <w:r w:rsidRPr="00D13AF1">
        <w:t>By way of context, our working definition of telemedicine is "the provision of medical services and patient care at a distance, using information and communication technologies (ICT)". However, we invite other definitions of telemedicine in the questionnaire.</w:t>
      </w:r>
    </w:p>
    <w:p w14:paraId="7587B277" w14:textId="4073D9C2" w:rsidR="00C5567F" w:rsidRPr="00D13AF1" w:rsidRDefault="00D96AB4" w:rsidP="00C5567F">
      <w:pPr>
        <w:pStyle w:val="BodyEE"/>
      </w:pPr>
      <w:r w:rsidRPr="00D13AF1">
        <w:t>We are interested in collating a broad range of information on the regulation of telemedicine, and as such encourage you to answer all questions and include as much information as possible in your responses. However, should this not be feasible we would still value brief or summarised answers.</w:t>
      </w:r>
      <w:r w:rsidR="00E66D16" w:rsidRPr="00D13AF1">
        <w:tab/>
      </w:r>
    </w:p>
    <w:p w14:paraId="67BCE1A8" w14:textId="4A6B3386" w:rsidR="00D96AB4" w:rsidRPr="00D13AF1" w:rsidRDefault="00D96AB4" w:rsidP="00C5567F">
      <w:pPr>
        <w:pStyle w:val="BodyEE"/>
      </w:pPr>
      <w:r w:rsidRPr="00D13AF1">
        <w:t>We would appreciate if you could submit your responses by 2 October 2017.</w:t>
      </w:r>
    </w:p>
    <w:p w14:paraId="5429E36A" w14:textId="59602714" w:rsidR="00D96AB4" w:rsidRPr="00D13AF1" w:rsidRDefault="00D96AB4" w:rsidP="00C5567F">
      <w:pPr>
        <w:pStyle w:val="BodyEE"/>
      </w:pPr>
      <w:r w:rsidRPr="00D13AF1">
        <w:t>Please contact Ada Kinczyk at </w:t>
      </w:r>
      <w:hyperlink r:id="rId36" w:history="1">
        <w:r w:rsidRPr="00D13AF1">
          <w:rPr>
            <w:rStyle w:val="Hyperlink"/>
          </w:rPr>
          <w:t>GMC.Study@europe-economic.com</w:t>
        </w:r>
      </w:hyperlink>
      <w:r w:rsidRPr="00D13AF1">
        <w:t> should you have any queries. </w:t>
      </w:r>
    </w:p>
    <w:p w14:paraId="18681DF0" w14:textId="77777777" w:rsidR="00D96AB4" w:rsidRPr="00D13AF1" w:rsidRDefault="00D96AB4" w:rsidP="004727B9">
      <w:pPr>
        <w:pStyle w:val="Heading2Pink"/>
        <w:numPr>
          <w:ilvl w:val="0"/>
          <w:numId w:val="0"/>
        </w:numPr>
        <w:ind w:left="576" w:hanging="576"/>
      </w:pPr>
      <w:bookmarkStart w:id="84" w:name="_Toc504484127"/>
      <w:r w:rsidRPr="00D13AF1">
        <w:t>About your organisation</w:t>
      </w:r>
      <w:bookmarkEnd w:id="84"/>
    </w:p>
    <w:p w14:paraId="6D512C51" w14:textId="0F6723DE" w:rsidR="00D96AB4" w:rsidRPr="00D13AF1" w:rsidRDefault="00D96AB4" w:rsidP="00A80AEB">
      <w:pPr>
        <w:pStyle w:val="ListParagraph"/>
        <w:keepNext/>
        <w:numPr>
          <w:ilvl w:val="0"/>
          <w:numId w:val="9"/>
        </w:numPr>
        <w:tabs>
          <w:tab w:val="clear" w:pos="280"/>
          <w:tab w:val="left" w:pos="426"/>
        </w:tabs>
        <w:spacing w:after="120" w:line="276" w:lineRule="auto"/>
        <w:ind w:hanging="357"/>
        <w:rPr>
          <w:szCs w:val="22"/>
        </w:rPr>
      </w:pPr>
      <w:r w:rsidRPr="00D13AF1">
        <w:rPr>
          <w:szCs w:val="22"/>
        </w:rPr>
        <w:t>Please provide the full name of your organisation.</w:t>
      </w:r>
    </w:p>
    <w:p w14:paraId="5E1E1F1A" w14:textId="77777777" w:rsidR="00D96AB4" w:rsidRPr="00D13AF1" w:rsidRDefault="00D96AB4" w:rsidP="00D96AB4"/>
    <w:p w14:paraId="449C1611" w14:textId="02D7AE61" w:rsidR="00D96AB4" w:rsidRPr="00D13AF1" w:rsidRDefault="00D96AB4" w:rsidP="00A80AEB">
      <w:pPr>
        <w:pStyle w:val="ListParagraph"/>
        <w:keepNext/>
        <w:numPr>
          <w:ilvl w:val="0"/>
          <w:numId w:val="9"/>
        </w:numPr>
        <w:tabs>
          <w:tab w:val="clear" w:pos="280"/>
          <w:tab w:val="left" w:pos="426"/>
        </w:tabs>
        <w:spacing w:after="120" w:line="276" w:lineRule="auto"/>
        <w:ind w:hanging="357"/>
        <w:rPr>
          <w:szCs w:val="22"/>
        </w:rPr>
      </w:pPr>
      <w:r w:rsidRPr="00D13AF1">
        <w:rPr>
          <w:szCs w:val="22"/>
        </w:rPr>
        <w:t>Who or what does your organisation regulate?</w:t>
      </w:r>
    </w:p>
    <w:p w14:paraId="33075A0D" w14:textId="1C3A6A8E" w:rsidR="00D96AB4" w:rsidRPr="00D13AF1" w:rsidRDefault="00D96AB4" w:rsidP="00234AFB">
      <w:pPr>
        <w:pStyle w:val="Bulletlevel1"/>
        <w:keepNext/>
        <w:numPr>
          <w:ilvl w:val="0"/>
          <w:numId w:val="10"/>
        </w:numPr>
        <w:spacing w:after="0" w:line="276" w:lineRule="auto"/>
        <w:ind w:hanging="357"/>
      </w:pPr>
      <w:r w:rsidRPr="00D13AF1">
        <w:t>Individual healthcare professionals</w:t>
      </w:r>
    </w:p>
    <w:p w14:paraId="3C167053" w14:textId="567ABBCC" w:rsidR="00D96AB4" w:rsidRPr="00D13AF1" w:rsidRDefault="00D96AB4" w:rsidP="00234AFB">
      <w:pPr>
        <w:pStyle w:val="Bulletlevel1"/>
        <w:keepNext/>
        <w:numPr>
          <w:ilvl w:val="0"/>
          <w:numId w:val="10"/>
        </w:numPr>
        <w:spacing w:after="0" w:line="276" w:lineRule="auto"/>
        <w:ind w:hanging="357"/>
      </w:pPr>
      <w:r w:rsidRPr="00D13AF1">
        <w:t>Healthcare systems</w:t>
      </w:r>
    </w:p>
    <w:p w14:paraId="43E0048E" w14:textId="75D390AB" w:rsidR="00D96AB4" w:rsidRPr="00D13AF1" w:rsidRDefault="00D96AB4" w:rsidP="00234AFB">
      <w:pPr>
        <w:pStyle w:val="Bulletlevel1"/>
        <w:keepNext/>
        <w:numPr>
          <w:ilvl w:val="0"/>
          <w:numId w:val="10"/>
        </w:numPr>
        <w:spacing w:after="0" w:line="276" w:lineRule="auto"/>
        <w:ind w:hanging="357"/>
      </w:pPr>
      <w:r w:rsidRPr="00D13AF1">
        <w:t>Other</w:t>
      </w:r>
    </w:p>
    <w:p w14:paraId="041BA4B7" w14:textId="77777777" w:rsidR="00D96AB4" w:rsidRPr="00D13AF1" w:rsidRDefault="00D96AB4" w:rsidP="00D96AB4"/>
    <w:p w14:paraId="338AADE3" w14:textId="1B999C34" w:rsidR="00D96AB4" w:rsidRPr="00D13AF1" w:rsidRDefault="00D96AB4" w:rsidP="00A80AEB">
      <w:pPr>
        <w:pStyle w:val="ListParagraph"/>
        <w:keepNext/>
        <w:numPr>
          <w:ilvl w:val="0"/>
          <w:numId w:val="9"/>
        </w:numPr>
        <w:tabs>
          <w:tab w:val="clear" w:pos="280"/>
          <w:tab w:val="left" w:pos="426"/>
        </w:tabs>
        <w:spacing w:after="120" w:line="276" w:lineRule="auto"/>
        <w:ind w:hanging="357"/>
        <w:rPr>
          <w:szCs w:val="22"/>
        </w:rPr>
      </w:pPr>
      <w:r w:rsidRPr="00D13AF1">
        <w:rPr>
          <w:szCs w:val="22"/>
        </w:rPr>
        <w:t>Please provide a few details about who or what your organisation regulates. In particular, whether your organisation regulates individual professionals or wider healthcare organisation/systems. </w:t>
      </w:r>
    </w:p>
    <w:p w14:paraId="6A3DBA26" w14:textId="77777777" w:rsidR="00D96AB4" w:rsidRPr="00D13AF1" w:rsidRDefault="00D96AB4" w:rsidP="00D96AB4"/>
    <w:p w14:paraId="5D1B3818" w14:textId="5281CF26" w:rsidR="00D96AB4" w:rsidRPr="00D13AF1" w:rsidRDefault="00D96AB4" w:rsidP="00A80AEB">
      <w:pPr>
        <w:pStyle w:val="ListParagraph"/>
        <w:keepNext/>
        <w:numPr>
          <w:ilvl w:val="0"/>
          <w:numId w:val="9"/>
        </w:numPr>
        <w:tabs>
          <w:tab w:val="clear" w:pos="280"/>
          <w:tab w:val="left" w:pos="426"/>
        </w:tabs>
        <w:spacing w:after="120" w:line="276" w:lineRule="auto"/>
        <w:ind w:hanging="357"/>
        <w:rPr>
          <w:szCs w:val="22"/>
        </w:rPr>
      </w:pPr>
      <w:r w:rsidRPr="00D13AF1">
        <w:rPr>
          <w:szCs w:val="22"/>
        </w:rPr>
        <w:t>What is the geographical coverage of your organisation?</w:t>
      </w:r>
    </w:p>
    <w:p w14:paraId="7843C6F5" w14:textId="093EBCD4" w:rsidR="00D96AB4" w:rsidRPr="00D13AF1" w:rsidRDefault="00D96AB4" w:rsidP="00234AFB">
      <w:pPr>
        <w:pStyle w:val="Bulletlevel1"/>
        <w:keepNext/>
        <w:numPr>
          <w:ilvl w:val="0"/>
          <w:numId w:val="10"/>
        </w:numPr>
        <w:spacing w:after="0" w:line="276" w:lineRule="auto"/>
        <w:ind w:hanging="357"/>
      </w:pPr>
      <w:r w:rsidRPr="00D13AF1">
        <w:t>Whole country (national regulator)</w:t>
      </w:r>
    </w:p>
    <w:p w14:paraId="5B34A7D4" w14:textId="46DEC145" w:rsidR="00D96AB4" w:rsidRPr="00D13AF1" w:rsidRDefault="00D96AB4" w:rsidP="00234AFB">
      <w:pPr>
        <w:pStyle w:val="Bulletlevel1"/>
        <w:keepNext/>
        <w:numPr>
          <w:ilvl w:val="0"/>
          <w:numId w:val="10"/>
        </w:numPr>
        <w:spacing w:after="0" w:line="276" w:lineRule="auto"/>
        <w:ind w:hanging="357"/>
      </w:pPr>
      <w:r w:rsidRPr="00D13AF1">
        <w:t>State / province / etc. (regional regulator)</w:t>
      </w:r>
    </w:p>
    <w:p w14:paraId="0E174F8D" w14:textId="10120958" w:rsidR="00D96AB4" w:rsidRPr="00D13AF1" w:rsidRDefault="00D96AB4" w:rsidP="00234AFB">
      <w:pPr>
        <w:pStyle w:val="Bulletlevel1"/>
        <w:keepNext/>
        <w:numPr>
          <w:ilvl w:val="0"/>
          <w:numId w:val="10"/>
        </w:numPr>
        <w:spacing w:after="0" w:line="276" w:lineRule="auto"/>
        <w:ind w:hanging="357"/>
      </w:pPr>
      <w:r w:rsidRPr="00D13AF1">
        <w:t xml:space="preserve">Another geographical unit, please specify Please enter an 'other' value for this selection. </w:t>
      </w:r>
    </w:p>
    <w:p w14:paraId="2F539E67" w14:textId="77777777" w:rsidR="00D96AB4" w:rsidRPr="00D13AF1" w:rsidRDefault="00D96AB4" w:rsidP="00D96AB4"/>
    <w:p w14:paraId="35F0A884" w14:textId="44A9040F" w:rsidR="00D96AB4" w:rsidRPr="00D13AF1" w:rsidRDefault="00D96AB4" w:rsidP="00082BAE">
      <w:pPr>
        <w:pStyle w:val="ListParagraph"/>
        <w:numPr>
          <w:ilvl w:val="0"/>
          <w:numId w:val="9"/>
        </w:numPr>
        <w:tabs>
          <w:tab w:val="clear" w:pos="280"/>
          <w:tab w:val="left" w:pos="426"/>
        </w:tabs>
        <w:spacing w:after="120" w:line="276" w:lineRule="auto"/>
        <w:ind w:hanging="357"/>
        <w:rPr>
          <w:szCs w:val="22"/>
        </w:rPr>
      </w:pPr>
      <w:r w:rsidRPr="00D13AF1">
        <w:rPr>
          <w:szCs w:val="22"/>
        </w:rPr>
        <w:t>Please name the country (and, if applicable, region/state/province) where your organisation operates?</w:t>
      </w:r>
    </w:p>
    <w:p w14:paraId="6C7D9449" w14:textId="77777777" w:rsidR="00D96AB4" w:rsidRPr="00D13AF1" w:rsidRDefault="00D96AB4" w:rsidP="004727B9">
      <w:pPr>
        <w:pStyle w:val="Heading2Pink"/>
        <w:numPr>
          <w:ilvl w:val="0"/>
          <w:numId w:val="0"/>
        </w:numPr>
        <w:ind w:left="576" w:hanging="576"/>
      </w:pPr>
      <w:bookmarkStart w:id="85" w:name="_Toc504484128"/>
      <w:r w:rsidRPr="00D13AF1">
        <w:lastRenderedPageBreak/>
        <w:t>Your organisation and telemedicine</w:t>
      </w:r>
      <w:bookmarkEnd w:id="85"/>
    </w:p>
    <w:p w14:paraId="28AEA789" w14:textId="09C4420E" w:rsidR="00D96AB4" w:rsidRPr="00D13AF1" w:rsidRDefault="00D96AB4" w:rsidP="00A80AEB">
      <w:pPr>
        <w:pStyle w:val="ListParagraph"/>
        <w:keepNext/>
        <w:numPr>
          <w:ilvl w:val="0"/>
          <w:numId w:val="9"/>
        </w:numPr>
        <w:tabs>
          <w:tab w:val="clear" w:pos="280"/>
          <w:tab w:val="left" w:pos="426"/>
        </w:tabs>
        <w:spacing w:after="120" w:line="276" w:lineRule="auto"/>
        <w:ind w:hanging="357"/>
        <w:rPr>
          <w:szCs w:val="22"/>
        </w:rPr>
      </w:pPr>
      <w:r w:rsidRPr="00D13AF1">
        <w:rPr>
          <w:szCs w:val="22"/>
        </w:rPr>
        <w:t>Does your organisation have specific regulations or policies relating to telemedicine?</w:t>
      </w:r>
    </w:p>
    <w:p w14:paraId="4F5E05B7" w14:textId="5D70FEC2" w:rsidR="00D96AB4" w:rsidRPr="00D13AF1" w:rsidRDefault="00D96AB4" w:rsidP="00234AFB">
      <w:pPr>
        <w:pStyle w:val="Bulletlevel1"/>
        <w:keepNext/>
        <w:numPr>
          <w:ilvl w:val="0"/>
          <w:numId w:val="10"/>
        </w:numPr>
        <w:spacing w:after="0" w:line="276" w:lineRule="auto"/>
        <w:ind w:hanging="357"/>
      </w:pPr>
      <w:r w:rsidRPr="00D13AF1">
        <w:t>Yes – formal regulations and/or policies regarding telemedicine</w:t>
      </w:r>
    </w:p>
    <w:p w14:paraId="650E1A3D" w14:textId="338C82AF" w:rsidR="00D96AB4" w:rsidRPr="00D13AF1" w:rsidRDefault="00D96AB4" w:rsidP="00234AFB">
      <w:pPr>
        <w:pStyle w:val="Bulletlevel1"/>
        <w:keepNext/>
        <w:numPr>
          <w:ilvl w:val="0"/>
          <w:numId w:val="10"/>
        </w:numPr>
        <w:spacing w:after="0" w:line="276" w:lineRule="auto"/>
        <w:ind w:hanging="357"/>
      </w:pPr>
      <w:r w:rsidRPr="00D13AF1">
        <w:t>Yes – informal or “work-in-progress” regulations and/or policies, including non-binding recommendations</w:t>
      </w:r>
    </w:p>
    <w:p w14:paraId="6911916A" w14:textId="4AFDE4C8" w:rsidR="00D96AB4" w:rsidRPr="00D13AF1" w:rsidRDefault="00D96AB4" w:rsidP="00234AFB">
      <w:pPr>
        <w:pStyle w:val="Bulletlevel1"/>
        <w:keepNext/>
        <w:numPr>
          <w:ilvl w:val="0"/>
          <w:numId w:val="10"/>
        </w:numPr>
        <w:spacing w:after="0" w:line="276" w:lineRule="auto"/>
        <w:ind w:hanging="357"/>
      </w:pPr>
      <w:r w:rsidRPr="00D13AF1">
        <w:t>No – no specific regulations or policies relating to telemedicine</w:t>
      </w:r>
    </w:p>
    <w:p w14:paraId="620487FE" w14:textId="77777777" w:rsidR="00D96AB4" w:rsidRPr="00D13AF1" w:rsidRDefault="00D96AB4" w:rsidP="00D96AB4"/>
    <w:p w14:paraId="422D4EA7" w14:textId="77777777" w:rsidR="00A80AEB" w:rsidRPr="00D13AF1" w:rsidRDefault="00D96AB4" w:rsidP="00D96AB4">
      <w:pPr>
        <w:pStyle w:val="ListParagraph"/>
        <w:keepNext/>
        <w:numPr>
          <w:ilvl w:val="0"/>
          <w:numId w:val="9"/>
        </w:numPr>
        <w:tabs>
          <w:tab w:val="clear" w:pos="280"/>
          <w:tab w:val="left" w:pos="426"/>
        </w:tabs>
        <w:spacing w:after="120" w:line="276" w:lineRule="auto"/>
        <w:ind w:hanging="357"/>
        <w:rPr>
          <w:szCs w:val="22"/>
        </w:rPr>
      </w:pPr>
      <w:r w:rsidRPr="00D13AF1">
        <w:rPr>
          <w:szCs w:val="22"/>
        </w:rPr>
        <w:t>How does your organisation define telemedicine?</w:t>
      </w:r>
    </w:p>
    <w:p w14:paraId="11F82609" w14:textId="5F2F41D2" w:rsidR="00D96AB4" w:rsidRPr="00D13AF1" w:rsidRDefault="00D96AB4" w:rsidP="00A80AEB">
      <w:pPr>
        <w:pStyle w:val="ListParagraph"/>
        <w:keepNext/>
        <w:tabs>
          <w:tab w:val="clear" w:pos="280"/>
          <w:tab w:val="left" w:pos="426"/>
        </w:tabs>
        <w:spacing w:after="120" w:line="276" w:lineRule="auto"/>
        <w:ind w:left="360"/>
        <w:rPr>
          <w:szCs w:val="22"/>
        </w:rPr>
      </w:pPr>
      <w:r w:rsidRPr="00D13AF1">
        <w:rPr>
          <w:i/>
          <w:iCs/>
        </w:rPr>
        <w:t>Please type in the box below or provide us with references to the relevant documents (links to websites can be pasted in the box, pdfs and other formats can be sent to </w:t>
      </w:r>
      <w:hyperlink r:id="rId37" w:history="1">
        <w:r w:rsidRPr="00D13AF1">
          <w:rPr>
            <w:rStyle w:val="Hyperlink"/>
            <w:i/>
            <w:iCs/>
          </w:rPr>
          <w:t>GMC.Study@europe-economics.com</w:t>
        </w:r>
      </w:hyperlink>
      <w:r w:rsidRPr="00D13AF1">
        <w:rPr>
          <w:i/>
          <w:iCs/>
        </w:rPr>
        <w:t>)</w:t>
      </w:r>
    </w:p>
    <w:p w14:paraId="77D7F544" w14:textId="77777777" w:rsidR="00D96AB4" w:rsidRPr="00D13AF1" w:rsidRDefault="00D96AB4" w:rsidP="00D96AB4"/>
    <w:p w14:paraId="32E93547" w14:textId="1CE26BB3" w:rsidR="00D96AB4" w:rsidRPr="00D13AF1" w:rsidRDefault="00D96AB4" w:rsidP="00A80AEB">
      <w:pPr>
        <w:pStyle w:val="ListParagraph"/>
        <w:keepNext/>
        <w:numPr>
          <w:ilvl w:val="0"/>
          <w:numId w:val="9"/>
        </w:numPr>
        <w:tabs>
          <w:tab w:val="clear" w:pos="280"/>
          <w:tab w:val="left" w:pos="426"/>
        </w:tabs>
        <w:spacing w:after="120" w:line="276" w:lineRule="auto"/>
        <w:ind w:hanging="357"/>
        <w:rPr>
          <w:szCs w:val="22"/>
        </w:rPr>
      </w:pPr>
      <w:r w:rsidRPr="00D13AF1">
        <w:rPr>
          <w:szCs w:val="22"/>
        </w:rPr>
        <w:t>In what areas does your organisation place telemedicine-related requirements on those subject to your regulation/oversight? Please tick all that apply.</w:t>
      </w:r>
    </w:p>
    <w:p w14:paraId="37ADBD22" w14:textId="778312D1" w:rsidR="00D96AB4" w:rsidRPr="00D13AF1" w:rsidRDefault="00D96AB4" w:rsidP="00234AFB">
      <w:pPr>
        <w:pStyle w:val="Bulletlevel1"/>
        <w:keepNext/>
        <w:numPr>
          <w:ilvl w:val="0"/>
          <w:numId w:val="10"/>
        </w:numPr>
        <w:spacing w:after="0" w:line="276" w:lineRule="auto"/>
        <w:ind w:hanging="357"/>
      </w:pPr>
      <w:r w:rsidRPr="00D13AF1">
        <w:t>Licensing and/or registration</w:t>
      </w:r>
    </w:p>
    <w:p w14:paraId="1F3DA11D" w14:textId="502860F1" w:rsidR="00D96AB4" w:rsidRPr="00D13AF1" w:rsidRDefault="00D96AB4" w:rsidP="00234AFB">
      <w:pPr>
        <w:pStyle w:val="Bulletlevel1"/>
        <w:keepNext/>
        <w:numPr>
          <w:ilvl w:val="0"/>
          <w:numId w:val="10"/>
        </w:numPr>
        <w:spacing w:after="0" w:line="276" w:lineRule="auto"/>
        <w:ind w:hanging="357"/>
      </w:pPr>
      <w:r w:rsidRPr="00D13AF1">
        <w:t>Qualifications and training, including continuing professional development</w:t>
      </w:r>
    </w:p>
    <w:p w14:paraId="1A5A8E42" w14:textId="75FD6F46" w:rsidR="00D96AB4" w:rsidRPr="00D13AF1" w:rsidRDefault="00D96AB4" w:rsidP="00234AFB">
      <w:pPr>
        <w:pStyle w:val="Bulletlevel1"/>
        <w:keepNext/>
        <w:numPr>
          <w:ilvl w:val="0"/>
          <w:numId w:val="10"/>
        </w:numPr>
        <w:spacing w:after="0" w:line="276" w:lineRule="auto"/>
        <w:ind w:hanging="357"/>
      </w:pPr>
      <w:r w:rsidRPr="00D13AF1">
        <w:t>Standards of work</w:t>
      </w:r>
    </w:p>
    <w:p w14:paraId="1F1040B6" w14:textId="3A203559" w:rsidR="00D96AB4" w:rsidRPr="00D13AF1" w:rsidRDefault="00D96AB4" w:rsidP="00234AFB">
      <w:pPr>
        <w:pStyle w:val="Bulletlevel1"/>
        <w:keepNext/>
        <w:numPr>
          <w:ilvl w:val="0"/>
          <w:numId w:val="10"/>
        </w:numPr>
        <w:spacing w:after="0" w:line="276" w:lineRule="auto"/>
        <w:ind w:hanging="357"/>
      </w:pPr>
      <w:r w:rsidRPr="00D13AF1">
        <w:t>Discipline and/or fitness to practise</w:t>
      </w:r>
    </w:p>
    <w:p w14:paraId="4D8F4B93" w14:textId="3AD1E46C" w:rsidR="00D96AB4" w:rsidRPr="00D13AF1" w:rsidRDefault="00D96AB4" w:rsidP="00234AFB">
      <w:pPr>
        <w:pStyle w:val="Bulletlevel1"/>
        <w:keepNext/>
        <w:numPr>
          <w:ilvl w:val="0"/>
          <w:numId w:val="10"/>
        </w:numPr>
        <w:spacing w:after="0" w:line="276" w:lineRule="auto"/>
        <w:ind w:hanging="357"/>
      </w:pPr>
      <w:r w:rsidRPr="00D13AF1">
        <w:t xml:space="preserve">Other - Write </w:t>
      </w:r>
      <w:proofErr w:type="gramStart"/>
      <w:r w:rsidRPr="00D13AF1">
        <w:t>In</w:t>
      </w:r>
      <w:proofErr w:type="gramEnd"/>
      <w:r w:rsidRPr="00D13AF1">
        <w:t xml:space="preserve"> Please enter an 'other' value for this selection. </w:t>
      </w:r>
    </w:p>
    <w:p w14:paraId="0D532EDB" w14:textId="77777777" w:rsidR="00D96AB4" w:rsidRPr="00D13AF1" w:rsidRDefault="00D96AB4" w:rsidP="00D96AB4"/>
    <w:p w14:paraId="17F233E6" w14:textId="77777777" w:rsidR="00A80AEB" w:rsidRPr="00D13AF1" w:rsidRDefault="00D96AB4" w:rsidP="00D96AB4">
      <w:pPr>
        <w:pStyle w:val="ListParagraph"/>
        <w:keepNext/>
        <w:numPr>
          <w:ilvl w:val="0"/>
          <w:numId w:val="9"/>
        </w:numPr>
        <w:tabs>
          <w:tab w:val="clear" w:pos="280"/>
          <w:tab w:val="left" w:pos="426"/>
        </w:tabs>
        <w:spacing w:after="120" w:line="276" w:lineRule="auto"/>
        <w:ind w:hanging="357"/>
        <w:rPr>
          <w:szCs w:val="22"/>
        </w:rPr>
      </w:pPr>
      <w:r w:rsidRPr="00D13AF1">
        <w:rPr>
          <w:szCs w:val="22"/>
        </w:rPr>
        <w:t>Please describe the telemedicine-related requirements and/or polices placed on those subject to your regulation / oversight.</w:t>
      </w:r>
    </w:p>
    <w:p w14:paraId="4B3942FA" w14:textId="41BDC2D1" w:rsidR="00D96AB4" w:rsidRPr="00D13AF1" w:rsidRDefault="00D96AB4" w:rsidP="00A80AEB">
      <w:pPr>
        <w:pStyle w:val="ListParagraph"/>
        <w:keepNext/>
        <w:tabs>
          <w:tab w:val="clear" w:pos="280"/>
          <w:tab w:val="left" w:pos="426"/>
        </w:tabs>
        <w:spacing w:after="120" w:line="276" w:lineRule="auto"/>
        <w:ind w:left="360"/>
        <w:rPr>
          <w:szCs w:val="22"/>
        </w:rPr>
      </w:pPr>
      <w:r w:rsidRPr="00D13AF1">
        <w:rPr>
          <w:i/>
          <w:iCs/>
        </w:rPr>
        <w:t>Please type in the box below or provide us with references to the relevant documents (links to websites can be pasted in the box, pdfs and other formats can be sent to </w:t>
      </w:r>
      <w:hyperlink r:id="rId38" w:history="1">
        <w:r w:rsidRPr="00D13AF1">
          <w:rPr>
            <w:rStyle w:val="Hyperlink"/>
            <w:i/>
            <w:iCs/>
          </w:rPr>
          <w:t>GMC.Study@europe-economics.com</w:t>
        </w:r>
      </w:hyperlink>
      <w:r w:rsidRPr="00D13AF1">
        <w:rPr>
          <w:i/>
          <w:iCs/>
        </w:rPr>
        <w:t>)</w:t>
      </w:r>
    </w:p>
    <w:p w14:paraId="6ECB4C3B" w14:textId="77777777" w:rsidR="00D96AB4" w:rsidRPr="00D13AF1" w:rsidRDefault="00D96AB4" w:rsidP="00D96AB4"/>
    <w:p w14:paraId="0838645B" w14:textId="3B747D59" w:rsidR="00D96AB4" w:rsidRPr="00D13AF1" w:rsidRDefault="00D96AB4" w:rsidP="00A80AEB">
      <w:pPr>
        <w:pStyle w:val="ListParagraph"/>
        <w:keepNext/>
        <w:numPr>
          <w:ilvl w:val="0"/>
          <w:numId w:val="9"/>
        </w:numPr>
        <w:tabs>
          <w:tab w:val="clear" w:pos="280"/>
          <w:tab w:val="left" w:pos="426"/>
        </w:tabs>
        <w:spacing w:after="120" w:line="276" w:lineRule="auto"/>
        <w:ind w:hanging="357"/>
        <w:rPr>
          <w:szCs w:val="22"/>
        </w:rPr>
      </w:pPr>
      <w:r w:rsidRPr="00D13AF1">
        <w:rPr>
          <w:szCs w:val="22"/>
        </w:rPr>
        <w:t>If you do not have a telemedicine regulation or policy in place, do you expect your organisation to develop such regulation/policy in the near future?</w:t>
      </w:r>
    </w:p>
    <w:p w14:paraId="766EA057" w14:textId="632D5402" w:rsidR="00D96AB4" w:rsidRPr="00D13AF1" w:rsidRDefault="00D96AB4" w:rsidP="00234AFB">
      <w:pPr>
        <w:pStyle w:val="Bulletlevel1"/>
        <w:keepNext/>
        <w:numPr>
          <w:ilvl w:val="0"/>
          <w:numId w:val="10"/>
        </w:numPr>
        <w:spacing w:after="0" w:line="276" w:lineRule="auto"/>
        <w:ind w:hanging="357"/>
      </w:pPr>
      <w:r w:rsidRPr="00D13AF1">
        <w:t>Yes</w:t>
      </w:r>
    </w:p>
    <w:p w14:paraId="0D0A2D08" w14:textId="72C40DC7" w:rsidR="00D96AB4" w:rsidRPr="00D13AF1" w:rsidRDefault="00D96AB4" w:rsidP="00234AFB">
      <w:pPr>
        <w:pStyle w:val="Bulletlevel1"/>
        <w:keepNext/>
        <w:numPr>
          <w:ilvl w:val="0"/>
          <w:numId w:val="10"/>
        </w:numPr>
        <w:spacing w:after="0" w:line="276" w:lineRule="auto"/>
        <w:ind w:hanging="357"/>
      </w:pPr>
      <w:r w:rsidRPr="00D13AF1">
        <w:t>No</w:t>
      </w:r>
    </w:p>
    <w:p w14:paraId="5A6E5675" w14:textId="62B5E9A6" w:rsidR="00D96AB4" w:rsidRPr="00D13AF1" w:rsidRDefault="00D96AB4" w:rsidP="00234AFB">
      <w:pPr>
        <w:pStyle w:val="Bulletlevel1"/>
        <w:keepNext/>
        <w:numPr>
          <w:ilvl w:val="0"/>
          <w:numId w:val="10"/>
        </w:numPr>
        <w:spacing w:after="0" w:line="276" w:lineRule="auto"/>
        <w:ind w:hanging="357"/>
      </w:pPr>
      <w:r w:rsidRPr="00D13AF1">
        <w:t>Don't know</w:t>
      </w:r>
    </w:p>
    <w:p w14:paraId="55F7BC71" w14:textId="77777777" w:rsidR="00D96AB4" w:rsidRPr="00D13AF1" w:rsidRDefault="00D96AB4" w:rsidP="00D96AB4"/>
    <w:p w14:paraId="707B5362" w14:textId="77777777" w:rsidR="00A80AEB" w:rsidRPr="00D13AF1" w:rsidRDefault="00D96AB4" w:rsidP="00D96AB4">
      <w:pPr>
        <w:pStyle w:val="ListParagraph"/>
        <w:keepNext/>
        <w:numPr>
          <w:ilvl w:val="0"/>
          <w:numId w:val="9"/>
        </w:numPr>
        <w:tabs>
          <w:tab w:val="clear" w:pos="280"/>
          <w:tab w:val="left" w:pos="426"/>
        </w:tabs>
        <w:spacing w:after="120" w:line="276" w:lineRule="auto"/>
        <w:ind w:hanging="357"/>
        <w:rPr>
          <w:szCs w:val="22"/>
        </w:rPr>
      </w:pPr>
      <w:r w:rsidRPr="00D13AF1">
        <w:rPr>
          <w:szCs w:val="22"/>
        </w:rPr>
        <w:t>If you expect your organisation to develop telemedicine regulation or policy in the near future, please provide a description of the upcoming regulation/policy in the box below.</w:t>
      </w:r>
    </w:p>
    <w:p w14:paraId="1C051125" w14:textId="5A9D0B2A" w:rsidR="00D96AB4" w:rsidRPr="00D13AF1" w:rsidRDefault="00D96AB4" w:rsidP="00A80AEB">
      <w:pPr>
        <w:pStyle w:val="ListParagraph"/>
        <w:keepNext/>
        <w:tabs>
          <w:tab w:val="clear" w:pos="280"/>
          <w:tab w:val="left" w:pos="426"/>
        </w:tabs>
        <w:spacing w:after="120" w:line="276" w:lineRule="auto"/>
        <w:ind w:left="360"/>
        <w:rPr>
          <w:szCs w:val="22"/>
        </w:rPr>
      </w:pPr>
      <w:r w:rsidRPr="00D13AF1">
        <w:rPr>
          <w:i/>
          <w:iCs/>
        </w:rPr>
        <w:t>Please type in the box below or provide us with references to the relevant documents (links to websites can be pasted in the box, pdfs and other formats can be sent to </w:t>
      </w:r>
      <w:hyperlink r:id="rId39" w:history="1">
        <w:r w:rsidRPr="00D13AF1">
          <w:rPr>
            <w:rStyle w:val="Hyperlink"/>
            <w:i/>
            <w:iCs/>
          </w:rPr>
          <w:t>GMC.Study@europe-economics.com</w:t>
        </w:r>
      </w:hyperlink>
      <w:r w:rsidRPr="00D13AF1">
        <w:rPr>
          <w:i/>
          <w:iCs/>
        </w:rPr>
        <w:t>)</w:t>
      </w:r>
    </w:p>
    <w:p w14:paraId="096F86F8" w14:textId="77777777" w:rsidR="00D96AB4" w:rsidRPr="00D13AF1" w:rsidRDefault="00D96AB4" w:rsidP="00D96AB4"/>
    <w:p w14:paraId="1699995C" w14:textId="78625E24" w:rsidR="00D96AB4" w:rsidRPr="00D13AF1" w:rsidRDefault="00D96AB4" w:rsidP="00A80AEB">
      <w:pPr>
        <w:pStyle w:val="ListParagraph"/>
        <w:keepNext/>
        <w:numPr>
          <w:ilvl w:val="0"/>
          <w:numId w:val="9"/>
        </w:numPr>
        <w:tabs>
          <w:tab w:val="clear" w:pos="280"/>
          <w:tab w:val="left" w:pos="426"/>
        </w:tabs>
        <w:spacing w:after="120" w:line="276" w:lineRule="auto"/>
        <w:ind w:hanging="357"/>
        <w:rPr>
          <w:szCs w:val="22"/>
        </w:rPr>
      </w:pPr>
      <w:r w:rsidRPr="00D13AF1">
        <w:rPr>
          <w:szCs w:val="22"/>
        </w:rPr>
        <w:t>In the context of regulating telemedicine, are there other regulators or professional bodies you interact with? Examples of interaction may include (the list is for illustration only):</w:t>
      </w:r>
    </w:p>
    <w:p w14:paraId="1D9D19EB" w14:textId="57CD361A" w:rsidR="00D96AB4" w:rsidRPr="00D13AF1" w:rsidRDefault="00894E82" w:rsidP="00894E82">
      <w:pPr>
        <w:pStyle w:val="Bulletlevel1"/>
      </w:pPr>
      <w:r w:rsidRPr="00D13AF1">
        <w:t>I</w:t>
      </w:r>
      <w:r w:rsidR="00D96AB4" w:rsidRPr="00D13AF1">
        <w:t>f your organisation regulates doctors you might interact with a health system regulator.</w:t>
      </w:r>
    </w:p>
    <w:p w14:paraId="2EF80864" w14:textId="2A1C8D52" w:rsidR="00D96AB4" w:rsidRPr="00D13AF1" w:rsidRDefault="00D96AB4" w:rsidP="00894E82">
      <w:pPr>
        <w:pStyle w:val="Bulletlevel1"/>
      </w:pPr>
      <w:r w:rsidRPr="00D13AF1">
        <w:t>Collaborate with other regulators on the development of telemedicine policy.</w:t>
      </w:r>
    </w:p>
    <w:p w14:paraId="7C66AAC2" w14:textId="013F54BD" w:rsidR="00D96AB4" w:rsidRPr="00D13AF1" w:rsidRDefault="00D96AB4" w:rsidP="00894E82">
      <w:pPr>
        <w:pStyle w:val="Bulletlevel1"/>
      </w:pPr>
      <w:r w:rsidRPr="00D13AF1">
        <w:t>Ensure compatibility of your policies with policies of other regulators.</w:t>
      </w:r>
    </w:p>
    <w:p w14:paraId="09B1CACB" w14:textId="77777777" w:rsidR="00D96AB4" w:rsidRPr="00D13AF1" w:rsidRDefault="00D96AB4" w:rsidP="00A80AEB">
      <w:pPr>
        <w:tabs>
          <w:tab w:val="clear" w:pos="280"/>
          <w:tab w:val="left" w:pos="426"/>
        </w:tabs>
        <w:ind w:firstLine="360"/>
      </w:pPr>
      <w:r w:rsidRPr="00D13AF1">
        <w:t>Please provide the name of each regulator you interact with and a description of your interaction.</w:t>
      </w:r>
    </w:p>
    <w:p w14:paraId="04BD7A08" w14:textId="77777777" w:rsidR="00D96AB4" w:rsidRPr="00D13AF1" w:rsidRDefault="00D96AB4" w:rsidP="00D96AB4"/>
    <w:p w14:paraId="73FF45CB" w14:textId="0AF58456" w:rsidR="00D96AB4" w:rsidRPr="00D13AF1" w:rsidRDefault="00D96AB4" w:rsidP="00A80AEB">
      <w:pPr>
        <w:pStyle w:val="ListParagraph"/>
        <w:keepNext/>
        <w:numPr>
          <w:ilvl w:val="0"/>
          <w:numId w:val="9"/>
        </w:numPr>
        <w:tabs>
          <w:tab w:val="clear" w:pos="280"/>
          <w:tab w:val="left" w:pos="426"/>
        </w:tabs>
        <w:spacing w:after="120" w:line="276" w:lineRule="auto"/>
        <w:ind w:hanging="357"/>
        <w:rPr>
          <w:szCs w:val="22"/>
        </w:rPr>
      </w:pPr>
      <w:r w:rsidRPr="00D13AF1">
        <w:rPr>
          <w:szCs w:val="22"/>
        </w:rPr>
        <w:lastRenderedPageBreak/>
        <w:t>Are there any other issues related to telemedicine that are particularly relevant to your organisation and/or the profession you regulate? Please describe these in the box below.</w:t>
      </w:r>
    </w:p>
    <w:p w14:paraId="23256220" w14:textId="77777777" w:rsidR="00D96AB4" w:rsidRPr="00D13AF1" w:rsidRDefault="00D96AB4" w:rsidP="00D96AB4"/>
    <w:p w14:paraId="6C323652" w14:textId="76D74503" w:rsidR="00D96AB4" w:rsidRPr="00D13AF1" w:rsidRDefault="00D96AB4" w:rsidP="00A80AEB">
      <w:pPr>
        <w:pStyle w:val="ListParagraph"/>
        <w:keepNext/>
        <w:numPr>
          <w:ilvl w:val="0"/>
          <w:numId w:val="9"/>
        </w:numPr>
        <w:tabs>
          <w:tab w:val="clear" w:pos="280"/>
          <w:tab w:val="left" w:pos="426"/>
        </w:tabs>
        <w:spacing w:after="120" w:line="276" w:lineRule="auto"/>
        <w:ind w:hanging="357"/>
        <w:rPr>
          <w:szCs w:val="22"/>
        </w:rPr>
      </w:pPr>
      <w:r w:rsidRPr="00D13AF1">
        <w:rPr>
          <w:szCs w:val="22"/>
        </w:rPr>
        <w:t>If you are willing to discuss your approach to the regulation of telemedicine with us by way on an interview, please include your name and contact details here, or email us directly at </w:t>
      </w:r>
      <w:hyperlink r:id="rId40" w:history="1">
        <w:r w:rsidR="00A80AEB" w:rsidRPr="00D13AF1">
          <w:rPr>
            <w:rStyle w:val="Hyperlink"/>
            <w:szCs w:val="22"/>
          </w:rPr>
          <w:t>GMC.Study@europe-economics.com</w:t>
        </w:r>
      </w:hyperlink>
      <w:r w:rsidRPr="00D13AF1">
        <w:rPr>
          <w:szCs w:val="22"/>
        </w:rPr>
        <w:t>.</w:t>
      </w:r>
    </w:p>
    <w:p w14:paraId="5D5AD9AE" w14:textId="77777777" w:rsidR="00D96AB4" w:rsidRPr="00D13AF1" w:rsidRDefault="00D96AB4" w:rsidP="00D96AB4"/>
    <w:p w14:paraId="015DC5A7" w14:textId="76F5D5F8" w:rsidR="00D96AB4" w:rsidRPr="00D13AF1" w:rsidRDefault="00D96AB4" w:rsidP="00A80AEB">
      <w:pPr>
        <w:pStyle w:val="ListParagraph"/>
        <w:keepNext/>
        <w:numPr>
          <w:ilvl w:val="0"/>
          <w:numId w:val="9"/>
        </w:numPr>
        <w:tabs>
          <w:tab w:val="clear" w:pos="280"/>
          <w:tab w:val="left" w:pos="426"/>
        </w:tabs>
        <w:spacing w:after="120" w:line="276" w:lineRule="auto"/>
        <w:ind w:hanging="357"/>
        <w:rPr>
          <w:szCs w:val="22"/>
        </w:rPr>
      </w:pPr>
      <w:r w:rsidRPr="00D13AF1">
        <w:rPr>
          <w:szCs w:val="22"/>
        </w:rPr>
        <w:t>We're intending to use the information you provided in the report for the GMC about approaches to regulating telemedicine. If you'd prefer any of your responses to be kept confidential, please specify that in the box below.</w:t>
      </w:r>
    </w:p>
    <w:p w14:paraId="05743831" w14:textId="2F6036EE" w:rsidR="00D96AB4" w:rsidRPr="00D13AF1" w:rsidRDefault="00D96AB4" w:rsidP="00523C25">
      <w:pPr>
        <w:pStyle w:val="BodyEE"/>
        <w:keepNext/>
        <w:spacing w:before="240"/>
        <w:rPr>
          <w:rFonts w:asciiTheme="majorHAnsi" w:hAnsiTheme="majorHAnsi"/>
          <w:color w:val="C64187" w:themeColor="accent2"/>
          <w:sz w:val="32"/>
          <w:szCs w:val="32"/>
        </w:rPr>
      </w:pPr>
      <w:r w:rsidRPr="00D13AF1">
        <w:rPr>
          <w:rFonts w:asciiTheme="majorHAnsi" w:hAnsiTheme="majorHAnsi"/>
          <w:color w:val="C64187" w:themeColor="accent2"/>
          <w:sz w:val="32"/>
          <w:szCs w:val="32"/>
        </w:rPr>
        <w:t>Thank You!</w:t>
      </w:r>
    </w:p>
    <w:p w14:paraId="4CC8916B" w14:textId="77777777" w:rsidR="004149A5" w:rsidRDefault="004149A5" w:rsidP="001C00D0">
      <w:pPr>
        <w:pStyle w:val="BodyEE"/>
        <w:sectPr w:rsidR="004149A5" w:rsidSect="00547CDF">
          <w:headerReference w:type="default" r:id="rId41"/>
          <w:headerReference w:type="first" r:id="rId42"/>
          <w:pgSz w:w="11906" w:h="16838"/>
          <w:pgMar w:top="1701" w:right="1134" w:bottom="1134" w:left="1134" w:header="567" w:footer="397" w:gutter="0"/>
          <w:cols w:space="708"/>
          <w:titlePg/>
          <w:docGrid w:linePitch="360"/>
        </w:sectPr>
      </w:pPr>
    </w:p>
    <w:p w14:paraId="3988CCCD" w14:textId="385CFBCD" w:rsidR="001C00D0" w:rsidRPr="00397FF0" w:rsidRDefault="004149A5" w:rsidP="00397FF0">
      <w:pPr>
        <w:pStyle w:val="Heading1"/>
        <w:ind w:left="709" w:hanging="714"/>
        <w:rPr>
          <w:color w:val="C64187" w:themeColor="accent2"/>
        </w:rPr>
      </w:pPr>
      <w:bookmarkStart w:id="86" w:name="_Toc504484129"/>
      <w:r w:rsidRPr="00397FF0">
        <w:rPr>
          <w:color w:val="C64187" w:themeColor="accent2"/>
        </w:rPr>
        <w:lastRenderedPageBreak/>
        <w:t>Survey Respondents</w:t>
      </w:r>
      <w:bookmarkEnd w:id="86"/>
    </w:p>
    <w:tbl>
      <w:tblPr>
        <w:tblStyle w:val="LightShading-Accent11"/>
        <w:tblW w:w="0" w:type="auto"/>
        <w:tblLook w:val="0420" w:firstRow="1" w:lastRow="0" w:firstColumn="0" w:lastColumn="0" w:noHBand="0" w:noVBand="1"/>
      </w:tblPr>
      <w:tblGrid>
        <w:gridCol w:w="6447"/>
        <w:gridCol w:w="2556"/>
      </w:tblGrid>
      <w:tr w:rsidR="00751251" w:rsidRPr="00804693" w14:paraId="7B914A55" w14:textId="77777777" w:rsidTr="00804693">
        <w:trPr>
          <w:cnfStyle w:val="100000000000" w:firstRow="1" w:lastRow="0" w:firstColumn="0" w:lastColumn="0" w:oddVBand="0" w:evenVBand="0" w:oddHBand="0" w:evenHBand="0" w:firstRowFirstColumn="0" w:firstRowLastColumn="0" w:lastRowFirstColumn="0" w:lastRowLastColumn="0"/>
          <w:trHeight w:val="345"/>
        </w:trPr>
        <w:tc>
          <w:tcPr>
            <w:tcW w:w="0" w:type="auto"/>
            <w:noWrap/>
          </w:tcPr>
          <w:p w14:paraId="1DE7DF8B" w14:textId="77777777" w:rsidR="00751251" w:rsidRPr="00804693" w:rsidRDefault="00751251" w:rsidP="00804693">
            <w:pPr>
              <w:tabs>
                <w:tab w:val="clear" w:pos="280"/>
                <w:tab w:val="clear" w:pos="4800"/>
                <w:tab w:val="clear" w:pos="5780"/>
              </w:tabs>
              <w:suppressAutoHyphens w:val="0"/>
              <w:autoSpaceDE/>
              <w:autoSpaceDN/>
              <w:adjustRightInd/>
              <w:spacing w:line="240" w:lineRule="auto"/>
              <w:jc w:val="left"/>
              <w:textAlignment w:val="auto"/>
              <w:rPr>
                <w:rFonts w:eastAsia="Times New Roman" w:cs="Times New Roman"/>
                <w:sz w:val="20"/>
                <w:szCs w:val="20"/>
                <w:lang w:eastAsia="en-GB"/>
              </w:rPr>
            </w:pPr>
            <w:r w:rsidRPr="00804693">
              <w:rPr>
                <w:rFonts w:eastAsia="Times New Roman" w:cs="Times New Roman"/>
                <w:sz w:val="20"/>
                <w:szCs w:val="20"/>
                <w:lang w:eastAsia="en-GB"/>
              </w:rPr>
              <w:t>Organisation</w:t>
            </w:r>
          </w:p>
        </w:tc>
        <w:tc>
          <w:tcPr>
            <w:tcW w:w="0" w:type="auto"/>
          </w:tcPr>
          <w:p w14:paraId="63778760" w14:textId="77777777" w:rsidR="00751251" w:rsidRPr="00804693" w:rsidRDefault="00751251" w:rsidP="00804693">
            <w:pPr>
              <w:tabs>
                <w:tab w:val="clear" w:pos="280"/>
                <w:tab w:val="clear" w:pos="4800"/>
                <w:tab w:val="clear" w:pos="5780"/>
              </w:tabs>
              <w:suppressAutoHyphens w:val="0"/>
              <w:autoSpaceDE/>
              <w:autoSpaceDN/>
              <w:adjustRightInd/>
              <w:spacing w:line="240" w:lineRule="auto"/>
              <w:jc w:val="left"/>
              <w:textAlignment w:val="auto"/>
              <w:rPr>
                <w:rFonts w:eastAsia="Times New Roman" w:cs="Times New Roman"/>
                <w:sz w:val="20"/>
                <w:szCs w:val="20"/>
                <w:lang w:eastAsia="en-GB"/>
              </w:rPr>
            </w:pPr>
            <w:r w:rsidRPr="00804693">
              <w:rPr>
                <w:rFonts w:eastAsia="Times New Roman" w:cs="Times New Roman"/>
                <w:sz w:val="20"/>
                <w:szCs w:val="20"/>
                <w:lang w:eastAsia="en-GB"/>
              </w:rPr>
              <w:t>Jurisdiction</w:t>
            </w:r>
          </w:p>
        </w:tc>
      </w:tr>
      <w:tr w:rsidR="00751251" w:rsidRPr="00804693" w14:paraId="63517124" w14:textId="77777777" w:rsidTr="00804693">
        <w:trPr>
          <w:cnfStyle w:val="000000100000" w:firstRow="0" w:lastRow="0" w:firstColumn="0" w:lastColumn="0" w:oddVBand="0" w:evenVBand="0" w:oddHBand="1" w:evenHBand="0" w:firstRowFirstColumn="0" w:firstRowLastColumn="0" w:lastRowFirstColumn="0" w:lastRowLastColumn="0"/>
          <w:trHeight w:val="345"/>
        </w:trPr>
        <w:tc>
          <w:tcPr>
            <w:tcW w:w="0" w:type="auto"/>
            <w:noWrap/>
            <w:hideMark/>
          </w:tcPr>
          <w:p w14:paraId="0FDDA4A1" w14:textId="764F8390" w:rsidR="00751251" w:rsidRPr="00436135" w:rsidRDefault="00751251" w:rsidP="00804693">
            <w:pPr>
              <w:tabs>
                <w:tab w:val="clear" w:pos="280"/>
                <w:tab w:val="clear" w:pos="4800"/>
                <w:tab w:val="clear" w:pos="5780"/>
              </w:tabs>
              <w:suppressAutoHyphens w:val="0"/>
              <w:autoSpaceDE/>
              <w:autoSpaceDN/>
              <w:adjustRightInd/>
              <w:spacing w:line="240" w:lineRule="auto"/>
              <w:jc w:val="left"/>
              <w:textAlignment w:val="auto"/>
              <w:rPr>
                <w:rFonts w:eastAsia="Times New Roman" w:cs="Times New Roman"/>
                <w:sz w:val="20"/>
                <w:szCs w:val="20"/>
                <w:lang w:eastAsia="en-GB"/>
              </w:rPr>
            </w:pPr>
            <w:r w:rsidRPr="00436135">
              <w:rPr>
                <w:rFonts w:eastAsia="Times New Roman" w:cs="Times New Roman"/>
                <w:sz w:val="20"/>
                <w:szCs w:val="20"/>
                <w:lang w:eastAsia="en-GB"/>
              </w:rPr>
              <w:t>Australian Health Practitioner Regulation Agency</w:t>
            </w:r>
          </w:p>
        </w:tc>
        <w:tc>
          <w:tcPr>
            <w:tcW w:w="0" w:type="auto"/>
          </w:tcPr>
          <w:p w14:paraId="450170CE" w14:textId="77777777" w:rsidR="00751251" w:rsidRPr="00804693" w:rsidRDefault="00751251" w:rsidP="00804693">
            <w:pPr>
              <w:tabs>
                <w:tab w:val="clear" w:pos="280"/>
                <w:tab w:val="clear" w:pos="4800"/>
                <w:tab w:val="clear" w:pos="5780"/>
              </w:tabs>
              <w:suppressAutoHyphens w:val="0"/>
              <w:autoSpaceDE/>
              <w:autoSpaceDN/>
              <w:adjustRightInd/>
              <w:spacing w:line="240" w:lineRule="auto"/>
              <w:jc w:val="left"/>
              <w:textAlignment w:val="auto"/>
              <w:rPr>
                <w:rFonts w:eastAsia="Times New Roman" w:cs="Times New Roman"/>
                <w:sz w:val="20"/>
                <w:szCs w:val="20"/>
                <w:lang w:eastAsia="en-GB"/>
              </w:rPr>
            </w:pPr>
            <w:r w:rsidRPr="00804693">
              <w:rPr>
                <w:sz w:val="20"/>
                <w:szCs w:val="20"/>
              </w:rPr>
              <w:t>Australia</w:t>
            </w:r>
          </w:p>
        </w:tc>
      </w:tr>
      <w:tr w:rsidR="00751251" w:rsidRPr="00804693" w14:paraId="37D1D5E4" w14:textId="77777777" w:rsidTr="00804693">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Height w:val="345"/>
        </w:trPr>
        <w:tc>
          <w:tcPr>
            <w:tcW w:w="0" w:type="auto"/>
            <w:noWrap/>
            <w:hideMark/>
          </w:tcPr>
          <w:p w14:paraId="466E57E8" w14:textId="63771376" w:rsidR="00751251" w:rsidRPr="00436135" w:rsidRDefault="00751251" w:rsidP="00804693">
            <w:pPr>
              <w:tabs>
                <w:tab w:val="clear" w:pos="280"/>
                <w:tab w:val="clear" w:pos="4800"/>
                <w:tab w:val="clear" w:pos="5780"/>
              </w:tabs>
              <w:suppressAutoHyphens w:val="0"/>
              <w:autoSpaceDE/>
              <w:autoSpaceDN/>
              <w:adjustRightInd/>
              <w:spacing w:line="240" w:lineRule="auto"/>
              <w:jc w:val="left"/>
              <w:textAlignment w:val="auto"/>
              <w:rPr>
                <w:rFonts w:eastAsia="Times New Roman" w:cs="Times New Roman"/>
                <w:sz w:val="20"/>
                <w:szCs w:val="20"/>
                <w:lang w:eastAsia="en-GB"/>
              </w:rPr>
            </w:pPr>
            <w:r w:rsidRPr="00436135">
              <w:rPr>
                <w:rFonts w:eastAsia="Times New Roman" w:cs="Times New Roman"/>
                <w:sz w:val="20"/>
                <w:szCs w:val="20"/>
                <w:lang w:eastAsia="en-GB"/>
              </w:rPr>
              <w:t>Medical Council of N</w:t>
            </w:r>
            <w:r w:rsidR="00FD1714">
              <w:rPr>
                <w:rFonts w:eastAsia="Times New Roman" w:cs="Times New Roman"/>
                <w:sz w:val="20"/>
                <w:szCs w:val="20"/>
                <w:lang w:eastAsia="en-GB"/>
              </w:rPr>
              <w:t>ew South Wales</w:t>
            </w:r>
          </w:p>
        </w:tc>
        <w:tc>
          <w:tcPr>
            <w:tcW w:w="0" w:type="auto"/>
          </w:tcPr>
          <w:p w14:paraId="122F335B" w14:textId="77777777" w:rsidR="00751251" w:rsidRPr="00804693" w:rsidRDefault="00751251" w:rsidP="00751251">
            <w:pPr>
              <w:tabs>
                <w:tab w:val="clear" w:pos="280"/>
                <w:tab w:val="clear" w:pos="4800"/>
                <w:tab w:val="clear" w:pos="5780"/>
              </w:tabs>
              <w:suppressAutoHyphens w:val="0"/>
              <w:autoSpaceDE/>
              <w:autoSpaceDN/>
              <w:adjustRightInd/>
              <w:spacing w:line="240" w:lineRule="auto"/>
              <w:jc w:val="left"/>
              <w:textAlignment w:val="auto"/>
              <w:rPr>
                <w:rFonts w:eastAsia="Times New Roman" w:cs="Times New Roman"/>
                <w:sz w:val="20"/>
                <w:szCs w:val="20"/>
                <w:lang w:eastAsia="en-GB"/>
              </w:rPr>
            </w:pPr>
            <w:r>
              <w:rPr>
                <w:sz w:val="20"/>
                <w:szCs w:val="20"/>
              </w:rPr>
              <w:t>Australia (New South Wales)</w:t>
            </w:r>
          </w:p>
        </w:tc>
      </w:tr>
      <w:tr w:rsidR="00751251" w:rsidRPr="00804693" w14:paraId="15DCA299" w14:textId="77777777" w:rsidTr="00804693">
        <w:trPr>
          <w:cnfStyle w:val="000000100000" w:firstRow="0" w:lastRow="0" w:firstColumn="0" w:lastColumn="0" w:oddVBand="0" w:evenVBand="0" w:oddHBand="1" w:evenHBand="0" w:firstRowFirstColumn="0" w:firstRowLastColumn="0" w:lastRowFirstColumn="0" w:lastRowLastColumn="0"/>
          <w:trHeight w:val="345"/>
        </w:trPr>
        <w:tc>
          <w:tcPr>
            <w:tcW w:w="0" w:type="auto"/>
            <w:noWrap/>
            <w:hideMark/>
          </w:tcPr>
          <w:p w14:paraId="08076FA3" w14:textId="77777777" w:rsidR="00751251" w:rsidRPr="00436135" w:rsidRDefault="00751251" w:rsidP="00804693">
            <w:pPr>
              <w:tabs>
                <w:tab w:val="clear" w:pos="280"/>
                <w:tab w:val="clear" w:pos="4800"/>
                <w:tab w:val="clear" w:pos="5780"/>
              </w:tabs>
              <w:suppressAutoHyphens w:val="0"/>
              <w:autoSpaceDE/>
              <w:autoSpaceDN/>
              <w:adjustRightInd/>
              <w:spacing w:line="240" w:lineRule="auto"/>
              <w:jc w:val="left"/>
              <w:textAlignment w:val="auto"/>
              <w:rPr>
                <w:rFonts w:eastAsia="Times New Roman" w:cs="Times New Roman"/>
                <w:sz w:val="20"/>
                <w:szCs w:val="20"/>
                <w:lang w:eastAsia="en-GB"/>
              </w:rPr>
            </w:pPr>
            <w:r w:rsidRPr="00436135">
              <w:rPr>
                <w:rFonts w:eastAsia="Times New Roman" w:cs="Times New Roman"/>
                <w:sz w:val="20"/>
                <w:szCs w:val="20"/>
                <w:lang w:eastAsia="en-GB"/>
              </w:rPr>
              <w:t>Bhutan Medical and Health Council, Thimphu, Bhutan</w:t>
            </w:r>
          </w:p>
        </w:tc>
        <w:tc>
          <w:tcPr>
            <w:tcW w:w="0" w:type="auto"/>
          </w:tcPr>
          <w:p w14:paraId="20527198" w14:textId="77777777" w:rsidR="00751251" w:rsidRPr="00804693" w:rsidRDefault="00751251" w:rsidP="00804693">
            <w:pPr>
              <w:tabs>
                <w:tab w:val="clear" w:pos="280"/>
                <w:tab w:val="clear" w:pos="4800"/>
                <w:tab w:val="clear" w:pos="5780"/>
              </w:tabs>
              <w:suppressAutoHyphens w:val="0"/>
              <w:autoSpaceDE/>
              <w:autoSpaceDN/>
              <w:adjustRightInd/>
              <w:spacing w:line="240" w:lineRule="auto"/>
              <w:jc w:val="left"/>
              <w:textAlignment w:val="auto"/>
              <w:rPr>
                <w:rFonts w:eastAsia="Times New Roman" w:cs="Times New Roman"/>
                <w:sz w:val="20"/>
                <w:szCs w:val="20"/>
                <w:lang w:eastAsia="en-GB"/>
              </w:rPr>
            </w:pPr>
            <w:r w:rsidRPr="00804693">
              <w:rPr>
                <w:sz w:val="20"/>
                <w:szCs w:val="20"/>
              </w:rPr>
              <w:t>Bhutan</w:t>
            </w:r>
          </w:p>
        </w:tc>
      </w:tr>
      <w:tr w:rsidR="00751251" w:rsidRPr="00804693" w14:paraId="5D396ADE" w14:textId="77777777" w:rsidTr="00804693">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Height w:val="345"/>
        </w:trPr>
        <w:tc>
          <w:tcPr>
            <w:tcW w:w="0" w:type="auto"/>
            <w:noWrap/>
            <w:hideMark/>
          </w:tcPr>
          <w:p w14:paraId="4C567AE8" w14:textId="77777777" w:rsidR="00751251" w:rsidRPr="00436135" w:rsidRDefault="00751251" w:rsidP="00804693">
            <w:pPr>
              <w:tabs>
                <w:tab w:val="clear" w:pos="280"/>
                <w:tab w:val="clear" w:pos="4800"/>
                <w:tab w:val="clear" w:pos="5780"/>
              </w:tabs>
              <w:suppressAutoHyphens w:val="0"/>
              <w:autoSpaceDE/>
              <w:autoSpaceDN/>
              <w:adjustRightInd/>
              <w:spacing w:line="240" w:lineRule="auto"/>
              <w:jc w:val="left"/>
              <w:textAlignment w:val="auto"/>
              <w:rPr>
                <w:rFonts w:eastAsia="Times New Roman" w:cs="Times New Roman"/>
                <w:sz w:val="20"/>
                <w:szCs w:val="20"/>
                <w:lang w:eastAsia="en-GB"/>
              </w:rPr>
            </w:pPr>
            <w:r w:rsidRPr="00436135">
              <w:rPr>
                <w:rFonts w:eastAsia="Times New Roman" w:cs="Times New Roman"/>
                <w:sz w:val="20"/>
                <w:szCs w:val="20"/>
                <w:lang w:eastAsia="en-GB"/>
              </w:rPr>
              <w:t>Federation of Medical Regulatory Authorities of Canada</w:t>
            </w:r>
          </w:p>
        </w:tc>
        <w:tc>
          <w:tcPr>
            <w:tcW w:w="0" w:type="auto"/>
          </w:tcPr>
          <w:p w14:paraId="2CB60062" w14:textId="77777777" w:rsidR="00751251" w:rsidRPr="00804693" w:rsidRDefault="00751251" w:rsidP="00804693">
            <w:pPr>
              <w:tabs>
                <w:tab w:val="clear" w:pos="280"/>
                <w:tab w:val="clear" w:pos="4800"/>
                <w:tab w:val="clear" w:pos="5780"/>
              </w:tabs>
              <w:suppressAutoHyphens w:val="0"/>
              <w:autoSpaceDE/>
              <w:autoSpaceDN/>
              <w:adjustRightInd/>
              <w:spacing w:line="240" w:lineRule="auto"/>
              <w:jc w:val="left"/>
              <w:textAlignment w:val="auto"/>
              <w:rPr>
                <w:rFonts w:eastAsia="Times New Roman" w:cs="Times New Roman"/>
                <w:sz w:val="20"/>
                <w:szCs w:val="20"/>
                <w:lang w:eastAsia="en-GB"/>
              </w:rPr>
            </w:pPr>
            <w:r w:rsidRPr="00804693">
              <w:rPr>
                <w:sz w:val="20"/>
                <w:szCs w:val="20"/>
              </w:rPr>
              <w:t>Canada</w:t>
            </w:r>
          </w:p>
        </w:tc>
      </w:tr>
      <w:tr w:rsidR="00751251" w:rsidRPr="00804693" w14:paraId="6E306027" w14:textId="77777777" w:rsidTr="00804693">
        <w:trPr>
          <w:cnfStyle w:val="000000100000" w:firstRow="0" w:lastRow="0" w:firstColumn="0" w:lastColumn="0" w:oddVBand="0" w:evenVBand="0" w:oddHBand="1" w:evenHBand="0" w:firstRowFirstColumn="0" w:firstRowLastColumn="0" w:lastRowFirstColumn="0" w:lastRowLastColumn="0"/>
          <w:trHeight w:val="345"/>
        </w:trPr>
        <w:tc>
          <w:tcPr>
            <w:tcW w:w="0" w:type="auto"/>
            <w:noWrap/>
            <w:hideMark/>
          </w:tcPr>
          <w:p w14:paraId="7EC5BA7C" w14:textId="77777777" w:rsidR="00751251" w:rsidRPr="00436135" w:rsidRDefault="00751251" w:rsidP="00804693">
            <w:pPr>
              <w:tabs>
                <w:tab w:val="clear" w:pos="280"/>
                <w:tab w:val="clear" w:pos="4800"/>
                <w:tab w:val="clear" w:pos="5780"/>
              </w:tabs>
              <w:suppressAutoHyphens w:val="0"/>
              <w:autoSpaceDE/>
              <w:autoSpaceDN/>
              <w:adjustRightInd/>
              <w:spacing w:line="240" w:lineRule="auto"/>
              <w:jc w:val="left"/>
              <w:textAlignment w:val="auto"/>
              <w:rPr>
                <w:rFonts w:eastAsia="Times New Roman" w:cs="Times New Roman"/>
                <w:sz w:val="20"/>
                <w:szCs w:val="20"/>
                <w:lang w:eastAsia="en-GB"/>
              </w:rPr>
            </w:pPr>
            <w:r w:rsidRPr="00436135">
              <w:rPr>
                <w:rFonts w:eastAsia="Times New Roman" w:cs="Times New Roman"/>
                <w:sz w:val="20"/>
                <w:szCs w:val="20"/>
                <w:lang w:eastAsia="en-GB"/>
              </w:rPr>
              <w:t>College of Physicians and Surgeons of Alberta</w:t>
            </w:r>
          </w:p>
        </w:tc>
        <w:tc>
          <w:tcPr>
            <w:tcW w:w="0" w:type="auto"/>
          </w:tcPr>
          <w:p w14:paraId="02902036" w14:textId="77777777" w:rsidR="00751251" w:rsidRPr="00804693" w:rsidRDefault="00751251" w:rsidP="00751251">
            <w:pPr>
              <w:tabs>
                <w:tab w:val="clear" w:pos="280"/>
                <w:tab w:val="clear" w:pos="4800"/>
                <w:tab w:val="clear" w:pos="5780"/>
              </w:tabs>
              <w:suppressAutoHyphens w:val="0"/>
              <w:autoSpaceDE/>
              <w:autoSpaceDN/>
              <w:adjustRightInd/>
              <w:spacing w:line="240" w:lineRule="auto"/>
              <w:jc w:val="left"/>
              <w:textAlignment w:val="auto"/>
              <w:rPr>
                <w:rFonts w:eastAsia="Times New Roman" w:cs="Times New Roman"/>
                <w:sz w:val="20"/>
                <w:szCs w:val="20"/>
                <w:lang w:eastAsia="en-GB"/>
              </w:rPr>
            </w:pPr>
            <w:r>
              <w:rPr>
                <w:sz w:val="20"/>
                <w:szCs w:val="20"/>
              </w:rPr>
              <w:t>Canada (</w:t>
            </w:r>
            <w:r w:rsidRPr="00804693">
              <w:rPr>
                <w:sz w:val="20"/>
                <w:szCs w:val="20"/>
              </w:rPr>
              <w:t>Alberta</w:t>
            </w:r>
            <w:r>
              <w:rPr>
                <w:sz w:val="20"/>
                <w:szCs w:val="20"/>
              </w:rPr>
              <w:t>)</w:t>
            </w:r>
          </w:p>
        </w:tc>
      </w:tr>
      <w:tr w:rsidR="00751251" w:rsidRPr="00804693" w14:paraId="577BEDE4" w14:textId="77777777" w:rsidTr="00804693">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Height w:val="345"/>
        </w:trPr>
        <w:tc>
          <w:tcPr>
            <w:tcW w:w="0" w:type="auto"/>
            <w:noWrap/>
            <w:hideMark/>
          </w:tcPr>
          <w:p w14:paraId="50E59C46" w14:textId="6A328249" w:rsidR="00751251" w:rsidRPr="00436135" w:rsidRDefault="00751251" w:rsidP="00804693">
            <w:pPr>
              <w:tabs>
                <w:tab w:val="clear" w:pos="280"/>
                <w:tab w:val="clear" w:pos="4800"/>
                <w:tab w:val="clear" w:pos="5780"/>
              </w:tabs>
              <w:suppressAutoHyphens w:val="0"/>
              <w:autoSpaceDE/>
              <w:autoSpaceDN/>
              <w:adjustRightInd/>
              <w:spacing w:line="240" w:lineRule="auto"/>
              <w:jc w:val="left"/>
              <w:textAlignment w:val="auto"/>
              <w:rPr>
                <w:rFonts w:eastAsia="Times New Roman" w:cs="Times New Roman"/>
                <w:sz w:val="20"/>
                <w:szCs w:val="20"/>
                <w:lang w:eastAsia="en-GB"/>
              </w:rPr>
            </w:pPr>
            <w:r w:rsidRPr="00436135">
              <w:rPr>
                <w:rFonts w:eastAsia="Times New Roman" w:cs="Times New Roman"/>
                <w:sz w:val="20"/>
                <w:szCs w:val="20"/>
                <w:lang w:eastAsia="en-GB"/>
              </w:rPr>
              <w:t>College of Physicians and Surgeons of B</w:t>
            </w:r>
            <w:r w:rsidR="00FD1714">
              <w:rPr>
                <w:rFonts w:eastAsia="Times New Roman" w:cs="Times New Roman"/>
                <w:sz w:val="20"/>
                <w:szCs w:val="20"/>
                <w:lang w:eastAsia="en-GB"/>
              </w:rPr>
              <w:t>ritish Columbia</w:t>
            </w:r>
          </w:p>
        </w:tc>
        <w:tc>
          <w:tcPr>
            <w:tcW w:w="0" w:type="auto"/>
          </w:tcPr>
          <w:p w14:paraId="13A90D9D" w14:textId="77777777" w:rsidR="00751251" w:rsidRPr="00804693" w:rsidRDefault="00751251" w:rsidP="00751251">
            <w:pPr>
              <w:tabs>
                <w:tab w:val="clear" w:pos="280"/>
                <w:tab w:val="clear" w:pos="4800"/>
                <w:tab w:val="clear" w:pos="5780"/>
              </w:tabs>
              <w:suppressAutoHyphens w:val="0"/>
              <w:autoSpaceDE/>
              <w:autoSpaceDN/>
              <w:adjustRightInd/>
              <w:spacing w:line="240" w:lineRule="auto"/>
              <w:jc w:val="left"/>
              <w:textAlignment w:val="auto"/>
              <w:rPr>
                <w:rFonts w:eastAsia="Times New Roman" w:cs="Times New Roman"/>
                <w:sz w:val="20"/>
                <w:szCs w:val="20"/>
                <w:lang w:eastAsia="en-GB"/>
              </w:rPr>
            </w:pPr>
            <w:r>
              <w:rPr>
                <w:sz w:val="20"/>
                <w:szCs w:val="20"/>
              </w:rPr>
              <w:t>Canada (British Columbia)</w:t>
            </w:r>
          </w:p>
        </w:tc>
      </w:tr>
      <w:tr w:rsidR="00751251" w:rsidRPr="00804693" w14:paraId="4374D5F4" w14:textId="77777777" w:rsidTr="00804693">
        <w:trPr>
          <w:cnfStyle w:val="000000100000" w:firstRow="0" w:lastRow="0" w:firstColumn="0" w:lastColumn="0" w:oddVBand="0" w:evenVBand="0" w:oddHBand="1" w:evenHBand="0" w:firstRowFirstColumn="0" w:firstRowLastColumn="0" w:lastRowFirstColumn="0" w:lastRowLastColumn="0"/>
          <w:trHeight w:val="345"/>
        </w:trPr>
        <w:tc>
          <w:tcPr>
            <w:tcW w:w="0" w:type="auto"/>
            <w:noWrap/>
            <w:hideMark/>
          </w:tcPr>
          <w:p w14:paraId="486223F6" w14:textId="77777777" w:rsidR="00751251" w:rsidRPr="00436135" w:rsidRDefault="00751251" w:rsidP="00804693">
            <w:pPr>
              <w:tabs>
                <w:tab w:val="clear" w:pos="280"/>
                <w:tab w:val="clear" w:pos="4800"/>
                <w:tab w:val="clear" w:pos="5780"/>
              </w:tabs>
              <w:suppressAutoHyphens w:val="0"/>
              <w:autoSpaceDE/>
              <w:autoSpaceDN/>
              <w:adjustRightInd/>
              <w:spacing w:line="240" w:lineRule="auto"/>
              <w:jc w:val="left"/>
              <w:textAlignment w:val="auto"/>
              <w:rPr>
                <w:rFonts w:eastAsia="Times New Roman" w:cs="Times New Roman"/>
                <w:sz w:val="20"/>
                <w:szCs w:val="20"/>
                <w:lang w:eastAsia="en-GB"/>
              </w:rPr>
            </w:pPr>
            <w:r w:rsidRPr="00436135">
              <w:rPr>
                <w:rFonts w:eastAsia="Times New Roman" w:cs="Times New Roman"/>
                <w:sz w:val="20"/>
                <w:szCs w:val="20"/>
                <w:lang w:eastAsia="en-GB"/>
              </w:rPr>
              <w:t>College of Physicians and Surgeons of Ontario</w:t>
            </w:r>
          </w:p>
        </w:tc>
        <w:tc>
          <w:tcPr>
            <w:tcW w:w="0" w:type="auto"/>
          </w:tcPr>
          <w:p w14:paraId="780A6FED" w14:textId="77777777" w:rsidR="00751251" w:rsidRPr="00804693" w:rsidRDefault="00751251" w:rsidP="00751251">
            <w:pPr>
              <w:tabs>
                <w:tab w:val="clear" w:pos="280"/>
                <w:tab w:val="clear" w:pos="4800"/>
                <w:tab w:val="clear" w:pos="5780"/>
              </w:tabs>
              <w:suppressAutoHyphens w:val="0"/>
              <w:autoSpaceDE/>
              <w:autoSpaceDN/>
              <w:adjustRightInd/>
              <w:spacing w:line="240" w:lineRule="auto"/>
              <w:jc w:val="left"/>
              <w:textAlignment w:val="auto"/>
              <w:rPr>
                <w:rFonts w:eastAsia="Times New Roman" w:cs="Times New Roman"/>
                <w:sz w:val="20"/>
                <w:szCs w:val="20"/>
                <w:lang w:eastAsia="en-GB"/>
              </w:rPr>
            </w:pPr>
            <w:r>
              <w:rPr>
                <w:sz w:val="20"/>
                <w:szCs w:val="20"/>
              </w:rPr>
              <w:t>Canada (Ontario)</w:t>
            </w:r>
          </w:p>
        </w:tc>
      </w:tr>
      <w:tr w:rsidR="00751251" w:rsidRPr="00804693" w14:paraId="33095E59" w14:textId="77777777" w:rsidTr="00804693">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Height w:val="345"/>
        </w:trPr>
        <w:tc>
          <w:tcPr>
            <w:tcW w:w="0" w:type="auto"/>
            <w:noWrap/>
            <w:hideMark/>
          </w:tcPr>
          <w:p w14:paraId="7440B90B" w14:textId="2EBD245B" w:rsidR="00751251" w:rsidRPr="00436135" w:rsidRDefault="00751251" w:rsidP="00804693">
            <w:pPr>
              <w:tabs>
                <w:tab w:val="clear" w:pos="280"/>
                <w:tab w:val="clear" w:pos="4800"/>
                <w:tab w:val="clear" w:pos="5780"/>
              </w:tabs>
              <w:suppressAutoHyphens w:val="0"/>
              <w:autoSpaceDE/>
              <w:autoSpaceDN/>
              <w:adjustRightInd/>
              <w:spacing w:line="240" w:lineRule="auto"/>
              <w:jc w:val="left"/>
              <w:textAlignment w:val="auto"/>
              <w:rPr>
                <w:rFonts w:eastAsia="Times New Roman" w:cs="Times New Roman"/>
                <w:sz w:val="20"/>
                <w:szCs w:val="20"/>
                <w:lang w:eastAsia="en-GB"/>
              </w:rPr>
            </w:pPr>
            <w:r w:rsidRPr="00436135">
              <w:rPr>
                <w:rFonts w:eastAsia="Times New Roman" w:cs="Times New Roman"/>
                <w:sz w:val="20"/>
                <w:szCs w:val="20"/>
                <w:lang w:eastAsia="en-GB"/>
              </w:rPr>
              <w:t xml:space="preserve">College of Physicians and </w:t>
            </w:r>
            <w:r w:rsidR="00297895">
              <w:rPr>
                <w:rFonts w:eastAsia="Times New Roman" w:cs="Times New Roman"/>
                <w:sz w:val="20"/>
                <w:szCs w:val="20"/>
                <w:lang w:eastAsia="en-GB"/>
              </w:rPr>
              <w:t>S</w:t>
            </w:r>
            <w:r w:rsidRPr="00436135">
              <w:rPr>
                <w:rFonts w:eastAsia="Times New Roman" w:cs="Times New Roman"/>
                <w:sz w:val="20"/>
                <w:szCs w:val="20"/>
                <w:lang w:eastAsia="en-GB"/>
              </w:rPr>
              <w:t xml:space="preserve">urgeons of Saskatchewan </w:t>
            </w:r>
          </w:p>
        </w:tc>
        <w:tc>
          <w:tcPr>
            <w:tcW w:w="0" w:type="auto"/>
          </w:tcPr>
          <w:p w14:paraId="7207DF2B" w14:textId="77777777" w:rsidR="00751251" w:rsidRPr="00804693" w:rsidRDefault="00751251" w:rsidP="00751251">
            <w:pPr>
              <w:tabs>
                <w:tab w:val="clear" w:pos="280"/>
                <w:tab w:val="clear" w:pos="4800"/>
                <w:tab w:val="clear" w:pos="5780"/>
              </w:tabs>
              <w:suppressAutoHyphens w:val="0"/>
              <w:autoSpaceDE/>
              <w:autoSpaceDN/>
              <w:adjustRightInd/>
              <w:spacing w:line="240" w:lineRule="auto"/>
              <w:jc w:val="left"/>
              <w:textAlignment w:val="auto"/>
              <w:rPr>
                <w:rFonts w:eastAsia="Times New Roman" w:cs="Times New Roman"/>
                <w:sz w:val="20"/>
                <w:szCs w:val="20"/>
                <w:lang w:eastAsia="en-GB"/>
              </w:rPr>
            </w:pPr>
            <w:r>
              <w:rPr>
                <w:sz w:val="20"/>
                <w:szCs w:val="20"/>
              </w:rPr>
              <w:t>Canada (Saskatchewan)</w:t>
            </w:r>
          </w:p>
        </w:tc>
      </w:tr>
      <w:tr w:rsidR="00751251" w:rsidRPr="00804693" w14:paraId="7762C8C7" w14:textId="77777777" w:rsidTr="00804693">
        <w:trPr>
          <w:cnfStyle w:val="000000100000" w:firstRow="0" w:lastRow="0" w:firstColumn="0" w:lastColumn="0" w:oddVBand="0" w:evenVBand="0" w:oddHBand="1" w:evenHBand="0" w:firstRowFirstColumn="0" w:firstRowLastColumn="0" w:lastRowFirstColumn="0" w:lastRowLastColumn="0"/>
          <w:trHeight w:val="345"/>
        </w:trPr>
        <w:tc>
          <w:tcPr>
            <w:tcW w:w="0" w:type="auto"/>
            <w:noWrap/>
            <w:hideMark/>
          </w:tcPr>
          <w:p w14:paraId="09753B33" w14:textId="13713348" w:rsidR="00751251" w:rsidRPr="00436135" w:rsidRDefault="00751251" w:rsidP="00804693">
            <w:pPr>
              <w:tabs>
                <w:tab w:val="clear" w:pos="280"/>
                <w:tab w:val="clear" w:pos="4800"/>
                <w:tab w:val="clear" w:pos="5780"/>
              </w:tabs>
              <w:suppressAutoHyphens w:val="0"/>
              <w:autoSpaceDE/>
              <w:autoSpaceDN/>
              <w:adjustRightInd/>
              <w:spacing w:line="240" w:lineRule="auto"/>
              <w:jc w:val="left"/>
              <w:textAlignment w:val="auto"/>
              <w:rPr>
                <w:rFonts w:eastAsia="Times New Roman" w:cs="Times New Roman"/>
                <w:sz w:val="20"/>
                <w:szCs w:val="20"/>
                <w:lang w:eastAsia="en-GB"/>
              </w:rPr>
            </w:pPr>
            <w:r w:rsidRPr="00436135">
              <w:rPr>
                <w:rFonts w:eastAsia="Times New Roman" w:cs="Times New Roman"/>
                <w:sz w:val="20"/>
                <w:szCs w:val="20"/>
                <w:lang w:eastAsia="en-GB"/>
              </w:rPr>
              <w:t>Danish Patient Safety Authority</w:t>
            </w:r>
            <w:r w:rsidR="00FD1714">
              <w:rPr>
                <w:rFonts w:eastAsia="Times New Roman" w:cs="Times New Roman"/>
                <w:sz w:val="20"/>
                <w:szCs w:val="20"/>
                <w:lang w:eastAsia="en-GB"/>
              </w:rPr>
              <w:t xml:space="preserve"> (</w:t>
            </w:r>
            <w:proofErr w:type="spellStart"/>
            <w:r w:rsidR="00FD1714" w:rsidRPr="00FD1714">
              <w:rPr>
                <w:rFonts w:eastAsia="Times New Roman" w:cs="Times New Roman"/>
                <w:sz w:val="20"/>
                <w:szCs w:val="20"/>
                <w:lang w:eastAsia="en-GB"/>
              </w:rPr>
              <w:t>Styrelsen</w:t>
            </w:r>
            <w:proofErr w:type="spellEnd"/>
            <w:r w:rsidR="00FD1714" w:rsidRPr="00FD1714">
              <w:rPr>
                <w:rFonts w:eastAsia="Times New Roman" w:cs="Times New Roman"/>
                <w:sz w:val="20"/>
                <w:szCs w:val="20"/>
                <w:lang w:eastAsia="en-GB"/>
              </w:rPr>
              <w:t xml:space="preserve"> for </w:t>
            </w:r>
            <w:proofErr w:type="spellStart"/>
            <w:r w:rsidR="00FD1714" w:rsidRPr="00FD1714">
              <w:rPr>
                <w:rFonts w:eastAsia="Times New Roman" w:cs="Times New Roman"/>
                <w:sz w:val="20"/>
                <w:szCs w:val="20"/>
                <w:lang w:eastAsia="en-GB"/>
              </w:rPr>
              <w:t>Patientsikkerhed</w:t>
            </w:r>
            <w:proofErr w:type="spellEnd"/>
            <w:r w:rsidR="00FD1714">
              <w:rPr>
                <w:rFonts w:eastAsia="Times New Roman" w:cs="Times New Roman"/>
                <w:sz w:val="20"/>
                <w:szCs w:val="20"/>
                <w:lang w:eastAsia="en-GB"/>
              </w:rPr>
              <w:t>)</w:t>
            </w:r>
          </w:p>
        </w:tc>
        <w:tc>
          <w:tcPr>
            <w:tcW w:w="0" w:type="auto"/>
          </w:tcPr>
          <w:p w14:paraId="716CD636" w14:textId="77777777" w:rsidR="00751251" w:rsidRPr="00804693" w:rsidRDefault="00751251" w:rsidP="00804693">
            <w:pPr>
              <w:tabs>
                <w:tab w:val="clear" w:pos="280"/>
                <w:tab w:val="clear" w:pos="4800"/>
                <w:tab w:val="clear" w:pos="5780"/>
              </w:tabs>
              <w:suppressAutoHyphens w:val="0"/>
              <w:autoSpaceDE/>
              <w:autoSpaceDN/>
              <w:adjustRightInd/>
              <w:spacing w:line="240" w:lineRule="auto"/>
              <w:jc w:val="left"/>
              <w:textAlignment w:val="auto"/>
              <w:rPr>
                <w:rFonts w:eastAsia="Times New Roman" w:cs="Times New Roman"/>
                <w:sz w:val="20"/>
                <w:szCs w:val="20"/>
                <w:lang w:eastAsia="en-GB"/>
              </w:rPr>
            </w:pPr>
            <w:r w:rsidRPr="00804693">
              <w:rPr>
                <w:sz w:val="20"/>
                <w:szCs w:val="20"/>
              </w:rPr>
              <w:t>Denmark</w:t>
            </w:r>
          </w:p>
        </w:tc>
      </w:tr>
      <w:tr w:rsidR="00751251" w:rsidRPr="00804693" w14:paraId="26A83F2F" w14:textId="77777777" w:rsidTr="00804693">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Height w:val="345"/>
        </w:trPr>
        <w:tc>
          <w:tcPr>
            <w:tcW w:w="0" w:type="auto"/>
            <w:noWrap/>
            <w:hideMark/>
          </w:tcPr>
          <w:p w14:paraId="23BD818A" w14:textId="186E970A" w:rsidR="00751251" w:rsidRPr="003A52C3" w:rsidRDefault="00751251" w:rsidP="00804693">
            <w:pPr>
              <w:tabs>
                <w:tab w:val="clear" w:pos="280"/>
                <w:tab w:val="clear" w:pos="4800"/>
                <w:tab w:val="clear" w:pos="5780"/>
              </w:tabs>
              <w:suppressAutoHyphens w:val="0"/>
              <w:autoSpaceDE/>
              <w:autoSpaceDN/>
              <w:adjustRightInd/>
              <w:spacing w:line="240" w:lineRule="auto"/>
              <w:jc w:val="left"/>
              <w:textAlignment w:val="auto"/>
              <w:rPr>
                <w:rFonts w:eastAsia="Times New Roman" w:cs="Times New Roman"/>
                <w:sz w:val="20"/>
                <w:szCs w:val="20"/>
                <w:lang w:val="fr-FR" w:eastAsia="en-GB"/>
              </w:rPr>
            </w:pPr>
            <w:r w:rsidRPr="003A52C3">
              <w:rPr>
                <w:rFonts w:eastAsia="Times New Roman" w:cs="Times New Roman"/>
                <w:sz w:val="20"/>
                <w:szCs w:val="20"/>
                <w:lang w:val="fr-FR" w:eastAsia="en-GB"/>
              </w:rPr>
              <w:t xml:space="preserve">French </w:t>
            </w:r>
            <w:proofErr w:type="spellStart"/>
            <w:r w:rsidRPr="003A52C3">
              <w:rPr>
                <w:rFonts w:eastAsia="Times New Roman" w:cs="Times New Roman"/>
                <w:sz w:val="20"/>
                <w:szCs w:val="20"/>
                <w:lang w:val="fr-FR" w:eastAsia="en-GB"/>
              </w:rPr>
              <w:t>Medical</w:t>
            </w:r>
            <w:proofErr w:type="spellEnd"/>
            <w:r w:rsidRPr="003A52C3">
              <w:rPr>
                <w:rFonts w:eastAsia="Times New Roman" w:cs="Times New Roman"/>
                <w:sz w:val="20"/>
                <w:szCs w:val="20"/>
                <w:lang w:val="fr-FR" w:eastAsia="en-GB"/>
              </w:rPr>
              <w:t xml:space="preserve"> Council </w:t>
            </w:r>
            <w:r w:rsidR="00ED7034" w:rsidRPr="003A52C3">
              <w:rPr>
                <w:rFonts w:eastAsia="Times New Roman" w:cs="Times New Roman"/>
                <w:sz w:val="20"/>
                <w:szCs w:val="20"/>
                <w:lang w:val="fr-FR" w:eastAsia="en-GB"/>
              </w:rPr>
              <w:t>(Conseil National de l`Ordre des Médecins)</w:t>
            </w:r>
          </w:p>
        </w:tc>
        <w:tc>
          <w:tcPr>
            <w:tcW w:w="0" w:type="auto"/>
          </w:tcPr>
          <w:p w14:paraId="381F5FBA" w14:textId="77777777" w:rsidR="00751251" w:rsidRPr="00804693" w:rsidRDefault="00751251" w:rsidP="00804693">
            <w:pPr>
              <w:tabs>
                <w:tab w:val="clear" w:pos="280"/>
                <w:tab w:val="clear" w:pos="4800"/>
                <w:tab w:val="clear" w:pos="5780"/>
              </w:tabs>
              <w:suppressAutoHyphens w:val="0"/>
              <w:autoSpaceDE/>
              <w:autoSpaceDN/>
              <w:adjustRightInd/>
              <w:spacing w:line="240" w:lineRule="auto"/>
              <w:jc w:val="left"/>
              <w:textAlignment w:val="auto"/>
              <w:rPr>
                <w:rFonts w:eastAsia="Times New Roman" w:cs="Times New Roman"/>
                <w:sz w:val="20"/>
                <w:szCs w:val="20"/>
                <w:lang w:eastAsia="en-GB"/>
              </w:rPr>
            </w:pPr>
            <w:r w:rsidRPr="00804693">
              <w:rPr>
                <w:rFonts w:eastAsia="Times New Roman" w:cs="Times New Roman"/>
                <w:sz w:val="20"/>
                <w:szCs w:val="20"/>
                <w:lang w:eastAsia="en-GB"/>
              </w:rPr>
              <w:t xml:space="preserve">France </w:t>
            </w:r>
          </w:p>
        </w:tc>
      </w:tr>
      <w:tr w:rsidR="00751251" w:rsidRPr="00804693" w14:paraId="373B0927" w14:textId="77777777" w:rsidTr="00804693">
        <w:trPr>
          <w:cnfStyle w:val="000000100000" w:firstRow="0" w:lastRow="0" w:firstColumn="0" w:lastColumn="0" w:oddVBand="0" w:evenVBand="0" w:oddHBand="1" w:evenHBand="0" w:firstRowFirstColumn="0" w:firstRowLastColumn="0" w:lastRowFirstColumn="0" w:lastRowLastColumn="0"/>
          <w:trHeight w:val="345"/>
        </w:trPr>
        <w:tc>
          <w:tcPr>
            <w:tcW w:w="0" w:type="auto"/>
            <w:noWrap/>
            <w:hideMark/>
          </w:tcPr>
          <w:p w14:paraId="1F8CB509" w14:textId="53F70DC3" w:rsidR="00751251" w:rsidRPr="00436135" w:rsidRDefault="00751251" w:rsidP="00804693">
            <w:pPr>
              <w:tabs>
                <w:tab w:val="clear" w:pos="280"/>
                <w:tab w:val="clear" w:pos="4800"/>
                <w:tab w:val="clear" w:pos="5780"/>
              </w:tabs>
              <w:suppressAutoHyphens w:val="0"/>
              <w:autoSpaceDE/>
              <w:autoSpaceDN/>
              <w:adjustRightInd/>
              <w:spacing w:line="240" w:lineRule="auto"/>
              <w:jc w:val="left"/>
              <w:textAlignment w:val="auto"/>
              <w:rPr>
                <w:rFonts w:eastAsia="Times New Roman" w:cs="Times New Roman"/>
                <w:sz w:val="20"/>
                <w:szCs w:val="20"/>
                <w:lang w:eastAsia="en-GB"/>
              </w:rPr>
            </w:pPr>
            <w:r w:rsidRPr="00436135">
              <w:rPr>
                <w:rFonts w:eastAsia="Times New Roman" w:cs="Times New Roman"/>
                <w:sz w:val="20"/>
                <w:szCs w:val="20"/>
                <w:lang w:eastAsia="en-GB"/>
              </w:rPr>
              <w:t>German Medical Association</w:t>
            </w:r>
            <w:r w:rsidR="009738CD">
              <w:rPr>
                <w:rFonts w:eastAsia="Times New Roman" w:cs="Times New Roman"/>
                <w:sz w:val="20"/>
                <w:szCs w:val="20"/>
                <w:lang w:eastAsia="en-GB"/>
              </w:rPr>
              <w:t xml:space="preserve"> (</w:t>
            </w:r>
            <w:proofErr w:type="spellStart"/>
            <w:r w:rsidR="009738CD" w:rsidRPr="009738CD">
              <w:rPr>
                <w:rFonts w:eastAsia="Times New Roman" w:cs="Times New Roman"/>
                <w:sz w:val="20"/>
                <w:szCs w:val="20"/>
                <w:lang w:eastAsia="en-GB"/>
              </w:rPr>
              <w:t>Bundesärztekammer</w:t>
            </w:r>
            <w:proofErr w:type="spellEnd"/>
            <w:r w:rsidR="009738CD">
              <w:rPr>
                <w:rFonts w:eastAsia="Times New Roman" w:cs="Times New Roman"/>
                <w:sz w:val="20"/>
                <w:szCs w:val="20"/>
                <w:lang w:eastAsia="en-GB"/>
              </w:rPr>
              <w:t>)</w:t>
            </w:r>
          </w:p>
        </w:tc>
        <w:tc>
          <w:tcPr>
            <w:tcW w:w="0" w:type="auto"/>
          </w:tcPr>
          <w:p w14:paraId="7409CE44" w14:textId="77777777" w:rsidR="00751251" w:rsidRPr="00804693" w:rsidRDefault="00751251" w:rsidP="00804693">
            <w:pPr>
              <w:tabs>
                <w:tab w:val="clear" w:pos="280"/>
                <w:tab w:val="clear" w:pos="4800"/>
                <w:tab w:val="clear" w:pos="5780"/>
              </w:tabs>
              <w:suppressAutoHyphens w:val="0"/>
              <w:autoSpaceDE/>
              <w:autoSpaceDN/>
              <w:adjustRightInd/>
              <w:spacing w:line="240" w:lineRule="auto"/>
              <w:jc w:val="left"/>
              <w:textAlignment w:val="auto"/>
              <w:rPr>
                <w:rFonts w:eastAsia="Times New Roman" w:cs="Times New Roman"/>
                <w:sz w:val="20"/>
                <w:szCs w:val="20"/>
                <w:lang w:eastAsia="en-GB"/>
              </w:rPr>
            </w:pPr>
            <w:r w:rsidRPr="00804693">
              <w:rPr>
                <w:sz w:val="20"/>
                <w:szCs w:val="20"/>
              </w:rPr>
              <w:t>Germany</w:t>
            </w:r>
          </w:p>
        </w:tc>
      </w:tr>
      <w:tr w:rsidR="00751251" w:rsidRPr="00804693" w14:paraId="6A296E1A" w14:textId="77777777" w:rsidTr="00804693">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Height w:val="345"/>
        </w:trPr>
        <w:tc>
          <w:tcPr>
            <w:tcW w:w="0" w:type="auto"/>
            <w:noWrap/>
            <w:hideMark/>
          </w:tcPr>
          <w:p w14:paraId="6EDB0025" w14:textId="77777777" w:rsidR="00751251" w:rsidRPr="00436135" w:rsidRDefault="00751251" w:rsidP="00804693">
            <w:pPr>
              <w:tabs>
                <w:tab w:val="clear" w:pos="280"/>
                <w:tab w:val="clear" w:pos="4800"/>
                <w:tab w:val="clear" w:pos="5780"/>
              </w:tabs>
              <w:suppressAutoHyphens w:val="0"/>
              <w:autoSpaceDE/>
              <w:autoSpaceDN/>
              <w:adjustRightInd/>
              <w:spacing w:line="240" w:lineRule="auto"/>
              <w:jc w:val="left"/>
              <w:textAlignment w:val="auto"/>
              <w:rPr>
                <w:rFonts w:eastAsia="Times New Roman" w:cs="Times New Roman"/>
                <w:sz w:val="20"/>
                <w:szCs w:val="20"/>
                <w:lang w:eastAsia="en-GB"/>
              </w:rPr>
            </w:pPr>
            <w:r w:rsidRPr="00436135">
              <w:rPr>
                <w:rFonts w:eastAsia="Times New Roman" w:cs="Times New Roman"/>
                <w:sz w:val="20"/>
                <w:szCs w:val="20"/>
                <w:lang w:eastAsia="en-GB"/>
              </w:rPr>
              <w:t>I</w:t>
            </w:r>
            <w:r w:rsidRPr="00804693">
              <w:rPr>
                <w:rFonts w:eastAsia="Times New Roman" w:cs="Times New Roman"/>
                <w:sz w:val="20"/>
                <w:szCs w:val="20"/>
                <w:lang w:eastAsia="en-GB"/>
              </w:rPr>
              <w:t>ndonesia Medical Council</w:t>
            </w:r>
          </w:p>
        </w:tc>
        <w:tc>
          <w:tcPr>
            <w:tcW w:w="0" w:type="auto"/>
          </w:tcPr>
          <w:p w14:paraId="62A1899E" w14:textId="77777777" w:rsidR="00751251" w:rsidRPr="00804693" w:rsidRDefault="00751251" w:rsidP="00804693">
            <w:pPr>
              <w:tabs>
                <w:tab w:val="clear" w:pos="280"/>
                <w:tab w:val="clear" w:pos="4800"/>
                <w:tab w:val="clear" w:pos="5780"/>
              </w:tabs>
              <w:suppressAutoHyphens w:val="0"/>
              <w:autoSpaceDE/>
              <w:autoSpaceDN/>
              <w:adjustRightInd/>
              <w:spacing w:line="240" w:lineRule="auto"/>
              <w:jc w:val="left"/>
              <w:textAlignment w:val="auto"/>
              <w:rPr>
                <w:rFonts w:eastAsia="Times New Roman" w:cs="Times New Roman"/>
                <w:sz w:val="20"/>
                <w:szCs w:val="20"/>
                <w:lang w:eastAsia="en-GB"/>
              </w:rPr>
            </w:pPr>
            <w:r w:rsidRPr="00804693">
              <w:rPr>
                <w:sz w:val="20"/>
                <w:szCs w:val="20"/>
              </w:rPr>
              <w:t>Indonesia</w:t>
            </w:r>
          </w:p>
        </w:tc>
      </w:tr>
      <w:tr w:rsidR="00751251" w:rsidRPr="00804693" w14:paraId="318FFC71" w14:textId="77777777" w:rsidTr="00804693">
        <w:trPr>
          <w:cnfStyle w:val="000000100000" w:firstRow="0" w:lastRow="0" w:firstColumn="0" w:lastColumn="0" w:oddVBand="0" w:evenVBand="0" w:oddHBand="1" w:evenHBand="0" w:firstRowFirstColumn="0" w:firstRowLastColumn="0" w:lastRowFirstColumn="0" w:lastRowLastColumn="0"/>
          <w:trHeight w:val="345"/>
        </w:trPr>
        <w:tc>
          <w:tcPr>
            <w:tcW w:w="0" w:type="auto"/>
            <w:noWrap/>
            <w:hideMark/>
          </w:tcPr>
          <w:p w14:paraId="5271D760" w14:textId="77777777" w:rsidR="00751251" w:rsidRPr="00436135" w:rsidRDefault="00751251" w:rsidP="00804693">
            <w:pPr>
              <w:tabs>
                <w:tab w:val="clear" w:pos="280"/>
                <w:tab w:val="clear" w:pos="4800"/>
                <w:tab w:val="clear" w:pos="5780"/>
              </w:tabs>
              <w:suppressAutoHyphens w:val="0"/>
              <w:autoSpaceDE/>
              <w:autoSpaceDN/>
              <w:adjustRightInd/>
              <w:spacing w:line="240" w:lineRule="auto"/>
              <w:jc w:val="left"/>
              <w:textAlignment w:val="auto"/>
              <w:rPr>
                <w:rFonts w:eastAsia="Times New Roman" w:cs="Times New Roman"/>
                <w:sz w:val="20"/>
                <w:szCs w:val="20"/>
                <w:lang w:eastAsia="en-GB"/>
              </w:rPr>
            </w:pPr>
            <w:r w:rsidRPr="00436135">
              <w:rPr>
                <w:rFonts w:eastAsia="Times New Roman" w:cs="Times New Roman"/>
                <w:sz w:val="20"/>
                <w:szCs w:val="20"/>
                <w:lang w:eastAsia="en-GB"/>
              </w:rPr>
              <w:t>Medical Council of Ireland</w:t>
            </w:r>
          </w:p>
        </w:tc>
        <w:tc>
          <w:tcPr>
            <w:tcW w:w="0" w:type="auto"/>
          </w:tcPr>
          <w:p w14:paraId="74606858" w14:textId="77777777" w:rsidR="00751251" w:rsidRPr="00804693" w:rsidRDefault="00751251" w:rsidP="00804693">
            <w:pPr>
              <w:tabs>
                <w:tab w:val="clear" w:pos="280"/>
                <w:tab w:val="clear" w:pos="4800"/>
                <w:tab w:val="clear" w:pos="5780"/>
              </w:tabs>
              <w:suppressAutoHyphens w:val="0"/>
              <w:autoSpaceDE/>
              <w:autoSpaceDN/>
              <w:adjustRightInd/>
              <w:spacing w:line="240" w:lineRule="auto"/>
              <w:jc w:val="left"/>
              <w:textAlignment w:val="auto"/>
              <w:rPr>
                <w:rFonts w:eastAsia="Times New Roman" w:cs="Times New Roman"/>
                <w:sz w:val="20"/>
                <w:szCs w:val="20"/>
                <w:lang w:eastAsia="en-GB"/>
              </w:rPr>
            </w:pPr>
            <w:r w:rsidRPr="00804693">
              <w:rPr>
                <w:sz w:val="20"/>
                <w:szCs w:val="20"/>
              </w:rPr>
              <w:t>Ireland</w:t>
            </w:r>
          </w:p>
        </w:tc>
      </w:tr>
      <w:tr w:rsidR="00751251" w:rsidRPr="00804693" w14:paraId="20215005" w14:textId="77777777" w:rsidTr="00804693">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Height w:val="345"/>
        </w:trPr>
        <w:tc>
          <w:tcPr>
            <w:tcW w:w="0" w:type="auto"/>
            <w:noWrap/>
            <w:hideMark/>
          </w:tcPr>
          <w:p w14:paraId="7BD45A48" w14:textId="77777777" w:rsidR="00751251" w:rsidRPr="00436135" w:rsidRDefault="00751251" w:rsidP="00804693">
            <w:pPr>
              <w:tabs>
                <w:tab w:val="clear" w:pos="280"/>
                <w:tab w:val="clear" w:pos="4800"/>
                <w:tab w:val="clear" w:pos="5780"/>
              </w:tabs>
              <w:suppressAutoHyphens w:val="0"/>
              <w:autoSpaceDE/>
              <w:autoSpaceDN/>
              <w:adjustRightInd/>
              <w:spacing w:line="240" w:lineRule="auto"/>
              <w:jc w:val="left"/>
              <w:textAlignment w:val="auto"/>
              <w:rPr>
                <w:rFonts w:eastAsia="Times New Roman" w:cs="Times New Roman"/>
                <w:sz w:val="20"/>
                <w:szCs w:val="20"/>
                <w:lang w:eastAsia="en-GB"/>
              </w:rPr>
            </w:pPr>
            <w:r w:rsidRPr="00436135">
              <w:rPr>
                <w:rFonts w:eastAsia="Times New Roman" w:cs="Times New Roman"/>
                <w:sz w:val="20"/>
                <w:szCs w:val="20"/>
                <w:lang w:eastAsia="en-GB"/>
              </w:rPr>
              <w:t>Kenya Medical Practitioners and Dentists' Board</w:t>
            </w:r>
          </w:p>
        </w:tc>
        <w:tc>
          <w:tcPr>
            <w:tcW w:w="0" w:type="auto"/>
          </w:tcPr>
          <w:p w14:paraId="1C987731" w14:textId="77777777" w:rsidR="00751251" w:rsidRPr="00804693" w:rsidRDefault="00751251" w:rsidP="00804693">
            <w:pPr>
              <w:tabs>
                <w:tab w:val="clear" w:pos="280"/>
                <w:tab w:val="clear" w:pos="4800"/>
                <w:tab w:val="clear" w:pos="5780"/>
              </w:tabs>
              <w:suppressAutoHyphens w:val="0"/>
              <w:autoSpaceDE/>
              <w:autoSpaceDN/>
              <w:adjustRightInd/>
              <w:spacing w:line="240" w:lineRule="auto"/>
              <w:jc w:val="left"/>
              <w:textAlignment w:val="auto"/>
              <w:rPr>
                <w:rFonts w:eastAsia="Times New Roman" w:cs="Times New Roman"/>
                <w:sz w:val="20"/>
                <w:szCs w:val="20"/>
                <w:lang w:eastAsia="en-GB"/>
              </w:rPr>
            </w:pPr>
            <w:r w:rsidRPr="00804693">
              <w:rPr>
                <w:sz w:val="20"/>
                <w:szCs w:val="20"/>
              </w:rPr>
              <w:t>Kenya</w:t>
            </w:r>
          </w:p>
        </w:tc>
      </w:tr>
      <w:tr w:rsidR="00751251" w:rsidRPr="00804693" w14:paraId="6300CD58" w14:textId="77777777" w:rsidTr="00804693">
        <w:trPr>
          <w:cnfStyle w:val="000000100000" w:firstRow="0" w:lastRow="0" w:firstColumn="0" w:lastColumn="0" w:oddVBand="0" w:evenVBand="0" w:oddHBand="1" w:evenHBand="0" w:firstRowFirstColumn="0" w:firstRowLastColumn="0" w:lastRowFirstColumn="0" w:lastRowLastColumn="0"/>
          <w:trHeight w:val="345"/>
        </w:trPr>
        <w:tc>
          <w:tcPr>
            <w:tcW w:w="0" w:type="auto"/>
            <w:noWrap/>
            <w:hideMark/>
          </w:tcPr>
          <w:p w14:paraId="390792A7" w14:textId="77777777" w:rsidR="00751251" w:rsidRPr="00436135" w:rsidRDefault="00751251" w:rsidP="00804693">
            <w:pPr>
              <w:tabs>
                <w:tab w:val="clear" w:pos="280"/>
                <w:tab w:val="clear" w:pos="4800"/>
                <w:tab w:val="clear" w:pos="5780"/>
              </w:tabs>
              <w:suppressAutoHyphens w:val="0"/>
              <w:autoSpaceDE/>
              <w:autoSpaceDN/>
              <w:adjustRightInd/>
              <w:spacing w:line="240" w:lineRule="auto"/>
              <w:jc w:val="left"/>
              <w:textAlignment w:val="auto"/>
              <w:rPr>
                <w:rFonts w:eastAsia="Times New Roman" w:cs="Times New Roman"/>
                <w:sz w:val="20"/>
                <w:szCs w:val="20"/>
                <w:lang w:eastAsia="en-GB"/>
              </w:rPr>
            </w:pPr>
            <w:r w:rsidRPr="00436135">
              <w:rPr>
                <w:rFonts w:eastAsia="Times New Roman" w:cs="Times New Roman"/>
                <w:sz w:val="20"/>
                <w:szCs w:val="20"/>
                <w:lang w:eastAsia="en-GB"/>
              </w:rPr>
              <w:t>Medical Council of New Zealand</w:t>
            </w:r>
          </w:p>
        </w:tc>
        <w:tc>
          <w:tcPr>
            <w:tcW w:w="0" w:type="auto"/>
          </w:tcPr>
          <w:p w14:paraId="7291EB67" w14:textId="77777777" w:rsidR="00751251" w:rsidRPr="00804693" w:rsidRDefault="00751251" w:rsidP="00804693">
            <w:pPr>
              <w:tabs>
                <w:tab w:val="clear" w:pos="280"/>
                <w:tab w:val="clear" w:pos="4800"/>
                <w:tab w:val="clear" w:pos="5780"/>
              </w:tabs>
              <w:suppressAutoHyphens w:val="0"/>
              <w:autoSpaceDE/>
              <w:autoSpaceDN/>
              <w:adjustRightInd/>
              <w:spacing w:line="240" w:lineRule="auto"/>
              <w:jc w:val="left"/>
              <w:textAlignment w:val="auto"/>
              <w:rPr>
                <w:rFonts w:eastAsia="Times New Roman" w:cs="Times New Roman"/>
                <w:sz w:val="20"/>
                <w:szCs w:val="20"/>
                <w:lang w:eastAsia="en-GB"/>
              </w:rPr>
            </w:pPr>
            <w:r w:rsidRPr="00804693">
              <w:rPr>
                <w:sz w:val="20"/>
                <w:szCs w:val="20"/>
              </w:rPr>
              <w:t>New Zealand</w:t>
            </w:r>
          </w:p>
        </w:tc>
      </w:tr>
      <w:tr w:rsidR="00751251" w:rsidRPr="00804693" w14:paraId="6F992942" w14:textId="77777777" w:rsidTr="00804693">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Height w:val="345"/>
        </w:trPr>
        <w:tc>
          <w:tcPr>
            <w:tcW w:w="0" w:type="auto"/>
            <w:noWrap/>
            <w:hideMark/>
          </w:tcPr>
          <w:p w14:paraId="30D29DA2" w14:textId="77777777" w:rsidR="00751251" w:rsidRPr="00436135" w:rsidRDefault="00751251" w:rsidP="00804693">
            <w:pPr>
              <w:tabs>
                <w:tab w:val="clear" w:pos="280"/>
                <w:tab w:val="clear" w:pos="4800"/>
                <w:tab w:val="clear" w:pos="5780"/>
              </w:tabs>
              <w:suppressAutoHyphens w:val="0"/>
              <w:autoSpaceDE/>
              <w:autoSpaceDN/>
              <w:adjustRightInd/>
              <w:spacing w:line="240" w:lineRule="auto"/>
              <w:jc w:val="left"/>
              <w:textAlignment w:val="auto"/>
              <w:rPr>
                <w:rFonts w:eastAsia="Times New Roman" w:cs="Times New Roman"/>
                <w:sz w:val="20"/>
                <w:szCs w:val="20"/>
                <w:lang w:eastAsia="en-GB"/>
              </w:rPr>
            </w:pPr>
            <w:r w:rsidRPr="00436135">
              <w:rPr>
                <w:rFonts w:eastAsia="Times New Roman" w:cs="Times New Roman"/>
                <w:sz w:val="20"/>
                <w:szCs w:val="20"/>
                <w:lang w:eastAsia="en-GB"/>
              </w:rPr>
              <w:t>Polish Supreme Chamber of Physicians and De</w:t>
            </w:r>
            <w:r w:rsidRPr="00804693">
              <w:rPr>
                <w:rFonts w:eastAsia="Times New Roman" w:cs="Times New Roman"/>
                <w:sz w:val="20"/>
                <w:szCs w:val="20"/>
                <w:lang w:eastAsia="en-GB"/>
              </w:rPr>
              <w:t>ntists (</w:t>
            </w:r>
            <w:proofErr w:type="spellStart"/>
            <w:r w:rsidRPr="00804693">
              <w:rPr>
                <w:rFonts w:eastAsia="Times New Roman" w:cs="Times New Roman"/>
                <w:sz w:val="20"/>
                <w:szCs w:val="20"/>
                <w:lang w:eastAsia="en-GB"/>
              </w:rPr>
              <w:t>Naczelna</w:t>
            </w:r>
            <w:proofErr w:type="spellEnd"/>
            <w:r w:rsidRPr="00804693">
              <w:rPr>
                <w:rFonts w:eastAsia="Times New Roman" w:cs="Times New Roman"/>
                <w:sz w:val="20"/>
                <w:szCs w:val="20"/>
                <w:lang w:eastAsia="en-GB"/>
              </w:rPr>
              <w:t xml:space="preserve"> Izba </w:t>
            </w:r>
            <w:proofErr w:type="spellStart"/>
            <w:r w:rsidRPr="00804693">
              <w:rPr>
                <w:rFonts w:eastAsia="Times New Roman" w:cs="Times New Roman"/>
                <w:sz w:val="20"/>
                <w:szCs w:val="20"/>
                <w:lang w:eastAsia="en-GB"/>
              </w:rPr>
              <w:t>Lekarska</w:t>
            </w:r>
            <w:proofErr w:type="spellEnd"/>
            <w:r w:rsidRPr="00804693">
              <w:rPr>
                <w:rFonts w:eastAsia="Times New Roman" w:cs="Times New Roman"/>
                <w:sz w:val="20"/>
                <w:szCs w:val="20"/>
                <w:lang w:eastAsia="en-GB"/>
              </w:rPr>
              <w:t>)</w:t>
            </w:r>
          </w:p>
        </w:tc>
        <w:tc>
          <w:tcPr>
            <w:tcW w:w="0" w:type="auto"/>
          </w:tcPr>
          <w:p w14:paraId="1AF62293" w14:textId="77777777" w:rsidR="00751251" w:rsidRPr="00804693" w:rsidRDefault="00751251" w:rsidP="00804693">
            <w:pPr>
              <w:tabs>
                <w:tab w:val="clear" w:pos="280"/>
                <w:tab w:val="clear" w:pos="4800"/>
                <w:tab w:val="clear" w:pos="5780"/>
              </w:tabs>
              <w:suppressAutoHyphens w:val="0"/>
              <w:autoSpaceDE/>
              <w:autoSpaceDN/>
              <w:adjustRightInd/>
              <w:spacing w:line="240" w:lineRule="auto"/>
              <w:jc w:val="left"/>
              <w:textAlignment w:val="auto"/>
              <w:rPr>
                <w:rFonts w:eastAsia="Times New Roman" w:cs="Times New Roman"/>
                <w:sz w:val="20"/>
                <w:szCs w:val="20"/>
                <w:lang w:eastAsia="en-GB"/>
              </w:rPr>
            </w:pPr>
            <w:r w:rsidRPr="00804693">
              <w:rPr>
                <w:sz w:val="20"/>
                <w:szCs w:val="20"/>
              </w:rPr>
              <w:t>Poland</w:t>
            </w:r>
          </w:p>
        </w:tc>
      </w:tr>
      <w:tr w:rsidR="00751251" w:rsidRPr="00804693" w14:paraId="5F02A325" w14:textId="77777777" w:rsidTr="00804693">
        <w:trPr>
          <w:cnfStyle w:val="000000100000" w:firstRow="0" w:lastRow="0" w:firstColumn="0" w:lastColumn="0" w:oddVBand="0" w:evenVBand="0" w:oddHBand="1" w:evenHBand="0" w:firstRowFirstColumn="0" w:firstRowLastColumn="0" w:lastRowFirstColumn="0" w:lastRowLastColumn="0"/>
          <w:trHeight w:val="345"/>
        </w:trPr>
        <w:tc>
          <w:tcPr>
            <w:tcW w:w="0" w:type="auto"/>
            <w:noWrap/>
            <w:hideMark/>
          </w:tcPr>
          <w:p w14:paraId="61D0AA3B" w14:textId="292877E0" w:rsidR="00751251" w:rsidRPr="00436135" w:rsidRDefault="00751251" w:rsidP="00804693">
            <w:pPr>
              <w:tabs>
                <w:tab w:val="clear" w:pos="280"/>
                <w:tab w:val="clear" w:pos="4800"/>
                <w:tab w:val="clear" w:pos="5780"/>
              </w:tabs>
              <w:suppressAutoHyphens w:val="0"/>
              <w:autoSpaceDE/>
              <w:autoSpaceDN/>
              <w:adjustRightInd/>
              <w:spacing w:line="240" w:lineRule="auto"/>
              <w:jc w:val="left"/>
              <w:textAlignment w:val="auto"/>
              <w:rPr>
                <w:rFonts w:eastAsia="Times New Roman" w:cs="Times New Roman"/>
                <w:sz w:val="20"/>
                <w:szCs w:val="20"/>
                <w:lang w:eastAsia="en-GB"/>
              </w:rPr>
            </w:pPr>
            <w:r w:rsidRPr="00436135">
              <w:rPr>
                <w:rFonts w:eastAsia="Times New Roman" w:cs="Times New Roman"/>
                <w:sz w:val="20"/>
                <w:szCs w:val="20"/>
                <w:lang w:eastAsia="en-GB"/>
              </w:rPr>
              <w:t>Singapore Medical Council</w:t>
            </w:r>
          </w:p>
        </w:tc>
        <w:tc>
          <w:tcPr>
            <w:tcW w:w="0" w:type="auto"/>
          </w:tcPr>
          <w:p w14:paraId="1D1F90CC" w14:textId="77777777" w:rsidR="00751251" w:rsidRPr="00804693" w:rsidRDefault="00751251" w:rsidP="00804693">
            <w:pPr>
              <w:tabs>
                <w:tab w:val="clear" w:pos="280"/>
                <w:tab w:val="clear" w:pos="4800"/>
                <w:tab w:val="clear" w:pos="5780"/>
              </w:tabs>
              <w:suppressAutoHyphens w:val="0"/>
              <w:autoSpaceDE/>
              <w:autoSpaceDN/>
              <w:adjustRightInd/>
              <w:spacing w:line="240" w:lineRule="auto"/>
              <w:jc w:val="left"/>
              <w:textAlignment w:val="auto"/>
              <w:rPr>
                <w:rFonts w:eastAsia="Times New Roman" w:cs="Times New Roman"/>
                <w:sz w:val="20"/>
                <w:szCs w:val="20"/>
                <w:lang w:eastAsia="en-GB"/>
              </w:rPr>
            </w:pPr>
            <w:r w:rsidRPr="00804693">
              <w:rPr>
                <w:sz w:val="20"/>
                <w:szCs w:val="20"/>
              </w:rPr>
              <w:t>Singapore</w:t>
            </w:r>
          </w:p>
        </w:tc>
      </w:tr>
      <w:tr w:rsidR="00751251" w:rsidRPr="00804693" w14:paraId="5DAE0C3B" w14:textId="77777777" w:rsidTr="00804693">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Height w:val="345"/>
        </w:trPr>
        <w:tc>
          <w:tcPr>
            <w:tcW w:w="0" w:type="auto"/>
            <w:noWrap/>
            <w:hideMark/>
          </w:tcPr>
          <w:p w14:paraId="0339B5C3" w14:textId="77777777" w:rsidR="00751251" w:rsidRPr="00436135" w:rsidRDefault="00751251" w:rsidP="00804693">
            <w:pPr>
              <w:tabs>
                <w:tab w:val="clear" w:pos="280"/>
                <w:tab w:val="clear" w:pos="4800"/>
                <w:tab w:val="clear" w:pos="5780"/>
              </w:tabs>
              <w:suppressAutoHyphens w:val="0"/>
              <w:autoSpaceDE/>
              <w:autoSpaceDN/>
              <w:adjustRightInd/>
              <w:spacing w:line="240" w:lineRule="auto"/>
              <w:jc w:val="left"/>
              <w:textAlignment w:val="auto"/>
              <w:rPr>
                <w:rFonts w:eastAsia="Times New Roman" w:cs="Times New Roman"/>
                <w:sz w:val="20"/>
                <w:szCs w:val="20"/>
                <w:lang w:eastAsia="en-GB"/>
              </w:rPr>
            </w:pPr>
            <w:r w:rsidRPr="00436135">
              <w:rPr>
                <w:rFonts w:eastAsia="Times New Roman" w:cs="Times New Roman"/>
                <w:sz w:val="20"/>
                <w:szCs w:val="20"/>
                <w:lang w:eastAsia="en-GB"/>
              </w:rPr>
              <w:t>Health Professions Council of South Africa</w:t>
            </w:r>
          </w:p>
        </w:tc>
        <w:tc>
          <w:tcPr>
            <w:tcW w:w="0" w:type="auto"/>
          </w:tcPr>
          <w:p w14:paraId="57FE9BDB" w14:textId="77777777" w:rsidR="00751251" w:rsidRPr="00804693" w:rsidRDefault="00751251" w:rsidP="00804693">
            <w:pPr>
              <w:tabs>
                <w:tab w:val="clear" w:pos="280"/>
                <w:tab w:val="clear" w:pos="4800"/>
                <w:tab w:val="clear" w:pos="5780"/>
              </w:tabs>
              <w:suppressAutoHyphens w:val="0"/>
              <w:autoSpaceDE/>
              <w:autoSpaceDN/>
              <w:adjustRightInd/>
              <w:spacing w:line="240" w:lineRule="auto"/>
              <w:jc w:val="left"/>
              <w:textAlignment w:val="auto"/>
              <w:rPr>
                <w:rFonts w:eastAsia="Times New Roman" w:cs="Times New Roman"/>
                <w:sz w:val="20"/>
                <w:szCs w:val="20"/>
                <w:lang w:eastAsia="en-GB"/>
              </w:rPr>
            </w:pPr>
            <w:r w:rsidRPr="00804693">
              <w:rPr>
                <w:sz w:val="20"/>
                <w:szCs w:val="20"/>
              </w:rPr>
              <w:t>South Africa</w:t>
            </w:r>
          </w:p>
        </w:tc>
      </w:tr>
      <w:tr w:rsidR="00751251" w:rsidRPr="00804693" w14:paraId="0FA85C4A" w14:textId="77777777" w:rsidTr="00804693">
        <w:trPr>
          <w:cnfStyle w:val="000000100000" w:firstRow="0" w:lastRow="0" w:firstColumn="0" w:lastColumn="0" w:oddVBand="0" w:evenVBand="0" w:oddHBand="1" w:evenHBand="0" w:firstRowFirstColumn="0" w:firstRowLastColumn="0" w:lastRowFirstColumn="0" w:lastRowLastColumn="0"/>
          <w:trHeight w:val="345"/>
        </w:trPr>
        <w:tc>
          <w:tcPr>
            <w:tcW w:w="0" w:type="auto"/>
            <w:noWrap/>
            <w:hideMark/>
          </w:tcPr>
          <w:p w14:paraId="791824F2" w14:textId="77777777" w:rsidR="00751251" w:rsidRPr="00436135" w:rsidRDefault="00751251" w:rsidP="00804693">
            <w:pPr>
              <w:tabs>
                <w:tab w:val="clear" w:pos="280"/>
                <w:tab w:val="clear" w:pos="4800"/>
                <w:tab w:val="clear" w:pos="5780"/>
              </w:tabs>
              <w:suppressAutoHyphens w:val="0"/>
              <w:autoSpaceDE/>
              <w:autoSpaceDN/>
              <w:adjustRightInd/>
              <w:spacing w:line="240" w:lineRule="auto"/>
              <w:jc w:val="left"/>
              <w:textAlignment w:val="auto"/>
              <w:rPr>
                <w:rFonts w:eastAsia="Times New Roman" w:cs="Times New Roman"/>
                <w:sz w:val="20"/>
                <w:szCs w:val="20"/>
                <w:lang w:eastAsia="en-GB"/>
              </w:rPr>
            </w:pPr>
            <w:r w:rsidRPr="00436135">
              <w:rPr>
                <w:rFonts w:eastAsia="Times New Roman" w:cs="Times New Roman"/>
                <w:sz w:val="20"/>
                <w:szCs w:val="20"/>
                <w:lang w:eastAsia="en-GB"/>
              </w:rPr>
              <w:t>South Sudan General Medical Council</w:t>
            </w:r>
          </w:p>
        </w:tc>
        <w:tc>
          <w:tcPr>
            <w:tcW w:w="0" w:type="auto"/>
          </w:tcPr>
          <w:p w14:paraId="2E4E5F3C" w14:textId="77777777" w:rsidR="00751251" w:rsidRPr="00804693" w:rsidRDefault="00751251" w:rsidP="00804693">
            <w:pPr>
              <w:tabs>
                <w:tab w:val="clear" w:pos="280"/>
                <w:tab w:val="clear" w:pos="4800"/>
                <w:tab w:val="clear" w:pos="5780"/>
              </w:tabs>
              <w:suppressAutoHyphens w:val="0"/>
              <w:autoSpaceDE/>
              <w:autoSpaceDN/>
              <w:adjustRightInd/>
              <w:spacing w:line="240" w:lineRule="auto"/>
              <w:jc w:val="left"/>
              <w:textAlignment w:val="auto"/>
              <w:rPr>
                <w:rFonts w:eastAsia="Times New Roman" w:cs="Times New Roman"/>
                <w:sz w:val="20"/>
                <w:szCs w:val="20"/>
                <w:lang w:eastAsia="en-GB"/>
              </w:rPr>
            </w:pPr>
            <w:r w:rsidRPr="00804693">
              <w:rPr>
                <w:sz w:val="20"/>
                <w:szCs w:val="20"/>
              </w:rPr>
              <w:t>South Sudan</w:t>
            </w:r>
          </w:p>
        </w:tc>
      </w:tr>
      <w:tr w:rsidR="00751251" w:rsidRPr="00804693" w14:paraId="4C2E3D3F" w14:textId="77777777" w:rsidTr="00804693">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Height w:val="345"/>
        </w:trPr>
        <w:tc>
          <w:tcPr>
            <w:tcW w:w="0" w:type="auto"/>
            <w:noWrap/>
            <w:hideMark/>
          </w:tcPr>
          <w:p w14:paraId="48E92E0B" w14:textId="77777777" w:rsidR="00751251" w:rsidRPr="00436135" w:rsidRDefault="00751251" w:rsidP="00804693">
            <w:pPr>
              <w:tabs>
                <w:tab w:val="clear" w:pos="280"/>
                <w:tab w:val="clear" w:pos="4800"/>
                <w:tab w:val="clear" w:pos="5780"/>
              </w:tabs>
              <w:suppressAutoHyphens w:val="0"/>
              <w:autoSpaceDE/>
              <w:autoSpaceDN/>
              <w:adjustRightInd/>
              <w:spacing w:line="240" w:lineRule="auto"/>
              <w:jc w:val="left"/>
              <w:textAlignment w:val="auto"/>
              <w:rPr>
                <w:rFonts w:eastAsia="Times New Roman" w:cs="Times New Roman"/>
                <w:sz w:val="20"/>
                <w:szCs w:val="20"/>
                <w:lang w:eastAsia="en-GB"/>
              </w:rPr>
            </w:pPr>
            <w:r w:rsidRPr="00436135">
              <w:rPr>
                <w:rFonts w:eastAsia="Times New Roman" w:cs="Times New Roman"/>
                <w:sz w:val="20"/>
                <w:szCs w:val="20"/>
                <w:lang w:eastAsia="en-GB"/>
              </w:rPr>
              <w:t>General Pharmaceutical Council (</w:t>
            </w:r>
            <w:proofErr w:type="spellStart"/>
            <w:r w:rsidRPr="00436135">
              <w:rPr>
                <w:rFonts w:eastAsia="Times New Roman" w:cs="Times New Roman"/>
                <w:sz w:val="20"/>
                <w:szCs w:val="20"/>
                <w:lang w:eastAsia="en-GB"/>
              </w:rPr>
              <w:t>GPhC</w:t>
            </w:r>
            <w:proofErr w:type="spellEnd"/>
            <w:r w:rsidRPr="00436135">
              <w:rPr>
                <w:rFonts w:eastAsia="Times New Roman" w:cs="Times New Roman"/>
                <w:sz w:val="20"/>
                <w:szCs w:val="20"/>
                <w:lang w:eastAsia="en-GB"/>
              </w:rPr>
              <w:t>)</w:t>
            </w:r>
          </w:p>
        </w:tc>
        <w:tc>
          <w:tcPr>
            <w:tcW w:w="0" w:type="auto"/>
          </w:tcPr>
          <w:p w14:paraId="34982773" w14:textId="77777777" w:rsidR="00751251" w:rsidRPr="00804693" w:rsidRDefault="00751251" w:rsidP="00804693">
            <w:pPr>
              <w:tabs>
                <w:tab w:val="clear" w:pos="280"/>
                <w:tab w:val="clear" w:pos="4800"/>
                <w:tab w:val="clear" w:pos="5780"/>
              </w:tabs>
              <w:suppressAutoHyphens w:val="0"/>
              <w:autoSpaceDE/>
              <w:autoSpaceDN/>
              <w:adjustRightInd/>
              <w:spacing w:line="240" w:lineRule="auto"/>
              <w:jc w:val="left"/>
              <w:textAlignment w:val="auto"/>
              <w:rPr>
                <w:rFonts w:eastAsia="Times New Roman" w:cs="Times New Roman"/>
                <w:sz w:val="20"/>
                <w:szCs w:val="20"/>
                <w:lang w:eastAsia="en-GB"/>
              </w:rPr>
            </w:pPr>
            <w:r w:rsidRPr="00804693">
              <w:rPr>
                <w:sz w:val="20"/>
                <w:szCs w:val="20"/>
              </w:rPr>
              <w:t> UK</w:t>
            </w:r>
          </w:p>
        </w:tc>
      </w:tr>
      <w:tr w:rsidR="00751251" w:rsidRPr="00804693" w14:paraId="0B5FD591" w14:textId="77777777" w:rsidTr="00804693">
        <w:trPr>
          <w:cnfStyle w:val="000000100000" w:firstRow="0" w:lastRow="0" w:firstColumn="0" w:lastColumn="0" w:oddVBand="0" w:evenVBand="0" w:oddHBand="1" w:evenHBand="0" w:firstRowFirstColumn="0" w:firstRowLastColumn="0" w:lastRowFirstColumn="0" w:lastRowLastColumn="0"/>
          <w:trHeight w:val="345"/>
        </w:trPr>
        <w:tc>
          <w:tcPr>
            <w:tcW w:w="0" w:type="auto"/>
            <w:noWrap/>
            <w:hideMark/>
          </w:tcPr>
          <w:p w14:paraId="24F064E4" w14:textId="77777777" w:rsidR="00751251" w:rsidRPr="00436135" w:rsidRDefault="00751251" w:rsidP="00804693">
            <w:pPr>
              <w:tabs>
                <w:tab w:val="clear" w:pos="280"/>
                <w:tab w:val="clear" w:pos="4800"/>
                <w:tab w:val="clear" w:pos="5780"/>
              </w:tabs>
              <w:suppressAutoHyphens w:val="0"/>
              <w:autoSpaceDE/>
              <w:autoSpaceDN/>
              <w:adjustRightInd/>
              <w:spacing w:line="240" w:lineRule="auto"/>
              <w:jc w:val="left"/>
              <w:textAlignment w:val="auto"/>
              <w:rPr>
                <w:rFonts w:eastAsia="Times New Roman" w:cs="Times New Roman"/>
                <w:sz w:val="20"/>
                <w:szCs w:val="20"/>
                <w:lang w:eastAsia="en-GB"/>
              </w:rPr>
            </w:pPr>
            <w:r w:rsidRPr="00436135">
              <w:rPr>
                <w:rFonts w:eastAsia="Times New Roman" w:cs="Times New Roman"/>
                <w:sz w:val="20"/>
                <w:szCs w:val="20"/>
                <w:lang w:eastAsia="en-GB"/>
              </w:rPr>
              <w:t>Dubai Health Authority</w:t>
            </w:r>
          </w:p>
        </w:tc>
        <w:tc>
          <w:tcPr>
            <w:tcW w:w="0" w:type="auto"/>
          </w:tcPr>
          <w:p w14:paraId="355B51DA" w14:textId="77777777" w:rsidR="00751251" w:rsidRPr="00804693" w:rsidRDefault="00751251" w:rsidP="00804693">
            <w:pPr>
              <w:tabs>
                <w:tab w:val="clear" w:pos="280"/>
                <w:tab w:val="clear" w:pos="4800"/>
                <w:tab w:val="clear" w:pos="5780"/>
              </w:tabs>
              <w:suppressAutoHyphens w:val="0"/>
              <w:autoSpaceDE/>
              <w:autoSpaceDN/>
              <w:adjustRightInd/>
              <w:spacing w:line="240" w:lineRule="auto"/>
              <w:jc w:val="left"/>
              <w:textAlignment w:val="auto"/>
              <w:rPr>
                <w:rFonts w:eastAsia="Times New Roman" w:cs="Times New Roman"/>
                <w:sz w:val="20"/>
                <w:szCs w:val="20"/>
                <w:lang w:eastAsia="en-GB"/>
              </w:rPr>
            </w:pPr>
            <w:r w:rsidRPr="00804693">
              <w:rPr>
                <w:sz w:val="20"/>
                <w:szCs w:val="20"/>
              </w:rPr>
              <w:t>United Arab Emirates</w:t>
            </w:r>
          </w:p>
        </w:tc>
      </w:tr>
      <w:tr w:rsidR="00751251" w:rsidRPr="00804693" w14:paraId="0847F0CE" w14:textId="77777777" w:rsidTr="00804693">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Height w:val="345"/>
        </w:trPr>
        <w:tc>
          <w:tcPr>
            <w:tcW w:w="0" w:type="auto"/>
            <w:noWrap/>
            <w:hideMark/>
          </w:tcPr>
          <w:p w14:paraId="7690C615" w14:textId="77777777" w:rsidR="00751251" w:rsidRPr="00436135" w:rsidRDefault="00751251" w:rsidP="00804693">
            <w:pPr>
              <w:tabs>
                <w:tab w:val="clear" w:pos="280"/>
                <w:tab w:val="clear" w:pos="4800"/>
                <w:tab w:val="clear" w:pos="5780"/>
              </w:tabs>
              <w:suppressAutoHyphens w:val="0"/>
              <w:autoSpaceDE/>
              <w:autoSpaceDN/>
              <w:adjustRightInd/>
              <w:spacing w:line="240" w:lineRule="auto"/>
              <w:jc w:val="left"/>
              <w:textAlignment w:val="auto"/>
              <w:rPr>
                <w:rFonts w:eastAsia="Times New Roman" w:cs="Times New Roman"/>
                <w:sz w:val="20"/>
                <w:szCs w:val="20"/>
                <w:lang w:eastAsia="en-GB"/>
              </w:rPr>
            </w:pPr>
            <w:r w:rsidRPr="00436135">
              <w:rPr>
                <w:rFonts w:eastAsia="Times New Roman" w:cs="Times New Roman"/>
                <w:sz w:val="20"/>
                <w:szCs w:val="20"/>
                <w:lang w:eastAsia="en-GB"/>
              </w:rPr>
              <w:t>American Academy of Family Physicians</w:t>
            </w:r>
          </w:p>
        </w:tc>
        <w:tc>
          <w:tcPr>
            <w:tcW w:w="0" w:type="auto"/>
          </w:tcPr>
          <w:p w14:paraId="2B0C0C7D" w14:textId="77777777" w:rsidR="00751251" w:rsidRPr="00804693" w:rsidRDefault="00751251" w:rsidP="00804693">
            <w:pPr>
              <w:tabs>
                <w:tab w:val="clear" w:pos="280"/>
                <w:tab w:val="clear" w:pos="4800"/>
                <w:tab w:val="clear" w:pos="5780"/>
              </w:tabs>
              <w:suppressAutoHyphens w:val="0"/>
              <w:autoSpaceDE/>
              <w:autoSpaceDN/>
              <w:adjustRightInd/>
              <w:spacing w:line="240" w:lineRule="auto"/>
              <w:jc w:val="left"/>
              <w:textAlignment w:val="auto"/>
              <w:rPr>
                <w:rFonts w:eastAsia="Times New Roman" w:cs="Times New Roman"/>
                <w:sz w:val="20"/>
                <w:szCs w:val="20"/>
                <w:lang w:eastAsia="en-GB"/>
              </w:rPr>
            </w:pPr>
            <w:r w:rsidRPr="00804693">
              <w:rPr>
                <w:sz w:val="20"/>
                <w:szCs w:val="20"/>
              </w:rPr>
              <w:t>US</w:t>
            </w:r>
            <w:r>
              <w:rPr>
                <w:sz w:val="20"/>
                <w:szCs w:val="20"/>
              </w:rPr>
              <w:t>A</w:t>
            </w:r>
          </w:p>
        </w:tc>
      </w:tr>
      <w:tr w:rsidR="00751251" w:rsidRPr="00804693" w14:paraId="780510A1" w14:textId="77777777" w:rsidTr="00804693">
        <w:trPr>
          <w:cnfStyle w:val="000000100000" w:firstRow="0" w:lastRow="0" w:firstColumn="0" w:lastColumn="0" w:oddVBand="0" w:evenVBand="0" w:oddHBand="1" w:evenHBand="0" w:firstRowFirstColumn="0" w:firstRowLastColumn="0" w:lastRowFirstColumn="0" w:lastRowLastColumn="0"/>
          <w:trHeight w:val="345"/>
        </w:trPr>
        <w:tc>
          <w:tcPr>
            <w:tcW w:w="0" w:type="auto"/>
            <w:noWrap/>
            <w:hideMark/>
          </w:tcPr>
          <w:p w14:paraId="4AEDB6B3" w14:textId="77777777" w:rsidR="00751251" w:rsidRPr="00436135" w:rsidRDefault="00751251" w:rsidP="00804693">
            <w:pPr>
              <w:tabs>
                <w:tab w:val="clear" w:pos="280"/>
                <w:tab w:val="clear" w:pos="4800"/>
                <w:tab w:val="clear" w:pos="5780"/>
              </w:tabs>
              <w:suppressAutoHyphens w:val="0"/>
              <w:autoSpaceDE/>
              <w:autoSpaceDN/>
              <w:adjustRightInd/>
              <w:spacing w:line="240" w:lineRule="auto"/>
              <w:jc w:val="left"/>
              <w:textAlignment w:val="auto"/>
              <w:rPr>
                <w:rFonts w:eastAsia="Times New Roman" w:cs="Times New Roman"/>
                <w:sz w:val="20"/>
                <w:szCs w:val="20"/>
                <w:lang w:eastAsia="en-GB"/>
              </w:rPr>
            </w:pPr>
            <w:r w:rsidRPr="00436135">
              <w:rPr>
                <w:rFonts w:eastAsia="Times New Roman" w:cs="Times New Roman"/>
                <w:sz w:val="20"/>
                <w:szCs w:val="20"/>
                <w:lang w:eastAsia="en-GB"/>
              </w:rPr>
              <w:t>Federation of State Medical Boards (FSMB)</w:t>
            </w:r>
          </w:p>
        </w:tc>
        <w:tc>
          <w:tcPr>
            <w:tcW w:w="0" w:type="auto"/>
          </w:tcPr>
          <w:p w14:paraId="1C86BCC8" w14:textId="77777777" w:rsidR="00751251" w:rsidRPr="00804693" w:rsidRDefault="00751251" w:rsidP="00804693">
            <w:pPr>
              <w:tabs>
                <w:tab w:val="clear" w:pos="280"/>
                <w:tab w:val="clear" w:pos="4800"/>
                <w:tab w:val="clear" w:pos="5780"/>
              </w:tabs>
              <w:suppressAutoHyphens w:val="0"/>
              <w:autoSpaceDE/>
              <w:autoSpaceDN/>
              <w:adjustRightInd/>
              <w:spacing w:line="240" w:lineRule="auto"/>
              <w:jc w:val="left"/>
              <w:textAlignment w:val="auto"/>
              <w:rPr>
                <w:rFonts w:eastAsia="Times New Roman" w:cs="Times New Roman"/>
                <w:sz w:val="20"/>
                <w:szCs w:val="20"/>
                <w:lang w:eastAsia="en-GB"/>
              </w:rPr>
            </w:pPr>
            <w:r w:rsidRPr="00804693">
              <w:rPr>
                <w:sz w:val="20"/>
                <w:szCs w:val="20"/>
              </w:rPr>
              <w:t>US</w:t>
            </w:r>
            <w:r>
              <w:rPr>
                <w:sz w:val="20"/>
                <w:szCs w:val="20"/>
              </w:rPr>
              <w:t>A</w:t>
            </w:r>
          </w:p>
        </w:tc>
      </w:tr>
      <w:tr w:rsidR="00751251" w:rsidRPr="00804693" w14:paraId="62A3F683" w14:textId="77777777" w:rsidTr="00804693">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Height w:val="345"/>
        </w:trPr>
        <w:tc>
          <w:tcPr>
            <w:tcW w:w="0" w:type="auto"/>
            <w:noWrap/>
            <w:hideMark/>
          </w:tcPr>
          <w:p w14:paraId="755BF7BB" w14:textId="77777777" w:rsidR="00751251" w:rsidRPr="00436135" w:rsidRDefault="00751251" w:rsidP="00804693">
            <w:pPr>
              <w:tabs>
                <w:tab w:val="clear" w:pos="280"/>
                <w:tab w:val="clear" w:pos="4800"/>
                <w:tab w:val="clear" w:pos="5780"/>
              </w:tabs>
              <w:suppressAutoHyphens w:val="0"/>
              <w:autoSpaceDE/>
              <w:autoSpaceDN/>
              <w:adjustRightInd/>
              <w:spacing w:line="240" w:lineRule="auto"/>
              <w:jc w:val="left"/>
              <w:textAlignment w:val="auto"/>
              <w:rPr>
                <w:rFonts w:eastAsia="Times New Roman" w:cs="Times New Roman"/>
                <w:bCs/>
                <w:sz w:val="20"/>
                <w:szCs w:val="20"/>
                <w:lang w:eastAsia="en-GB"/>
              </w:rPr>
            </w:pPr>
            <w:r w:rsidRPr="00436135">
              <w:rPr>
                <w:rFonts w:eastAsia="Times New Roman" w:cs="Times New Roman"/>
                <w:bCs/>
                <w:sz w:val="20"/>
                <w:szCs w:val="20"/>
                <w:lang w:eastAsia="en-GB"/>
              </w:rPr>
              <w:t>National Board of Medical Examiners</w:t>
            </w:r>
          </w:p>
        </w:tc>
        <w:tc>
          <w:tcPr>
            <w:tcW w:w="0" w:type="auto"/>
          </w:tcPr>
          <w:p w14:paraId="643BBBE4" w14:textId="77777777" w:rsidR="00751251" w:rsidRPr="00804693" w:rsidRDefault="00751251" w:rsidP="00804693">
            <w:pPr>
              <w:tabs>
                <w:tab w:val="clear" w:pos="280"/>
                <w:tab w:val="clear" w:pos="4800"/>
                <w:tab w:val="clear" w:pos="5780"/>
              </w:tabs>
              <w:suppressAutoHyphens w:val="0"/>
              <w:autoSpaceDE/>
              <w:autoSpaceDN/>
              <w:adjustRightInd/>
              <w:spacing w:line="240" w:lineRule="auto"/>
              <w:jc w:val="left"/>
              <w:textAlignment w:val="auto"/>
              <w:rPr>
                <w:rFonts w:eastAsia="Times New Roman" w:cs="Times New Roman"/>
                <w:bCs/>
                <w:sz w:val="20"/>
                <w:szCs w:val="20"/>
                <w:lang w:eastAsia="en-GB"/>
              </w:rPr>
            </w:pPr>
            <w:r w:rsidRPr="00804693">
              <w:rPr>
                <w:sz w:val="20"/>
                <w:szCs w:val="20"/>
              </w:rPr>
              <w:t>US</w:t>
            </w:r>
            <w:r>
              <w:rPr>
                <w:sz w:val="20"/>
                <w:szCs w:val="20"/>
              </w:rPr>
              <w:t>A</w:t>
            </w:r>
          </w:p>
        </w:tc>
      </w:tr>
      <w:tr w:rsidR="00751251" w:rsidRPr="00804693" w14:paraId="31037DA5" w14:textId="77777777" w:rsidTr="00804693">
        <w:trPr>
          <w:cnfStyle w:val="000000100000" w:firstRow="0" w:lastRow="0" w:firstColumn="0" w:lastColumn="0" w:oddVBand="0" w:evenVBand="0" w:oddHBand="1" w:evenHBand="0" w:firstRowFirstColumn="0" w:firstRowLastColumn="0" w:lastRowFirstColumn="0" w:lastRowLastColumn="0"/>
          <w:trHeight w:val="345"/>
        </w:trPr>
        <w:tc>
          <w:tcPr>
            <w:tcW w:w="0" w:type="auto"/>
            <w:noWrap/>
            <w:hideMark/>
          </w:tcPr>
          <w:p w14:paraId="4734F3E1" w14:textId="77777777" w:rsidR="00751251" w:rsidRPr="00436135" w:rsidRDefault="00751251" w:rsidP="00804693">
            <w:pPr>
              <w:tabs>
                <w:tab w:val="clear" w:pos="280"/>
                <w:tab w:val="clear" w:pos="4800"/>
                <w:tab w:val="clear" w:pos="5780"/>
              </w:tabs>
              <w:suppressAutoHyphens w:val="0"/>
              <w:autoSpaceDE/>
              <w:autoSpaceDN/>
              <w:adjustRightInd/>
              <w:spacing w:line="240" w:lineRule="auto"/>
              <w:jc w:val="left"/>
              <w:textAlignment w:val="auto"/>
              <w:rPr>
                <w:rFonts w:eastAsia="Times New Roman" w:cs="Times New Roman"/>
                <w:sz w:val="20"/>
                <w:szCs w:val="20"/>
                <w:lang w:eastAsia="en-GB"/>
              </w:rPr>
            </w:pPr>
            <w:r w:rsidRPr="00436135">
              <w:rPr>
                <w:rFonts w:eastAsia="Times New Roman" w:cs="Times New Roman"/>
                <w:sz w:val="20"/>
                <w:szCs w:val="20"/>
                <w:lang w:eastAsia="en-GB"/>
              </w:rPr>
              <w:t>Medical Board of California</w:t>
            </w:r>
          </w:p>
        </w:tc>
        <w:tc>
          <w:tcPr>
            <w:tcW w:w="0" w:type="auto"/>
          </w:tcPr>
          <w:p w14:paraId="557CD4FB" w14:textId="77777777" w:rsidR="00751251" w:rsidRPr="00804693" w:rsidRDefault="00751251" w:rsidP="00751251">
            <w:pPr>
              <w:tabs>
                <w:tab w:val="clear" w:pos="280"/>
                <w:tab w:val="clear" w:pos="4800"/>
                <w:tab w:val="clear" w:pos="5780"/>
              </w:tabs>
              <w:suppressAutoHyphens w:val="0"/>
              <w:autoSpaceDE/>
              <w:autoSpaceDN/>
              <w:adjustRightInd/>
              <w:spacing w:line="240" w:lineRule="auto"/>
              <w:jc w:val="left"/>
              <w:textAlignment w:val="auto"/>
              <w:rPr>
                <w:rFonts w:eastAsia="Times New Roman" w:cs="Times New Roman"/>
                <w:sz w:val="20"/>
                <w:szCs w:val="20"/>
                <w:lang w:eastAsia="en-GB"/>
              </w:rPr>
            </w:pPr>
            <w:r>
              <w:rPr>
                <w:sz w:val="20"/>
                <w:szCs w:val="20"/>
              </w:rPr>
              <w:t>USA (California)</w:t>
            </w:r>
          </w:p>
        </w:tc>
      </w:tr>
      <w:tr w:rsidR="00751251" w:rsidRPr="00804693" w14:paraId="24BC49D1" w14:textId="77777777" w:rsidTr="00804693">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Height w:val="345"/>
        </w:trPr>
        <w:tc>
          <w:tcPr>
            <w:tcW w:w="0" w:type="auto"/>
            <w:noWrap/>
            <w:hideMark/>
          </w:tcPr>
          <w:p w14:paraId="6DF80253" w14:textId="77777777" w:rsidR="00751251" w:rsidRPr="00436135" w:rsidRDefault="00751251" w:rsidP="00804693">
            <w:pPr>
              <w:tabs>
                <w:tab w:val="clear" w:pos="280"/>
                <w:tab w:val="clear" w:pos="4800"/>
                <w:tab w:val="clear" w:pos="5780"/>
              </w:tabs>
              <w:suppressAutoHyphens w:val="0"/>
              <w:autoSpaceDE/>
              <w:autoSpaceDN/>
              <w:adjustRightInd/>
              <w:spacing w:line="240" w:lineRule="auto"/>
              <w:jc w:val="left"/>
              <w:textAlignment w:val="auto"/>
              <w:rPr>
                <w:rFonts w:eastAsia="Times New Roman" w:cs="Times New Roman"/>
                <w:sz w:val="20"/>
                <w:szCs w:val="20"/>
                <w:lang w:eastAsia="en-GB"/>
              </w:rPr>
            </w:pPr>
            <w:r w:rsidRPr="00436135">
              <w:rPr>
                <w:rFonts w:eastAsia="Times New Roman" w:cs="Times New Roman"/>
                <w:sz w:val="20"/>
                <w:szCs w:val="20"/>
                <w:lang w:eastAsia="en-GB"/>
              </w:rPr>
              <w:t>State of Maine Board of Licensure in Medicine</w:t>
            </w:r>
          </w:p>
        </w:tc>
        <w:tc>
          <w:tcPr>
            <w:tcW w:w="0" w:type="auto"/>
          </w:tcPr>
          <w:p w14:paraId="5E7E0CC2" w14:textId="77777777" w:rsidR="00751251" w:rsidRPr="00804693" w:rsidRDefault="00751251" w:rsidP="00751251">
            <w:pPr>
              <w:tabs>
                <w:tab w:val="clear" w:pos="280"/>
                <w:tab w:val="clear" w:pos="4800"/>
                <w:tab w:val="clear" w:pos="5780"/>
              </w:tabs>
              <w:suppressAutoHyphens w:val="0"/>
              <w:autoSpaceDE/>
              <w:autoSpaceDN/>
              <w:adjustRightInd/>
              <w:spacing w:line="240" w:lineRule="auto"/>
              <w:jc w:val="left"/>
              <w:textAlignment w:val="auto"/>
              <w:rPr>
                <w:rFonts w:eastAsia="Times New Roman" w:cs="Times New Roman"/>
                <w:sz w:val="20"/>
                <w:szCs w:val="20"/>
                <w:lang w:eastAsia="en-GB"/>
              </w:rPr>
            </w:pPr>
            <w:r>
              <w:rPr>
                <w:sz w:val="20"/>
                <w:szCs w:val="20"/>
              </w:rPr>
              <w:t xml:space="preserve">USA (Maine) </w:t>
            </w:r>
          </w:p>
        </w:tc>
      </w:tr>
      <w:tr w:rsidR="00751251" w:rsidRPr="00804693" w14:paraId="4F13313D" w14:textId="77777777" w:rsidTr="00804693">
        <w:trPr>
          <w:cnfStyle w:val="000000100000" w:firstRow="0" w:lastRow="0" w:firstColumn="0" w:lastColumn="0" w:oddVBand="0" w:evenVBand="0" w:oddHBand="1" w:evenHBand="0" w:firstRowFirstColumn="0" w:firstRowLastColumn="0" w:lastRowFirstColumn="0" w:lastRowLastColumn="0"/>
          <w:trHeight w:val="345"/>
        </w:trPr>
        <w:tc>
          <w:tcPr>
            <w:tcW w:w="0" w:type="auto"/>
            <w:noWrap/>
            <w:hideMark/>
          </w:tcPr>
          <w:p w14:paraId="66689A82" w14:textId="77777777" w:rsidR="00751251" w:rsidRPr="00436135" w:rsidRDefault="00751251" w:rsidP="00804693">
            <w:pPr>
              <w:tabs>
                <w:tab w:val="clear" w:pos="280"/>
                <w:tab w:val="clear" w:pos="4800"/>
                <w:tab w:val="clear" w:pos="5780"/>
              </w:tabs>
              <w:suppressAutoHyphens w:val="0"/>
              <w:autoSpaceDE/>
              <w:autoSpaceDN/>
              <w:adjustRightInd/>
              <w:spacing w:line="240" w:lineRule="auto"/>
              <w:jc w:val="left"/>
              <w:textAlignment w:val="auto"/>
              <w:rPr>
                <w:rFonts w:eastAsia="Times New Roman" w:cs="Times New Roman"/>
                <w:sz w:val="20"/>
                <w:szCs w:val="20"/>
                <w:lang w:eastAsia="en-GB"/>
              </w:rPr>
            </w:pPr>
            <w:r w:rsidRPr="00436135">
              <w:rPr>
                <w:rFonts w:eastAsia="Times New Roman" w:cs="Times New Roman"/>
                <w:sz w:val="20"/>
                <w:szCs w:val="20"/>
                <w:lang w:eastAsia="en-GB"/>
              </w:rPr>
              <w:t>North Carolina Medical Board</w:t>
            </w:r>
          </w:p>
        </w:tc>
        <w:tc>
          <w:tcPr>
            <w:tcW w:w="0" w:type="auto"/>
          </w:tcPr>
          <w:p w14:paraId="55FC6749" w14:textId="77777777" w:rsidR="00751251" w:rsidRPr="00804693" w:rsidRDefault="00751251" w:rsidP="00751251">
            <w:pPr>
              <w:tabs>
                <w:tab w:val="clear" w:pos="280"/>
                <w:tab w:val="clear" w:pos="4800"/>
                <w:tab w:val="clear" w:pos="5780"/>
              </w:tabs>
              <w:suppressAutoHyphens w:val="0"/>
              <w:autoSpaceDE/>
              <w:autoSpaceDN/>
              <w:adjustRightInd/>
              <w:spacing w:line="240" w:lineRule="auto"/>
              <w:jc w:val="left"/>
              <w:textAlignment w:val="auto"/>
              <w:rPr>
                <w:rFonts w:eastAsia="Times New Roman" w:cs="Times New Roman"/>
                <w:sz w:val="20"/>
                <w:szCs w:val="20"/>
                <w:lang w:eastAsia="en-GB"/>
              </w:rPr>
            </w:pPr>
            <w:r>
              <w:rPr>
                <w:sz w:val="20"/>
                <w:szCs w:val="20"/>
              </w:rPr>
              <w:t>USA (North Carolina)</w:t>
            </w:r>
          </w:p>
        </w:tc>
      </w:tr>
      <w:tr w:rsidR="00751251" w:rsidRPr="00804693" w14:paraId="78ABEB3E" w14:textId="77777777" w:rsidTr="00804693">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Height w:val="345"/>
        </w:trPr>
        <w:tc>
          <w:tcPr>
            <w:tcW w:w="0" w:type="auto"/>
            <w:noWrap/>
            <w:hideMark/>
          </w:tcPr>
          <w:p w14:paraId="2E54C335" w14:textId="77777777" w:rsidR="00751251" w:rsidRPr="00436135" w:rsidRDefault="00751251" w:rsidP="00804693">
            <w:pPr>
              <w:tabs>
                <w:tab w:val="clear" w:pos="280"/>
                <w:tab w:val="clear" w:pos="4800"/>
                <w:tab w:val="clear" w:pos="5780"/>
              </w:tabs>
              <w:suppressAutoHyphens w:val="0"/>
              <w:autoSpaceDE/>
              <w:autoSpaceDN/>
              <w:adjustRightInd/>
              <w:spacing w:line="240" w:lineRule="auto"/>
              <w:jc w:val="left"/>
              <w:textAlignment w:val="auto"/>
              <w:rPr>
                <w:rFonts w:eastAsia="Times New Roman" w:cs="Times New Roman"/>
                <w:sz w:val="20"/>
                <w:szCs w:val="20"/>
                <w:lang w:eastAsia="en-GB"/>
              </w:rPr>
            </w:pPr>
            <w:r w:rsidRPr="00436135">
              <w:rPr>
                <w:rFonts w:eastAsia="Times New Roman" w:cs="Times New Roman"/>
                <w:sz w:val="20"/>
                <w:szCs w:val="20"/>
                <w:lang w:eastAsia="en-GB"/>
              </w:rPr>
              <w:t>Oklahoma State Board of Medical Licensure and Supervision</w:t>
            </w:r>
          </w:p>
        </w:tc>
        <w:tc>
          <w:tcPr>
            <w:tcW w:w="0" w:type="auto"/>
          </w:tcPr>
          <w:p w14:paraId="04D19E20" w14:textId="77777777" w:rsidR="00751251" w:rsidRPr="00804693" w:rsidRDefault="00751251" w:rsidP="00751251">
            <w:pPr>
              <w:tabs>
                <w:tab w:val="clear" w:pos="280"/>
                <w:tab w:val="clear" w:pos="4800"/>
                <w:tab w:val="clear" w:pos="5780"/>
              </w:tabs>
              <w:suppressAutoHyphens w:val="0"/>
              <w:autoSpaceDE/>
              <w:autoSpaceDN/>
              <w:adjustRightInd/>
              <w:spacing w:line="240" w:lineRule="auto"/>
              <w:jc w:val="left"/>
              <w:textAlignment w:val="auto"/>
              <w:rPr>
                <w:rFonts w:eastAsia="Times New Roman" w:cs="Times New Roman"/>
                <w:sz w:val="20"/>
                <w:szCs w:val="20"/>
                <w:lang w:eastAsia="en-GB"/>
              </w:rPr>
            </w:pPr>
            <w:r>
              <w:rPr>
                <w:sz w:val="20"/>
                <w:szCs w:val="20"/>
              </w:rPr>
              <w:t>USA (Oklahoma)</w:t>
            </w:r>
          </w:p>
        </w:tc>
      </w:tr>
      <w:tr w:rsidR="00751251" w:rsidRPr="00804693" w14:paraId="1764B5D0" w14:textId="77777777" w:rsidTr="00804693">
        <w:trPr>
          <w:cnfStyle w:val="000000100000" w:firstRow="0" w:lastRow="0" w:firstColumn="0" w:lastColumn="0" w:oddVBand="0" w:evenVBand="0" w:oddHBand="1" w:evenHBand="0" w:firstRowFirstColumn="0" w:firstRowLastColumn="0" w:lastRowFirstColumn="0" w:lastRowLastColumn="0"/>
          <w:trHeight w:val="345"/>
        </w:trPr>
        <w:tc>
          <w:tcPr>
            <w:tcW w:w="0" w:type="auto"/>
            <w:noWrap/>
            <w:hideMark/>
          </w:tcPr>
          <w:p w14:paraId="766C9D82" w14:textId="5363F7FA" w:rsidR="00751251" w:rsidRPr="00436135" w:rsidRDefault="00751251" w:rsidP="00804693">
            <w:pPr>
              <w:tabs>
                <w:tab w:val="clear" w:pos="280"/>
                <w:tab w:val="clear" w:pos="4800"/>
                <w:tab w:val="clear" w:pos="5780"/>
              </w:tabs>
              <w:suppressAutoHyphens w:val="0"/>
              <w:autoSpaceDE/>
              <w:autoSpaceDN/>
              <w:adjustRightInd/>
              <w:spacing w:line="240" w:lineRule="auto"/>
              <w:jc w:val="left"/>
              <w:textAlignment w:val="auto"/>
              <w:rPr>
                <w:rFonts w:eastAsia="Times New Roman" w:cs="Times New Roman"/>
                <w:sz w:val="20"/>
                <w:szCs w:val="20"/>
                <w:lang w:eastAsia="en-GB"/>
              </w:rPr>
            </w:pPr>
            <w:r w:rsidRPr="00436135">
              <w:rPr>
                <w:rFonts w:eastAsia="Times New Roman" w:cs="Times New Roman"/>
                <w:sz w:val="20"/>
                <w:szCs w:val="20"/>
                <w:lang w:eastAsia="en-GB"/>
              </w:rPr>
              <w:t>Oregon Medical Board</w:t>
            </w:r>
          </w:p>
        </w:tc>
        <w:tc>
          <w:tcPr>
            <w:tcW w:w="0" w:type="auto"/>
          </w:tcPr>
          <w:p w14:paraId="3FE38B53" w14:textId="77777777" w:rsidR="00751251" w:rsidRPr="00804693" w:rsidRDefault="00751251" w:rsidP="00751251">
            <w:pPr>
              <w:tabs>
                <w:tab w:val="clear" w:pos="280"/>
                <w:tab w:val="clear" w:pos="4800"/>
                <w:tab w:val="clear" w:pos="5780"/>
              </w:tabs>
              <w:suppressAutoHyphens w:val="0"/>
              <w:autoSpaceDE/>
              <w:autoSpaceDN/>
              <w:adjustRightInd/>
              <w:spacing w:line="240" w:lineRule="auto"/>
              <w:jc w:val="left"/>
              <w:textAlignment w:val="auto"/>
              <w:rPr>
                <w:rFonts w:eastAsia="Times New Roman" w:cs="Times New Roman"/>
                <w:sz w:val="20"/>
                <w:szCs w:val="20"/>
                <w:lang w:eastAsia="en-GB"/>
              </w:rPr>
            </w:pPr>
            <w:r>
              <w:rPr>
                <w:sz w:val="20"/>
                <w:szCs w:val="20"/>
              </w:rPr>
              <w:t>USA (Oregon)</w:t>
            </w:r>
          </w:p>
        </w:tc>
      </w:tr>
      <w:tr w:rsidR="00751251" w:rsidRPr="00804693" w14:paraId="4D3564A7" w14:textId="77777777" w:rsidTr="00804693">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Height w:val="345"/>
        </w:trPr>
        <w:tc>
          <w:tcPr>
            <w:tcW w:w="0" w:type="auto"/>
            <w:noWrap/>
            <w:hideMark/>
          </w:tcPr>
          <w:p w14:paraId="0D9FAB0E" w14:textId="77777777" w:rsidR="00751251" w:rsidRPr="00436135" w:rsidRDefault="00751251" w:rsidP="00804693">
            <w:pPr>
              <w:tabs>
                <w:tab w:val="clear" w:pos="280"/>
                <w:tab w:val="clear" w:pos="4800"/>
                <w:tab w:val="clear" w:pos="5780"/>
              </w:tabs>
              <w:suppressAutoHyphens w:val="0"/>
              <w:autoSpaceDE/>
              <w:autoSpaceDN/>
              <w:adjustRightInd/>
              <w:spacing w:line="240" w:lineRule="auto"/>
              <w:jc w:val="left"/>
              <w:textAlignment w:val="auto"/>
              <w:rPr>
                <w:rFonts w:eastAsia="Times New Roman" w:cs="Times New Roman"/>
                <w:sz w:val="20"/>
                <w:szCs w:val="20"/>
                <w:lang w:eastAsia="en-GB"/>
              </w:rPr>
            </w:pPr>
            <w:r w:rsidRPr="00436135">
              <w:rPr>
                <w:rFonts w:eastAsia="Times New Roman" w:cs="Times New Roman"/>
                <w:sz w:val="20"/>
                <w:szCs w:val="20"/>
                <w:lang w:eastAsia="en-GB"/>
              </w:rPr>
              <w:t>Washington, DC Board of Medicine</w:t>
            </w:r>
          </w:p>
        </w:tc>
        <w:tc>
          <w:tcPr>
            <w:tcW w:w="0" w:type="auto"/>
          </w:tcPr>
          <w:p w14:paraId="4171FE4B" w14:textId="77777777" w:rsidR="00751251" w:rsidRPr="00804693" w:rsidRDefault="00751251" w:rsidP="00751251">
            <w:pPr>
              <w:tabs>
                <w:tab w:val="clear" w:pos="280"/>
                <w:tab w:val="clear" w:pos="4800"/>
                <w:tab w:val="clear" w:pos="5780"/>
              </w:tabs>
              <w:suppressAutoHyphens w:val="0"/>
              <w:autoSpaceDE/>
              <w:autoSpaceDN/>
              <w:adjustRightInd/>
              <w:spacing w:line="240" w:lineRule="auto"/>
              <w:jc w:val="left"/>
              <w:textAlignment w:val="auto"/>
              <w:rPr>
                <w:rFonts w:eastAsia="Times New Roman" w:cs="Times New Roman"/>
                <w:sz w:val="20"/>
                <w:szCs w:val="20"/>
                <w:lang w:eastAsia="en-GB"/>
              </w:rPr>
            </w:pPr>
            <w:r>
              <w:rPr>
                <w:sz w:val="20"/>
                <w:szCs w:val="20"/>
              </w:rPr>
              <w:t xml:space="preserve">USA (Washington) </w:t>
            </w:r>
          </w:p>
        </w:tc>
      </w:tr>
    </w:tbl>
    <w:p w14:paraId="3686E958" w14:textId="77777777" w:rsidR="004149A5" w:rsidRDefault="004149A5" w:rsidP="001C00D0">
      <w:pPr>
        <w:pStyle w:val="BodyEE"/>
      </w:pPr>
    </w:p>
    <w:p w14:paraId="70B2999A" w14:textId="77777777" w:rsidR="004149A5" w:rsidRPr="00D13AF1" w:rsidRDefault="004149A5" w:rsidP="001C00D0">
      <w:pPr>
        <w:pStyle w:val="BodyEE"/>
      </w:pPr>
    </w:p>
    <w:p w14:paraId="02C7CD4F" w14:textId="77777777" w:rsidR="001C00D0" w:rsidRPr="00D13AF1" w:rsidRDefault="001C00D0" w:rsidP="001C00D0">
      <w:pPr>
        <w:pStyle w:val="BodyEE"/>
      </w:pPr>
    </w:p>
    <w:p w14:paraId="0F6DEAAB" w14:textId="77777777" w:rsidR="00397FF0" w:rsidRPr="00D13AF1" w:rsidRDefault="00397FF0" w:rsidP="00397FF0">
      <w:pPr>
        <w:pStyle w:val="Heading1"/>
        <w:ind w:left="709" w:hanging="714"/>
        <w:rPr>
          <w:color w:val="C64187" w:themeColor="accent2"/>
        </w:rPr>
      </w:pPr>
      <w:bookmarkStart w:id="87" w:name="_Toc504484130"/>
      <w:r w:rsidRPr="00D13AF1">
        <w:rPr>
          <w:color w:val="C64187" w:themeColor="accent2"/>
        </w:rPr>
        <w:lastRenderedPageBreak/>
        <w:t>Online survey responses</w:t>
      </w:r>
      <w:bookmarkEnd w:id="87"/>
    </w:p>
    <w:p w14:paraId="06D050F5" w14:textId="50F804D7" w:rsidR="00397FF0" w:rsidRPr="00D13AF1" w:rsidRDefault="00397FF0" w:rsidP="00397FF0">
      <w:pPr>
        <w:pStyle w:val="BodyEE"/>
      </w:pPr>
      <w:r>
        <w:t xml:space="preserve">In this section we summarise all the responses to our online survey — both from the core countries and non-core countries. We do not intend to analyse or discuss these results in detail, but provide the charts and tables to illustrate the responses we received. </w:t>
      </w:r>
    </w:p>
    <w:p w14:paraId="00BE6847" w14:textId="77777777" w:rsidR="00397FF0" w:rsidRPr="00D13AF1" w:rsidRDefault="00397FF0" w:rsidP="00397FF0">
      <w:pPr>
        <w:pStyle w:val="Caption"/>
      </w:pPr>
      <w:r w:rsidRPr="00D13AF1">
        <w:t xml:space="preserve">Table </w:t>
      </w:r>
      <w:r w:rsidR="00000000">
        <w:fldChar w:fldCharType="begin"/>
      </w:r>
      <w:r w:rsidR="00000000">
        <w:instrText xml:space="preserve"> STYLEREF 1 \s </w:instrText>
      </w:r>
      <w:r w:rsidR="00000000">
        <w:fldChar w:fldCharType="separate"/>
      </w:r>
      <w:r w:rsidR="00B51130">
        <w:rPr>
          <w:noProof/>
        </w:rPr>
        <w:t>10</w:t>
      </w:r>
      <w:r w:rsidR="00000000">
        <w:rPr>
          <w:noProof/>
        </w:rPr>
        <w:fldChar w:fldCharType="end"/>
      </w:r>
      <w:r>
        <w:t>.</w:t>
      </w:r>
      <w:r w:rsidR="00000000">
        <w:fldChar w:fldCharType="begin"/>
      </w:r>
      <w:r w:rsidR="00000000">
        <w:instrText xml:space="preserve"> SEQ Table \* ARABIC \s 1 </w:instrText>
      </w:r>
      <w:r w:rsidR="00000000">
        <w:fldChar w:fldCharType="separate"/>
      </w:r>
      <w:r w:rsidR="00B51130">
        <w:rPr>
          <w:noProof/>
        </w:rPr>
        <w:t>1</w:t>
      </w:r>
      <w:r w:rsidR="00000000">
        <w:rPr>
          <w:noProof/>
        </w:rPr>
        <w:fldChar w:fldCharType="end"/>
      </w:r>
      <w:r w:rsidRPr="00D13AF1">
        <w:t>: Survey respondents — country of origin</w:t>
      </w:r>
    </w:p>
    <w:tbl>
      <w:tblPr>
        <w:tblStyle w:val="LightShading-Accent11"/>
        <w:tblW w:w="0" w:type="auto"/>
        <w:tblLook w:val="04E0" w:firstRow="1" w:lastRow="1" w:firstColumn="1" w:lastColumn="0" w:noHBand="0" w:noVBand="1"/>
      </w:tblPr>
      <w:tblGrid>
        <w:gridCol w:w="2285"/>
        <w:gridCol w:w="1847"/>
        <w:gridCol w:w="2457"/>
      </w:tblGrid>
      <w:tr w:rsidR="003E432E" w:rsidRPr="00397FF0" w14:paraId="3F86A23B" w14:textId="77777777" w:rsidTr="00297895">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0" w:type="auto"/>
            <w:noWrap/>
          </w:tcPr>
          <w:p w14:paraId="23B311C9" w14:textId="77777777" w:rsidR="003E432E" w:rsidRPr="00397FF0" w:rsidRDefault="003E432E" w:rsidP="00297895">
            <w:pPr>
              <w:tabs>
                <w:tab w:val="clear" w:pos="280"/>
                <w:tab w:val="clear" w:pos="4800"/>
                <w:tab w:val="clear" w:pos="5780"/>
              </w:tabs>
              <w:suppressAutoHyphens w:val="0"/>
              <w:autoSpaceDE/>
              <w:autoSpaceDN/>
              <w:adjustRightInd/>
              <w:spacing w:line="240" w:lineRule="auto"/>
              <w:jc w:val="left"/>
              <w:textAlignment w:val="auto"/>
              <w:outlineLvl w:val="0"/>
              <w:rPr>
                <w:rFonts w:eastAsia="Times New Roman" w:cs="Times New Roman"/>
                <w:sz w:val="20"/>
                <w:szCs w:val="20"/>
                <w:lang w:eastAsia="en-GB"/>
              </w:rPr>
            </w:pPr>
            <w:r w:rsidRPr="00397FF0">
              <w:rPr>
                <w:rFonts w:eastAsia="Times New Roman" w:cs="Times New Roman"/>
                <w:sz w:val="20"/>
                <w:szCs w:val="20"/>
                <w:lang w:eastAsia="en-GB"/>
              </w:rPr>
              <w:t>Country</w:t>
            </w:r>
          </w:p>
        </w:tc>
        <w:tc>
          <w:tcPr>
            <w:tcW w:w="0" w:type="auto"/>
          </w:tcPr>
          <w:p w14:paraId="50B67EE2" w14:textId="3EDAF092" w:rsidR="003E432E" w:rsidRPr="00397FF0" w:rsidRDefault="003E432E" w:rsidP="00297895">
            <w:pPr>
              <w:tabs>
                <w:tab w:val="clear" w:pos="280"/>
                <w:tab w:val="clear" w:pos="4800"/>
                <w:tab w:val="clear" w:pos="5780"/>
              </w:tabs>
              <w:suppressAutoHyphens w:val="0"/>
              <w:autoSpaceDE/>
              <w:autoSpaceDN/>
              <w:adjustRightInd/>
              <w:spacing w:line="240" w:lineRule="auto"/>
              <w:jc w:val="center"/>
              <w:textAlignment w:val="auto"/>
              <w:outlineLvl w:val="0"/>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Pr>
                <w:rFonts w:eastAsia="Times New Roman" w:cs="Times New Roman"/>
                <w:sz w:val="20"/>
                <w:szCs w:val="20"/>
                <w:lang w:eastAsia="en-GB"/>
              </w:rPr>
              <w:t>Core or non-core</w:t>
            </w:r>
          </w:p>
        </w:tc>
        <w:tc>
          <w:tcPr>
            <w:tcW w:w="0" w:type="auto"/>
            <w:noWrap/>
          </w:tcPr>
          <w:p w14:paraId="27BE0305" w14:textId="6BB31842" w:rsidR="003E432E" w:rsidRPr="00397FF0" w:rsidRDefault="003E432E" w:rsidP="00297895">
            <w:pPr>
              <w:tabs>
                <w:tab w:val="clear" w:pos="280"/>
                <w:tab w:val="clear" w:pos="4800"/>
                <w:tab w:val="clear" w:pos="5780"/>
              </w:tabs>
              <w:suppressAutoHyphens w:val="0"/>
              <w:autoSpaceDE/>
              <w:autoSpaceDN/>
              <w:adjustRightInd/>
              <w:spacing w:line="240" w:lineRule="auto"/>
              <w:jc w:val="center"/>
              <w:textAlignment w:val="auto"/>
              <w:outlineLvl w:val="0"/>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397FF0">
              <w:rPr>
                <w:rFonts w:eastAsia="Times New Roman" w:cs="Times New Roman"/>
                <w:sz w:val="20"/>
                <w:szCs w:val="20"/>
                <w:lang w:eastAsia="en-GB"/>
              </w:rPr>
              <w:t>Number of organisation</w:t>
            </w:r>
          </w:p>
        </w:tc>
      </w:tr>
      <w:tr w:rsidR="003E432E" w:rsidRPr="00397FF0" w14:paraId="0D662FEB" w14:textId="77777777" w:rsidTr="0029789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0" w:type="auto"/>
            <w:noWrap/>
            <w:hideMark/>
          </w:tcPr>
          <w:p w14:paraId="2B0A979A" w14:textId="23082EB4" w:rsidR="003E432E" w:rsidRPr="00397FF0" w:rsidRDefault="00996726" w:rsidP="00297895">
            <w:pPr>
              <w:tabs>
                <w:tab w:val="clear" w:pos="280"/>
                <w:tab w:val="clear" w:pos="4800"/>
                <w:tab w:val="clear" w:pos="5780"/>
              </w:tabs>
              <w:suppressAutoHyphens w:val="0"/>
              <w:autoSpaceDE/>
              <w:autoSpaceDN/>
              <w:adjustRightInd/>
              <w:spacing w:line="240" w:lineRule="auto"/>
              <w:jc w:val="left"/>
              <w:textAlignment w:val="auto"/>
              <w:outlineLvl w:val="0"/>
              <w:rPr>
                <w:rFonts w:eastAsia="Times New Roman" w:cs="Times New Roman"/>
                <w:sz w:val="20"/>
                <w:szCs w:val="20"/>
                <w:lang w:eastAsia="en-GB"/>
              </w:rPr>
            </w:pPr>
            <w:r>
              <w:rPr>
                <w:rFonts w:eastAsia="Times New Roman" w:cs="Times New Roman"/>
                <w:sz w:val="20"/>
                <w:szCs w:val="20"/>
                <w:lang w:eastAsia="en-GB"/>
              </w:rPr>
              <w:t>USA</w:t>
            </w:r>
          </w:p>
        </w:tc>
        <w:tc>
          <w:tcPr>
            <w:tcW w:w="0" w:type="auto"/>
          </w:tcPr>
          <w:p w14:paraId="054967BF" w14:textId="704BEC26" w:rsidR="003E432E" w:rsidRPr="00397FF0" w:rsidRDefault="003E432E" w:rsidP="00297895">
            <w:pPr>
              <w:tabs>
                <w:tab w:val="clear" w:pos="280"/>
                <w:tab w:val="clear" w:pos="4800"/>
                <w:tab w:val="clear" w:pos="5780"/>
              </w:tabs>
              <w:suppressAutoHyphens w:val="0"/>
              <w:autoSpaceDE/>
              <w:autoSpaceDN/>
              <w:adjustRightInd/>
              <w:spacing w:line="240" w:lineRule="auto"/>
              <w:jc w:val="center"/>
              <w:textAlignment w:val="auto"/>
              <w:outlineLvl w:val="0"/>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GB"/>
              </w:rPr>
            </w:pPr>
            <w:r>
              <w:rPr>
                <w:rFonts w:eastAsia="Times New Roman" w:cs="Times New Roman"/>
                <w:sz w:val="20"/>
                <w:szCs w:val="20"/>
                <w:lang w:eastAsia="en-GB"/>
              </w:rPr>
              <w:t>Core</w:t>
            </w:r>
          </w:p>
        </w:tc>
        <w:tc>
          <w:tcPr>
            <w:tcW w:w="0" w:type="auto"/>
            <w:noWrap/>
            <w:hideMark/>
          </w:tcPr>
          <w:p w14:paraId="5066A8CA" w14:textId="042E74F4" w:rsidR="003E432E" w:rsidRPr="00397FF0" w:rsidRDefault="003E432E" w:rsidP="00297895">
            <w:pPr>
              <w:tabs>
                <w:tab w:val="clear" w:pos="280"/>
                <w:tab w:val="clear" w:pos="4800"/>
                <w:tab w:val="clear" w:pos="5780"/>
              </w:tabs>
              <w:suppressAutoHyphens w:val="0"/>
              <w:autoSpaceDE/>
              <w:autoSpaceDN/>
              <w:adjustRightInd/>
              <w:spacing w:line="240" w:lineRule="auto"/>
              <w:jc w:val="center"/>
              <w:textAlignment w:val="auto"/>
              <w:outlineLvl w:val="0"/>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GB"/>
              </w:rPr>
            </w:pPr>
            <w:r w:rsidRPr="00397FF0">
              <w:rPr>
                <w:rFonts w:eastAsia="Times New Roman" w:cs="Times New Roman"/>
                <w:sz w:val="20"/>
                <w:szCs w:val="20"/>
                <w:lang w:eastAsia="en-GB"/>
              </w:rPr>
              <w:t>9</w:t>
            </w:r>
          </w:p>
        </w:tc>
      </w:tr>
      <w:tr w:rsidR="003E432E" w:rsidRPr="00397FF0" w14:paraId="665FDF3B" w14:textId="77777777" w:rsidTr="00297895">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0" w:type="auto"/>
            <w:noWrap/>
            <w:hideMark/>
          </w:tcPr>
          <w:p w14:paraId="2448F861" w14:textId="77777777" w:rsidR="003E432E" w:rsidRPr="00397FF0" w:rsidRDefault="003E432E" w:rsidP="00297895">
            <w:pPr>
              <w:tabs>
                <w:tab w:val="clear" w:pos="280"/>
                <w:tab w:val="clear" w:pos="4800"/>
                <w:tab w:val="clear" w:pos="5780"/>
              </w:tabs>
              <w:suppressAutoHyphens w:val="0"/>
              <w:autoSpaceDE/>
              <w:autoSpaceDN/>
              <w:adjustRightInd/>
              <w:spacing w:line="240" w:lineRule="auto"/>
              <w:jc w:val="left"/>
              <w:textAlignment w:val="auto"/>
              <w:outlineLvl w:val="0"/>
              <w:rPr>
                <w:rFonts w:eastAsia="Times New Roman" w:cs="Times New Roman"/>
                <w:sz w:val="20"/>
                <w:szCs w:val="20"/>
                <w:lang w:eastAsia="en-GB"/>
              </w:rPr>
            </w:pPr>
            <w:r w:rsidRPr="00397FF0">
              <w:rPr>
                <w:rFonts w:eastAsia="Times New Roman" w:cs="Times New Roman"/>
                <w:sz w:val="20"/>
                <w:szCs w:val="20"/>
                <w:lang w:eastAsia="en-GB"/>
              </w:rPr>
              <w:t>Canada</w:t>
            </w:r>
          </w:p>
        </w:tc>
        <w:tc>
          <w:tcPr>
            <w:tcW w:w="0" w:type="auto"/>
          </w:tcPr>
          <w:p w14:paraId="4B5760FA" w14:textId="03641CC1" w:rsidR="003E432E" w:rsidRPr="00397FF0" w:rsidRDefault="003E432E" w:rsidP="00297895">
            <w:pPr>
              <w:tabs>
                <w:tab w:val="clear" w:pos="280"/>
                <w:tab w:val="clear" w:pos="4800"/>
                <w:tab w:val="clear" w:pos="5780"/>
              </w:tabs>
              <w:suppressAutoHyphens w:val="0"/>
              <w:autoSpaceDE/>
              <w:autoSpaceDN/>
              <w:adjustRightInd/>
              <w:spacing w:line="240" w:lineRule="auto"/>
              <w:jc w:val="center"/>
              <w:textAlignment w:val="auto"/>
              <w:outlineLvl w:val="0"/>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n-GB"/>
              </w:rPr>
            </w:pPr>
            <w:r>
              <w:rPr>
                <w:rFonts w:eastAsia="Times New Roman" w:cs="Times New Roman"/>
                <w:sz w:val="20"/>
                <w:szCs w:val="20"/>
                <w:lang w:eastAsia="en-GB"/>
              </w:rPr>
              <w:t>Core</w:t>
            </w:r>
          </w:p>
        </w:tc>
        <w:tc>
          <w:tcPr>
            <w:tcW w:w="0" w:type="auto"/>
            <w:noWrap/>
            <w:hideMark/>
          </w:tcPr>
          <w:p w14:paraId="1E6D68F2" w14:textId="6C1DB937" w:rsidR="003E432E" w:rsidRPr="00397FF0" w:rsidRDefault="003E432E" w:rsidP="00297895">
            <w:pPr>
              <w:tabs>
                <w:tab w:val="clear" w:pos="280"/>
                <w:tab w:val="clear" w:pos="4800"/>
                <w:tab w:val="clear" w:pos="5780"/>
              </w:tabs>
              <w:suppressAutoHyphens w:val="0"/>
              <w:autoSpaceDE/>
              <w:autoSpaceDN/>
              <w:adjustRightInd/>
              <w:spacing w:line="240" w:lineRule="auto"/>
              <w:jc w:val="center"/>
              <w:textAlignment w:val="auto"/>
              <w:outlineLvl w:val="0"/>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n-GB"/>
              </w:rPr>
            </w:pPr>
            <w:r w:rsidRPr="00397FF0">
              <w:rPr>
                <w:rFonts w:eastAsia="Times New Roman" w:cs="Times New Roman"/>
                <w:sz w:val="20"/>
                <w:szCs w:val="20"/>
                <w:lang w:eastAsia="en-GB"/>
              </w:rPr>
              <w:t>5</w:t>
            </w:r>
          </w:p>
        </w:tc>
      </w:tr>
      <w:tr w:rsidR="003E432E" w:rsidRPr="00397FF0" w14:paraId="0CAF3EBC" w14:textId="77777777" w:rsidTr="0029789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0" w:type="auto"/>
            <w:noWrap/>
            <w:hideMark/>
          </w:tcPr>
          <w:p w14:paraId="0703DA0A" w14:textId="77777777" w:rsidR="003E432E" w:rsidRPr="00397FF0" w:rsidRDefault="003E432E" w:rsidP="00297895">
            <w:pPr>
              <w:tabs>
                <w:tab w:val="clear" w:pos="280"/>
                <w:tab w:val="clear" w:pos="4800"/>
                <w:tab w:val="clear" w:pos="5780"/>
              </w:tabs>
              <w:suppressAutoHyphens w:val="0"/>
              <w:autoSpaceDE/>
              <w:autoSpaceDN/>
              <w:adjustRightInd/>
              <w:spacing w:line="240" w:lineRule="auto"/>
              <w:jc w:val="left"/>
              <w:textAlignment w:val="auto"/>
              <w:outlineLvl w:val="0"/>
              <w:rPr>
                <w:rFonts w:eastAsia="Times New Roman" w:cs="Times New Roman"/>
                <w:sz w:val="20"/>
                <w:szCs w:val="20"/>
                <w:lang w:eastAsia="en-GB"/>
              </w:rPr>
            </w:pPr>
            <w:r w:rsidRPr="00397FF0">
              <w:rPr>
                <w:rFonts w:eastAsia="Times New Roman" w:cs="Times New Roman"/>
                <w:sz w:val="20"/>
                <w:szCs w:val="20"/>
                <w:lang w:eastAsia="en-GB"/>
              </w:rPr>
              <w:t>Australia</w:t>
            </w:r>
          </w:p>
        </w:tc>
        <w:tc>
          <w:tcPr>
            <w:tcW w:w="0" w:type="auto"/>
          </w:tcPr>
          <w:p w14:paraId="3BC22C58" w14:textId="32AFCD50" w:rsidR="003E432E" w:rsidRPr="00397FF0" w:rsidRDefault="003E432E" w:rsidP="00297895">
            <w:pPr>
              <w:tabs>
                <w:tab w:val="clear" w:pos="280"/>
                <w:tab w:val="clear" w:pos="4800"/>
                <w:tab w:val="clear" w:pos="5780"/>
              </w:tabs>
              <w:suppressAutoHyphens w:val="0"/>
              <w:autoSpaceDE/>
              <w:autoSpaceDN/>
              <w:adjustRightInd/>
              <w:spacing w:line="240" w:lineRule="auto"/>
              <w:jc w:val="center"/>
              <w:textAlignment w:val="auto"/>
              <w:outlineLvl w:val="0"/>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GB"/>
              </w:rPr>
            </w:pPr>
            <w:r>
              <w:rPr>
                <w:rFonts w:eastAsia="Times New Roman" w:cs="Times New Roman"/>
                <w:sz w:val="20"/>
                <w:szCs w:val="20"/>
                <w:lang w:eastAsia="en-GB"/>
              </w:rPr>
              <w:t>Core</w:t>
            </w:r>
          </w:p>
        </w:tc>
        <w:tc>
          <w:tcPr>
            <w:tcW w:w="0" w:type="auto"/>
            <w:noWrap/>
            <w:hideMark/>
          </w:tcPr>
          <w:p w14:paraId="39D071EC" w14:textId="7230232B" w:rsidR="003E432E" w:rsidRPr="00397FF0" w:rsidRDefault="003E432E" w:rsidP="00297895">
            <w:pPr>
              <w:tabs>
                <w:tab w:val="clear" w:pos="280"/>
                <w:tab w:val="clear" w:pos="4800"/>
                <w:tab w:val="clear" w:pos="5780"/>
              </w:tabs>
              <w:suppressAutoHyphens w:val="0"/>
              <w:autoSpaceDE/>
              <w:autoSpaceDN/>
              <w:adjustRightInd/>
              <w:spacing w:line="240" w:lineRule="auto"/>
              <w:jc w:val="center"/>
              <w:textAlignment w:val="auto"/>
              <w:outlineLvl w:val="0"/>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GB"/>
              </w:rPr>
            </w:pPr>
            <w:r w:rsidRPr="00397FF0">
              <w:rPr>
                <w:rFonts w:eastAsia="Times New Roman" w:cs="Times New Roman"/>
                <w:sz w:val="20"/>
                <w:szCs w:val="20"/>
                <w:lang w:eastAsia="en-GB"/>
              </w:rPr>
              <w:t>2</w:t>
            </w:r>
          </w:p>
        </w:tc>
      </w:tr>
      <w:tr w:rsidR="003E432E" w:rsidRPr="00397FF0" w14:paraId="3F6DB4BF" w14:textId="77777777" w:rsidTr="00297895">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0" w:type="auto"/>
            <w:noWrap/>
          </w:tcPr>
          <w:p w14:paraId="37F5999C" w14:textId="6EBBDDF9" w:rsidR="003E432E" w:rsidRPr="00397FF0" w:rsidRDefault="003E432E" w:rsidP="00297895">
            <w:pPr>
              <w:tabs>
                <w:tab w:val="clear" w:pos="280"/>
                <w:tab w:val="clear" w:pos="4800"/>
                <w:tab w:val="clear" w:pos="5780"/>
              </w:tabs>
              <w:suppressAutoHyphens w:val="0"/>
              <w:autoSpaceDE/>
              <w:autoSpaceDN/>
              <w:adjustRightInd/>
              <w:spacing w:line="240" w:lineRule="auto"/>
              <w:jc w:val="left"/>
              <w:textAlignment w:val="auto"/>
              <w:outlineLvl w:val="0"/>
              <w:rPr>
                <w:rFonts w:eastAsia="Times New Roman" w:cs="Times New Roman"/>
                <w:sz w:val="20"/>
                <w:szCs w:val="20"/>
                <w:lang w:eastAsia="en-GB"/>
              </w:rPr>
            </w:pPr>
            <w:r>
              <w:rPr>
                <w:rFonts w:eastAsia="Times New Roman" w:cs="Times New Roman"/>
                <w:sz w:val="20"/>
                <w:szCs w:val="20"/>
                <w:lang w:eastAsia="en-GB"/>
              </w:rPr>
              <w:t>United Kingdom</w:t>
            </w:r>
          </w:p>
        </w:tc>
        <w:tc>
          <w:tcPr>
            <w:tcW w:w="0" w:type="auto"/>
          </w:tcPr>
          <w:p w14:paraId="6CCA9224" w14:textId="1D644E8E" w:rsidR="003E432E" w:rsidRDefault="003E432E" w:rsidP="00297895">
            <w:pPr>
              <w:tabs>
                <w:tab w:val="clear" w:pos="280"/>
                <w:tab w:val="clear" w:pos="4800"/>
                <w:tab w:val="clear" w:pos="5780"/>
              </w:tabs>
              <w:suppressAutoHyphens w:val="0"/>
              <w:autoSpaceDE/>
              <w:autoSpaceDN/>
              <w:adjustRightInd/>
              <w:spacing w:line="240" w:lineRule="auto"/>
              <w:jc w:val="center"/>
              <w:textAlignment w:val="auto"/>
              <w:outlineLvl w:val="0"/>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n-GB"/>
              </w:rPr>
            </w:pPr>
            <w:r>
              <w:rPr>
                <w:rFonts w:eastAsia="Times New Roman" w:cs="Times New Roman"/>
                <w:sz w:val="20"/>
                <w:szCs w:val="20"/>
                <w:lang w:eastAsia="en-GB"/>
              </w:rPr>
              <w:t>Core</w:t>
            </w:r>
          </w:p>
        </w:tc>
        <w:tc>
          <w:tcPr>
            <w:tcW w:w="0" w:type="auto"/>
            <w:noWrap/>
          </w:tcPr>
          <w:p w14:paraId="6412C71E" w14:textId="232C1266" w:rsidR="003E432E" w:rsidRPr="00397FF0" w:rsidRDefault="003E432E" w:rsidP="00297895">
            <w:pPr>
              <w:tabs>
                <w:tab w:val="clear" w:pos="280"/>
                <w:tab w:val="clear" w:pos="4800"/>
                <w:tab w:val="clear" w:pos="5780"/>
              </w:tabs>
              <w:suppressAutoHyphens w:val="0"/>
              <w:autoSpaceDE/>
              <w:autoSpaceDN/>
              <w:adjustRightInd/>
              <w:spacing w:line="240" w:lineRule="auto"/>
              <w:jc w:val="center"/>
              <w:textAlignment w:val="auto"/>
              <w:outlineLvl w:val="0"/>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n-GB"/>
              </w:rPr>
            </w:pPr>
            <w:r>
              <w:rPr>
                <w:rFonts w:eastAsia="Times New Roman" w:cs="Times New Roman"/>
                <w:sz w:val="20"/>
                <w:szCs w:val="20"/>
                <w:lang w:eastAsia="en-GB"/>
              </w:rPr>
              <w:t>1</w:t>
            </w:r>
          </w:p>
        </w:tc>
      </w:tr>
      <w:tr w:rsidR="003E432E" w:rsidRPr="00397FF0" w14:paraId="6B14FAA7" w14:textId="77777777" w:rsidTr="0029789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0" w:type="auto"/>
            <w:noWrap/>
            <w:hideMark/>
          </w:tcPr>
          <w:p w14:paraId="3A06572A" w14:textId="77777777" w:rsidR="003E432E" w:rsidRPr="00397FF0" w:rsidRDefault="003E432E" w:rsidP="00297895">
            <w:pPr>
              <w:tabs>
                <w:tab w:val="clear" w:pos="280"/>
                <w:tab w:val="clear" w:pos="4800"/>
                <w:tab w:val="clear" w:pos="5780"/>
              </w:tabs>
              <w:suppressAutoHyphens w:val="0"/>
              <w:autoSpaceDE/>
              <w:autoSpaceDN/>
              <w:adjustRightInd/>
              <w:spacing w:line="240" w:lineRule="auto"/>
              <w:jc w:val="left"/>
              <w:textAlignment w:val="auto"/>
              <w:outlineLvl w:val="0"/>
              <w:rPr>
                <w:rFonts w:eastAsia="Times New Roman" w:cs="Times New Roman"/>
                <w:sz w:val="20"/>
                <w:szCs w:val="20"/>
                <w:lang w:eastAsia="en-GB"/>
              </w:rPr>
            </w:pPr>
            <w:r w:rsidRPr="00397FF0">
              <w:rPr>
                <w:rFonts w:eastAsia="Times New Roman" w:cs="Times New Roman"/>
                <w:sz w:val="20"/>
                <w:szCs w:val="20"/>
                <w:lang w:eastAsia="en-GB"/>
              </w:rPr>
              <w:t>New Zealand</w:t>
            </w:r>
          </w:p>
        </w:tc>
        <w:tc>
          <w:tcPr>
            <w:tcW w:w="0" w:type="auto"/>
          </w:tcPr>
          <w:p w14:paraId="1244B2C9" w14:textId="2C2664EB" w:rsidR="003E432E" w:rsidRDefault="003E432E" w:rsidP="00297895">
            <w:pPr>
              <w:tabs>
                <w:tab w:val="clear" w:pos="280"/>
                <w:tab w:val="clear" w:pos="4800"/>
                <w:tab w:val="clear" w:pos="5780"/>
              </w:tabs>
              <w:suppressAutoHyphens w:val="0"/>
              <w:autoSpaceDE/>
              <w:autoSpaceDN/>
              <w:adjustRightInd/>
              <w:spacing w:line="240" w:lineRule="auto"/>
              <w:jc w:val="center"/>
              <w:textAlignment w:val="auto"/>
              <w:outlineLvl w:val="0"/>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GB"/>
              </w:rPr>
            </w:pPr>
            <w:r>
              <w:rPr>
                <w:rFonts w:eastAsia="Times New Roman" w:cs="Times New Roman"/>
                <w:sz w:val="20"/>
                <w:szCs w:val="20"/>
                <w:lang w:eastAsia="en-GB"/>
              </w:rPr>
              <w:t>Core</w:t>
            </w:r>
          </w:p>
        </w:tc>
        <w:tc>
          <w:tcPr>
            <w:tcW w:w="0" w:type="auto"/>
            <w:noWrap/>
            <w:hideMark/>
          </w:tcPr>
          <w:p w14:paraId="204AA7D3" w14:textId="32556D09" w:rsidR="003E432E" w:rsidRPr="00397FF0" w:rsidRDefault="003E432E" w:rsidP="00297895">
            <w:pPr>
              <w:tabs>
                <w:tab w:val="clear" w:pos="280"/>
                <w:tab w:val="clear" w:pos="4800"/>
                <w:tab w:val="clear" w:pos="5780"/>
              </w:tabs>
              <w:suppressAutoHyphens w:val="0"/>
              <w:autoSpaceDE/>
              <w:autoSpaceDN/>
              <w:adjustRightInd/>
              <w:spacing w:line="240" w:lineRule="auto"/>
              <w:jc w:val="center"/>
              <w:textAlignment w:val="auto"/>
              <w:outlineLvl w:val="0"/>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GB"/>
              </w:rPr>
            </w:pPr>
            <w:r>
              <w:rPr>
                <w:rFonts w:eastAsia="Times New Roman" w:cs="Times New Roman"/>
                <w:sz w:val="20"/>
                <w:szCs w:val="20"/>
                <w:lang w:eastAsia="en-GB"/>
              </w:rPr>
              <w:t>1</w:t>
            </w:r>
          </w:p>
        </w:tc>
      </w:tr>
      <w:tr w:rsidR="003E432E" w:rsidRPr="00397FF0" w14:paraId="14B77E6D" w14:textId="77777777" w:rsidTr="00297895">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0" w:type="auto"/>
            <w:noWrap/>
            <w:hideMark/>
          </w:tcPr>
          <w:p w14:paraId="1EE0D0EE" w14:textId="77777777" w:rsidR="003E432E" w:rsidRPr="00397FF0" w:rsidRDefault="003E432E" w:rsidP="00297895">
            <w:pPr>
              <w:tabs>
                <w:tab w:val="clear" w:pos="280"/>
                <w:tab w:val="clear" w:pos="4800"/>
                <w:tab w:val="clear" w:pos="5780"/>
              </w:tabs>
              <w:suppressAutoHyphens w:val="0"/>
              <w:autoSpaceDE/>
              <w:autoSpaceDN/>
              <w:adjustRightInd/>
              <w:spacing w:line="240" w:lineRule="auto"/>
              <w:jc w:val="left"/>
              <w:textAlignment w:val="auto"/>
              <w:outlineLvl w:val="0"/>
              <w:rPr>
                <w:rFonts w:eastAsia="Times New Roman" w:cs="Times New Roman"/>
                <w:sz w:val="20"/>
                <w:szCs w:val="20"/>
                <w:lang w:eastAsia="en-GB"/>
              </w:rPr>
            </w:pPr>
            <w:r w:rsidRPr="00397FF0">
              <w:rPr>
                <w:rFonts w:eastAsia="Times New Roman" w:cs="Times New Roman"/>
                <w:sz w:val="20"/>
                <w:szCs w:val="20"/>
                <w:lang w:eastAsia="en-GB"/>
              </w:rPr>
              <w:t>Denmark</w:t>
            </w:r>
          </w:p>
        </w:tc>
        <w:tc>
          <w:tcPr>
            <w:tcW w:w="0" w:type="auto"/>
          </w:tcPr>
          <w:p w14:paraId="3475ABD1" w14:textId="57FA6236" w:rsidR="003E432E" w:rsidRPr="00397FF0" w:rsidRDefault="003E432E" w:rsidP="00297895">
            <w:pPr>
              <w:tabs>
                <w:tab w:val="clear" w:pos="280"/>
                <w:tab w:val="clear" w:pos="4800"/>
                <w:tab w:val="clear" w:pos="5780"/>
              </w:tabs>
              <w:suppressAutoHyphens w:val="0"/>
              <w:autoSpaceDE/>
              <w:autoSpaceDN/>
              <w:adjustRightInd/>
              <w:spacing w:line="240" w:lineRule="auto"/>
              <w:jc w:val="center"/>
              <w:textAlignment w:val="auto"/>
              <w:outlineLvl w:val="0"/>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n-GB"/>
              </w:rPr>
            </w:pPr>
            <w:r>
              <w:rPr>
                <w:rFonts w:eastAsia="Times New Roman" w:cs="Times New Roman"/>
                <w:sz w:val="20"/>
                <w:szCs w:val="20"/>
                <w:lang w:eastAsia="en-GB"/>
              </w:rPr>
              <w:t>Core</w:t>
            </w:r>
          </w:p>
        </w:tc>
        <w:tc>
          <w:tcPr>
            <w:tcW w:w="0" w:type="auto"/>
            <w:noWrap/>
            <w:hideMark/>
          </w:tcPr>
          <w:p w14:paraId="31BC0278" w14:textId="708B8B8E" w:rsidR="003E432E" w:rsidRPr="00397FF0" w:rsidRDefault="003E432E" w:rsidP="00297895">
            <w:pPr>
              <w:tabs>
                <w:tab w:val="clear" w:pos="280"/>
                <w:tab w:val="clear" w:pos="4800"/>
                <w:tab w:val="clear" w:pos="5780"/>
              </w:tabs>
              <w:suppressAutoHyphens w:val="0"/>
              <w:autoSpaceDE/>
              <w:autoSpaceDN/>
              <w:adjustRightInd/>
              <w:spacing w:line="240" w:lineRule="auto"/>
              <w:jc w:val="center"/>
              <w:textAlignment w:val="auto"/>
              <w:outlineLvl w:val="0"/>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n-GB"/>
              </w:rPr>
            </w:pPr>
            <w:r w:rsidRPr="00397FF0">
              <w:rPr>
                <w:rFonts w:eastAsia="Times New Roman" w:cs="Times New Roman"/>
                <w:sz w:val="20"/>
                <w:szCs w:val="20"/>
                <w:lang w:eastAsia="en-GB"/>
              </w:rPr>
              <w:t>1</w:t>
            </w:r>
          </w:p>
        </w:tc>
      </w:tr>
      <w:tr w:rsidR="003E432E" w:rsidRPr="00397FF0" w14:paraId="25A3A2BE" w14:textId="77777777" w:rsidTr="0029789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0" w:type="auto"/>
            <w:noWrap/>
            <w:hideMark/>
          </w:tcPr>
          <w:p w14:paraId="5E79E45A" w14:textId="77777777" w:rsidR="003E432E" w:rsidRPr="00397FF0" w:rsidRDefault="003E432E" w:rsidP="00297895">
            <w:pPr>
              <w:tabs>
                <w:tab w:val="clear" w:pos="280"/>
                <w:tab w:val="clear" w:pos="4800"/>
                <w:tab w:val="clear" w:pos="5780"/>
              </w:tabs>
              <w:suppressAutoHyphens w:val="0"/>
              <w:autoSpaceDE/>
              <w:autoSpaceDN/>
              <w:adjustRightInd/>
              <w:spacing w:line="240" w:lineRule="auto"/>
              <w:jc w:val="left"/>
              <w:textAlignment w:val="auto"/>
              <w:outlineLvl w:val="0"/>
              <w:rPr>
                <w:rFonts w:eastAsia="Times New Roman" w:cs="Times New Roman"/>
                <w:sz w:val="20"/>
                <w:szCs w:val="20"/>
                <w:lang w:eastAsia="en-GB"/>
              </w:rPr>
            </w:pPr>
            <w:r w:rsidRPr="00397FF0">
              <w:rPr>
                <w:rFonts w:eastAsia="Times New Roman" w:cs="Times New Roman"/>
                <w:sz w:val="20"/>
                <w:szCs w:val="20"/>
                <w:lang w:eastAsia="en-GB"/>
              </w:rPr>
              <w:t>France</w:t>
            </w:r>
          </w:p>
        </w:tc>
        <w:tc>
          <w:tcPr>
            <w:tcW w:w="0" w:type="auto"/>
          </w:tcPr>
          <w:p w14:paraId="29C4BAB6" w14:textId="3B969F76" w:rsidR="003E432E" w:rsidRPr="00397FF0" w:rsidRDefault="003E432E" w:rsidP="00297895">
            <w:pPr>
              <w:tabs>
                <w:tab w:val="clear" w:pos="280"/>
                <w:tab w:val="clear" w:pos="4800"/>
                <w:tab w:val="clear" w:pos="5780"/>
              </w:tabs>
              <w:suppressAutoHyphens w:val="0"/>
              <w:autoSpaceDE/>
              <w:autoSpaceDN/>
              <w:adjustRightInd/>
              <w:spacing w:line="240" w:lineRule="auto"/>
              <w:jc w:val="center"/>
              <w:textAlignment w:val="auto"/>
              <w:outlineLvl w:val="0"/>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GB"/>
              </w:rPr>
            </w:pPr>
            <w:r>
              <w:rPr>
                <w:rFonts w:eastAsia="Times New Roman" w:cs="Times New Roman"/>
                <w:sz w:val="20"/>
                <w:szCs w:val="20"/>
                <w:lang w:eastAsia="en-GB"/>
              </w:rPr>
              <w:t>Core</w:t>
            </w:r>
          </w:p>
        </w:tc>
        <w:tc>
          <w:tcPr>
            <w:tcW w:w="0" w:type="auto"/>
            <w:noWrap/>
            <w:hideMark/>
          </w:tcPr>
          <w:p w14:paraId="053A38D9" w14:textId="214D33B0" w:rsidR="003E432E" w:rsidRPr="00397FF0" w:rsidRDefault="003E432E" w:rsidP="00297895">
            <w:pPr>
              <w:tabs>
                <w:tab w:val="clear" w:pos="280"/>
                <w:tab w:val="clear" w:pos="4800"/>
                <w:tab w:val="clear" w:pos="5780"/>
              </w:tabs>
              <w:suppressAutoHyphens w:val="0"/>
              <w:autoSpaceDE/>
              <w:autoSpaceDN/>
              <w:adjustRightInd/>
              <w:spacing w:line="240" w:lineRule="auto"/>
              <w:jc w:val="center"/>
              <w:textAlignment w:val="auto"/>
              <w:outlineLvl w:val="0"/>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GB"/>
              </w:rPr>
            </w:pPr>
            <w:r w:rsidRPr="00397FF0">
              <w:rPr>
                <w:rFonts w:eastAsia="Times New Roman" w:cs="Times New Roman"/>
                <w:sz w:val="20"/>
                <w:szCs w:val="20"/>
                <w:lang w:eastAsia="en-GB"/>
              </w:rPr>
              <w:t>1</w:t>
            </w:r>
          </w:p>
        </w:tc>
      </w:tr>
      <w:tr w:rsidR="003E432E" w:rsidRPr="00397FF0" w14:paraId="2B8ED706" w14:textId="77777777" w:rsidTr="00297895">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0" w:type="auto"/>
            <w:noWrap/>
            <w:hideMark/>
          </w:tcPr>
          <w:p w14:paraId="11A7188F" w14:textId="77777777" w:rsidR="003E432E" w:rsidRPr="00397FF0" w:rsidRDefault="003E432E" w:rsidP="00297895">
            <w:pPr>
              <w:tabs>
                <w:tab w:val="clear" w:pos="280"/>
                <w:tab w:val="clear" w:pos="4800"/>
                <w:tab w:val="clear" w:pos="5780"/>
              </w:tabs>
              <w:suppressAutoHyphens w:val="0"/>
              <w:autoSpaceDE/>
              <w:autoSpaceDN/>
              <w:adjustRightInd/>
              <w:spacing w:line="240" w:lineRule="auto"/>
              <w:jc w:val="left"/>
              <w:textAlignment w:val="auto"/>
              <w:outlineLvl w:val="0"/>
              <w:rPr>
                <w:rFonts w:eastAsia="Times New Roman" w:cs="Times New Roman"/>
                <w:sz w:val="20"/>
                <w:szCs w:val="20"/>
                <w:lang w:eastAsia="en-GB"/>
              </w:rPr>
            </w:pPr>
            <w:r w:rsidRPr="00397FF0">
              <w:rPr>
                <w:rFonts w:eastAsia="Times New Roman" w:cs="Times New Roman"/>
                <w:sz w:val="20"/>
                <w:szCs w:val="20"/>
                <w:lang w:eastAsia="en-GB"/>
              </w:rPr>
              <w:t>Singapore</w:t>
            </w:r>
          </w:p>
        </w:tc>
        <w:tc>
          <w:tcPr>
            <w:tcW w:w="0" w:type="auto"/>
          </w:tcPr>
          <w:p w14:paraId="36D452FA" w14:textId="1C7056A6" w:rsidR="003E432E" w:rsidRPr="00397FF0" w:rsidRDefault="003E432E" w:rsidP="00297895">
            <w:pPr>
              <w:tabs>
                <w:tab w:val="clear" w:pos="280"/>
                <w:tab w:val="clear" w:pos="4800"/>
                <w:tab w:val="clear" w:pos="5780"/>
              </w:tabs>
              <w:suppressAutoHyphens w:val="0"/>
              <w:autoSpaceDE/>
              <w:autoSpaceDN/>
              <w:adjustRightInd/>
              <w:spacing w:line="240" w:lineRule="auto"/>
              <w:jc w:val="center"/>
              <w:textAlignment w:val="auto"/>
              <w:outlineLvl w:val="0"/>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n-GB"/>
              </w:rPr>
            </w:pPr>
            <w:r>
              <w:rPr>
                <w:rFonts w:eastAsia="Times New Roman" w:cs="Times New Roman"/>
                <w:sz w:val="20"/>
                <w:szCs w:val="20"/>
                <w:lang w:eastAsia="en-GB"/>
              </w:rPr>
              <w:t>Core</w:t>
            </w:r>
          </w:p>
        </w:tc>
        <w:tc>
          <w:tcPr>
            <w:tcW w:w="0" w:type="auto"/>
            <w:noWrap/>
            <w:hideMark/>
          </w:tcPr>
          <w:p w14:paraId="5265EF01" w14:textId="7B3B8E70" w:rsidR="003E432E" w:rsidRPr="00397FF0" w:rsidRDefault="003E432E" w:rsidP="00297895">
            <w:pPr>
              <w:tabs>
                <w:tab w:val="clear" w:pos="280"/>
                <w:tab w:val="clear" w:pos="4800"/>
                <w:tab w:val="clear" w:pos="5780"/>
              </w:tabs>
              <w:suppressAutoHyphens w:val="0"/>
              <w:autoSpaceDE/>
              <w:autoSpaceDN/>
              <w:adjustRightInd/>
              <w:spacing w:line="240" w:lineRule="auto"/>
              <w:jc w:val="center"/>
              <w:textAlignment w:val="auto"/>
              <w:outlineLvl w:val="0"/>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n-GB"/>
              </w:rPr>
            </w:pPr>
            <w:r w:rsidRPr="00397FF0">
              <w:rPr>
                <w:rFonts w:eastAsia="Times New Roman" w:cs="Times New Roman"/>
                <w:sz w:val="20"/>
                <w:szCs w:val="20"/>
                <w:lang w:eastAsia="en-GB"/>
              </w:rPr>
              <w:t>1</w:t>
            </w:r>
          </w:p>
        </w:tc>
      </w:tr>
      <w:tr w:rsidR="003E432E" w:rsidRPr="00397FF0" w14:paraId="7107F5F4" w14:textId="77777777" w:rsidTr="0029789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0" w:type="auto"/>
            <w:noWrap/>
            <w:hideMark/>
          </w:tcPr>
          <w:p w14:paraId="21DBDCF8" w14:textId="77777777" w:rsidR="003E432E" w:rsidRPr="00397FF0" w:rsidRDefault="003E432E" w:rsidP="00297895">
            <w:pPr>
              <w:tabs>
                <w:tab w:val="clear" w:pos="280"/>
                <w:tab w:val="clear" w:pos="4800"/>
                <w:tab w:val="clear" w:pos="5780"/>
              </w:tabs>
              <w:suppressAutoHyphens w:val="0"/>
              <w:autoSpaceDE/>
              <w:autoSpaceDN/>
              <w:adjustRightInd/>
              <w:spacing w:line="240" w:lineRule="auto"/>
              <w:jc w:val="left"/>
              <w:textAlignment w:val="auto"/>
              <w:outlineLvl w:val="0"/>
              <w:rPr>
                <w:rFonts w:eastAsia="Times New Roman" w:cs="Times New Roman"/>
                <w:sz w:val="20"/>
                <w:szCs w:val="20"/>
                <w:lang w:eastAsia="en-GB"/>
              </w:rPr>
            </w:pPr>
            <w:r w:rsidRPr="00397FF0">
              <w:rPr>
                <w:rFonts w:eastAsia="Times New Roman" w:cs="Times New Roman"/>
                <w:sz w:val="20"/>
                <w:szCs w:val="20"/>
                <w:lang w:eastAsia="en-GB"/>
              </w:rPr>
              <w:t>Bhutan</w:t>
            </w:r>
          </w:p>
        </w:tc>
        <w:tc>
          <w:tcPr>
            <w:tcW w:w="0" w:type="auto"/>
          </w:tcPr>
          <w:p w14:paraId="6F019D45" w14:textId="1CB8DD8C" w:rsidR="003E432E" w:rsidRPr="00397FF0" w:rsidRDefault="003E432E" w:rsidP="00297895">
            <w:pPr>
              <w:tabs>
                <w:tab w:val="clear" w:pos="280"/>
                <w:tab w:val="clear" w:pos="4800"/>
                <w:tab w:val="clear" w:pos="5780"/>
              </w:tabs>
              <w:suppressAutoHyphens w:val="0"/>
              <w:autoSpaceDE/>
              <w:autoSpaceDN/>
              <w:adjustRightInd/>
              <w:spacing w:line="240" w:lineRule="auto"/>
              <w:jc w:val="center"/>
              <w:textAlignment w:val="auto"/>
              <w:outlineLvl w:val="0"/>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GB"/>
              </w:rPr>
            </w:pPr>
            <w:r>
              <w:rPr>
                <w:rFonts w:eastAsia="Times New Roman" w:cs="Times New Roman"/>
                <w:sz w:val="20"/>
                <w:szCs w:val="20"/>
                <w:lang w:eastAsia="en-GB"/>
              </w:rPr>
              <w:t>Non-core</w:t>
            </w:r>
          </w:p>
        </w:tc>
        <w:tc>
          <w:tcPr>
            <w:tcW w:w="0" w:type="auto"/>
            <w:noWrap/>
            <w:hideMark/>
          </w:tcPr>
          <w:p w14:paraId="0AB8DD21" w14:textId="0A801711" w:rsidR="003E432E" w:rsidRPr="00397FF0" w:rsidRDefault="003E432E" w:rsidP="00297895">
            <w:pPr>
              <w:tabs>
                <w:tab w:val="clear" w:pos="280"/>
                <w:tab w:val="clear" w:pos="4800"/>
                <w:tab w:val="clear" w:pos="5780"/>
              </w:tabs>
              <w:suppressAutoHyphens w:val="0"/>
              <w:autoSpaceDE/>
              <w:autoSpaceDN/>
              <w:adjustRightInd/>
              <w:spacing w:line="240" w:lineRule="auto"/>
              <w:jc w:val="center"/>
              <w:textAlignment w:val="auto"/>
              <w:outlineLvl w:val="0"/>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GB"/>
              </w:rPr>
            </w:pPr>
            <w:r w:rsidRPr="00397FF0">
              <w:rPr>
                <w:rFonts w:eastAsia="Times New Roman" w:cs="Times New Roman"/>
                <w:sz w:val="20"/>
                <w:szCs w:val="20"/>
                <w:lang w:eastAsia="en-GB"/>
              </w:rPr>
              <w:t>1</w:t>
            </w:r>
          </w:p>
        </w:tc>
      </w:tr>
      <w:tr w:rsidR="003E432E" w:rsidRPr="00397FF0" w14:paraId="278BEFF2" w14:textId="77777777" w:rsidTr="00297895">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0" w:type="auto"/>
            <w:noWrap/>
            <w:hideMark/>
          </w:tcPr>
          <w:p w14:paraId="59738FF8" w14:textId="77777777" w:rsidR="003E432E" w:rsidRPr="00397FF0" w:rsidRDefault="003E432E" w:rsidP="00297895">
            <w:pPr>
              <w:tabs>
                <w:tab w:val="clear" w:pos="280"/>
                <w:tab w:val="clear" w:pos="4800"/>
                <w:tab w:val="clear" w:pos="5780"/>
              </w:tabs>
              <w:suppressAutoHyphens w:val="0"/>
              <w:autoSpaceDE/>
              <w:autoSpaceDN/>
              <w:adjustRightInd/>
              <w:spacing w:line="240" w:lineRule="auto"/>
              <w:jc w:val="left"/>
              <w:textAlignment w:val="auto"/>
              <w:outlineLvl w:val="0"/>
              <w:rPr>
                <w:rFonts w:eastAsia="Times New Roman" w:cs="Times New Roman"/>
                <w:sz w:val="20"/>
                <w:szCs w:val="20"/>
                <w:lang w:eastAsia="en-GB"/>
              </w:rPr>
            </w:pPr>
            <w:r w:rsidRPr="00397FF0">
              <w:rPr>
                <w:rFonts w:eastAsia="Times New Roman" w:cs="Times New Roman"/>
                <w:sz w:val="20"/>
                <w:szCs w:val="20"/>
                <w:lang w:eastAsia="en-GB"/>
              </w:rPr>
              <w:t>Germany</w:t>
            </w:r>
          </w:p>
        </w:tc>
        <w:tc>
          <w:tcPr>
            <w:tcW w:w="0" w:type="auto"/>
          </w:tcPr>
          <w:p w14:paraId="667DBF3E" w14:textId="1752C47E" w:rsidR="003E432E" w:rsidRPr="00397FF0" w:rsidRDefault="003E432E" w:rsidP="00297895">
            <w:pPr>
              <w:tabs>
                <w:tab w:val="clear" w:pos="280"/>
                <w:tab w:val="clear" w:pos="4800"/>
                <w:tab w:val="clear" w:pos="5780"/>
              </w:tabs>
              <w:suppressAutoHyphens w:val="0"/>
              <w:autoSpaceDE/>
              <w:autoSpaceDN/>
              <w:adjustRightInd/>
              <w:spacing w:line="240" w:lineRule="auto"/>
              <w:jc w:val="center"/>
              <w:textAlignment w:val="auto"/>
              <w:outlineLvl w:val="0"/>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n-GB"/>
              </w:rPr>
            </w:pPr>
            <w:r>
              <w:rPr>
                <w:rFonts w:eastAsia="Times New Roman" w:cs="Times New Roman"/>
                <w:sz w:val="20"/>
                <w:szCs w:val="20"/>
                <w:lang w:eastAsia="en-GB"/>
              </w:rPr>
              <w:t>Non-core</w:t>
            </w:r>
          </w:p>
        </w:tc>
        <w:tc>
          <w:tcPr>
            <w:tcW w:w="0" w:type="auto"/>
            <w:noWrap/>
            <w:hideMark/>
          </w:tcPr>
          <w:p w14:paraId="41670086" w14:textId="2BFB65D1" w:rsidR="003E432E" w:rsidRPr="00397FF0" w:rsidRDefault="003E432E" w:rsidP="00297895">
            <w:pPr>
              <w:tabs>
                <w:tab w:val="clear" w:pos="280"/>
                <w:tab w:val="clear" w:pos="4800"/>
                <w:tab w:val="clear" w:pos="5780"/>
              </w:tabs>
              <w:suppressAutoHyphens w:val="0"/>
              <w:autoSpaceDE/>
              <w:autoSpaceDN/>
              <w:adjustRightInd/>
              <w:spacing w:line="240" w:lineRule="auto"/>
              <w:jc w:val="center"/>
              <w:textAlignment w:val="auto"/>
              <w:outlineLvl w:val="0"/>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n-GB"/>
              </w:rPr>
            </w:pPr>
            <w:r w:rsidRPr="00397FF0">
              <w:rPr>
                <w:rFonts w:eastAsia="Times New Roman" w:cs="Times New Roman"/>
                <w:sz w:val="20"/>
                <w:szCs w:val="20"/>
                <w:lang w:eastAsia="en-GB"/>
              </w:rPr>
              <w:t>1</w:t>
            </w:r>
          </w:p>
        </w:tc>
      </w:tr>
      <w:tr w:rsidR="003E432E" w:rsidRPr="00397FF0" w14:paraId="0089C00E" w14:textId="77777777" w:rsidTr="0029789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0" w:type="auto"/>
            <w:noWrap/>
            <w:hideMark/>
          </w:tcPr>
          <w:p w14:paraId="3E80D388" w14:textId="77777777" w:rsidR="003E432E" w:rsidRPr="00397FF0" w:rsidRDefault="003E432E" w:rsidP="00297895">
            <w:pPr>
              <w:tabs>
                <w:tab w:val="clear" w:pos="280"/>
                <w:tab w:val="clear" w:pos="4800"/>
                <w:tab w:val="clear" w:pos="5780"/>
              </w:tabs>
              <w:suppressAutoHyphens w:val="0"/>
              <w:autoSpaceDE/>
              <w:autoSpaceDN/>
              <w:adjustRightInd/>
              <w:spacing w:line="240" w:lineRule="auto"/>
              <w:jc w:val="left"/>
              <w:textAlignment w:val="auto"/>
              <w:outlineLvl w:val="0"/>
              <w:rPr>
                <w:rFonts w:eastAsia="Times New Roman" w:cs="Times New Roman"/>
                <w:sz w:val="20"/>
                <w:szCs w:val="20"/>
                <w:lang w:eastAsia="en-GB"/>
              </w:rPr>
            </w:pPr>
            <w:r w:rsidRPr="00397FF0">
              <w:rPr>
                <w:rFonts w:eastAsia="Times New Roman" w:cs="Times New Roman"/>
                <w:sz w:val="20"/>
                <w:szCs w:val="20"/>
                <w:lang w:eastAsia="en-GB"/>
              </w:rPr>
              <w:t>Indonesia</w:t>
            </w:r>
          </w:p>
        </w:tc>
        <w:tc>
          <w:tcPr>
            <w:tcW w:w="0" w:type="auto"/>
          </w:tcPr>
          <w:p w14:paraId="0C809DD9" w14:textId="5D48DFA7" w:rsidR="003E432E" w:rsidRDefault="003E432E" w:rsidP="00297895">
            <w:pPr>
              <w:tabs>
                <w:tab w:val="clear" w:pos="280"/>
                <w:tab w:val="clear" w:pos="4800"/>
                <w:tab w:val="clear" w:pos="5780"/>
              </w:tabs>
              <w:suppressAutoHyphens w:val="0"/>
              <w:autoSpaceDE/>
              <w:autoSpaceDN/>
              <w:adjustRightInd/>
              <w:spacing w:line="240" w:lineRule="auto"/>
              <w:jc w:val="center"/>
              <w:textAlignment w:val="auto"/>
              <w:outlineLvl w:val="0"/>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GB"/>
              </w:rPr>
            </w:pPr>
            <w:r>
              <w:rPr>
                <w:rFonts w:eastAsia="Times New Roman" w:cs="Times New Roman"/>
                <w:sz w:val="20"/>
                <w:szCs w:val="20"/>
                <w:lang w:eastAsia="en-GB"/>
              </w:rPr>
              <w:t>Non-core</w:t>
            </w:r>
          </w:p>
        </w:tc>
        <w:tc>
          <w:tcPr>
            <w:tcW w:w="0" w:type="auto"/>
            <w:noWrap/>
            <w:hideMark/>
          </w:tcPr>
          <w:p w14:paraId="6F3FE038" w14:textId="011E8FD5" w:rsidR="003E432E" w:rsidRPr="00397FF0" w:rsidRDefault="003E432E" w:rsidP="00297895">
            <w:pPr>
              <w:tabs>
                <w:tab w:val="clear" w:pos="280"/>
                <w:tab w:val="clear" w:pos="4800"/>
                <w:tab w:val="clear" w:pos="5780"/>
              </w:tabs>
              <w:suppressAutoHyphens w:val="0"/>
              <w:autoSpaceDE/>
              <w:autoSpaceDN/>
              <w:adjustRightInd/>
              <w:spacing w:line="240" w:lineRule="auto"/>
              <w:jc w:val="center"/>
              <w:textAlignment w:val="auto"/>
              <w:outlineLvl w:val="0"/>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GB"/>
              </w:rPr>
            </w:pPr>
            <w:r>
              <w:rPr>
                <w:rFonts w:eastAsia="Times New Roman" w:cs="Times New Roman"/>
                <w:sz w:val="20"/>
                <w:szCs w:val="20"/>
                <w:lang w:eastAsia="en-GB"/>
              </w:rPr>
              <w:t>1</w:t>
            </w:r>
          </w:p>
        </w:tc>
      </w:tr>
      <w:tr w:rsidR="003E432E" w:rsidRPr="00397FF0" w14:paraId="32331B86" w14:textId="66DAA45C" w:rsidTr="00297895">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0" w:type="auto"/>
            <w:noWrap/>
            <w:hideMark/>
          </w:tcPr>
          <w:p w14:paraId="3F99885E" w14:textId="3F4EADE1" w:rsidR="003E432E" w:rsidRPr="00397FF0" w:rsidRDefault="003E432E" w:rsidP="00297895">
            <w:pPr>
              <w:tabs>
                <w:tab w:val="clear" w:pos="280"/>
                <w:tab w:val="clear" w:pos="4800"/>
                <w:tab w:val="clear" w:pos="5780"/>
              </w:tabs>
              <w:suppressAutoHyphens w:val="0"/>
              <w:autoSpaceDE/>
              <w:autoSpaceDN/>
              <w:adjustRightInd/>
              <w:spacing w:line="240" w:lineRule="auto"/>
              <w:jc w:val="left"/>
              <w:textAlignment w:val="auto"/>
              <w:outlineLvl w:val="0"/>
              <w:rPr>
                <w:rFonts w:eastAsia="Times New Roman" w:cs="Times New Roman"/>
                <w:sz w:val="20"/>
                <w:szCs w:val="20"/>
                <w:lang w:eastAsia="en-GB"/>
              </w:rPr>
            </w:pPr>
            <w:r w:rsidRPr="00397FF0">
              <w:rPr>
                <w:rFonts w:eastAsia="Times New Roman" w:cs="Times New Roman"/>
                <w:sz w:val="20"/>
                <w:szCs w:val="20"/>
                <w:lang w:eastAsia="en-GB"/>
              </w:rPr>
              <w:t>Ireland</w:t>
            </w:r>
          </w:p>
        </w:tc>
        <w:tc>
          <w:tcPr>
            <w:tcW w:w="0" w:type="auto"/>
          </w:tcPr>
          <w:p w14:paraId="17DCFAD5" w14:textId="487171EC" w:rsidR="003E432E" w:rsidRDefault="003E432E" w:rsidP="00297895">
            <w:pPr>
              <w:tabs>
                <w:tab w:val="clear" w:pos="280"/>
                <w:tab w:val="clear" w:pos="4800"/>
                <w:tab w:val="clear" w:pos="5780"/>
              </w:tabs>
              <w:suppressAutoHyphens w:val="0"/>
              <w:autoSpaceDE/>
              <w:autoSpaceDN/>
              <w:adjustRightInd/>
              <w:spacing w:line="240" w:lineRule="auto"/>
              <w:jc w:val="center"/>
              <w:textAlignment w:val="auto"/>
              <w:outlineLvl w:val="0"/>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n-GB"/>
              </w:rPr>
            </w:pPr>
            <w:r>
              <w:rPr>
                <w:rFonts w:eastAsia="Times New Roman" w:cs="Times New Roman"/>
                <w:sz w:val="20"/>
                <w:szCs w:val="20"/>
                <w:lang w:eastAsia="en-GB"/>
              </w:rPr>
              <w:t>Non-core</w:t>
            </w:r>
          </w:p>
        </w:tc>
        <w:tc>
          <w:tcPr>
            <w:tcW w:w="0" w:type="auto"/>
            <w:noWrap/>
            <w:hideMark/>
          </w:tcPr>
          <w:p w14:paraId="0011493B" w14:textId="11F1085D" w:rsidR="003E432E" w:rsidRPr="00397FF0" w:rsidRDefault="003E432E" w:rsidP="00297895">
            <w:pPr>
              <w:tabs>
                <w:tab w:val="clear" w:pos="280"/>
                <w:tab w:val="clear" w:pos="4800"/>
                <w:tab w:val="clear" w:pos="5780"/>
              </w:tabs>
              <w:suppressAutoHyphens w:val="0"/>
              <w:autoSpaceDE/>
              <w:autoSpaceDN/>
              <w:adjustRightInd/>
              <w:spacing w:line="240" w:lineRule="auto"/>
              <w:jc w:val="center"/>
              <w:textAlignment w:val="auto"/>
              <w:outlineLvl w:val="0"/>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n-GB"/>
              </w:rPr>
            </w:pPr>
            <w:r>
              <w:rPr>
                <w:rFonts w:eastAsia="Times New Roman" w:cs="Times New Roman"/>
                <w:sz w:val="20"/>
                <w:szCs w:val="20"/>
                <w:lang w:eastAsia="en-GB"/>
              </w:rPr>
              <w:t>1</w:t>
            </w:r>
          </w:p>
        </w:tc>
      </w:tr>
      <w:tr w:rsidR="003E432E" w:rsidRPr="00397FF0" w14:paraId="3FE54B31" w14:textId="77777777" w:rsidTr="0029789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0" w:type="auto"/>
            <w:noWrap/>
            <w:hideMark/>
          </w:tcPr>
          <w:p w14:paraId="6DB3BB45" w14:textId="77777777" w:rsidR="003E432E" w:rsidRPr="00397FF0" w:rsidRDefault="003E432E" w:rsidP="00297895">
            <w:pPr>
              <w:tabs>
                <w:tab w:val="clear" w:pos="280"/>
                <w:tab w:val="clear" w:pos="4800"/>
                <w:tab w:val="clear" w:pos="5780"/>
              </w:tabs>
              <w:suppressAutoHyphens w:val="0"/>
              <w:autoSpaceDE/>
              <w:autoSpaceDN/>
              <w:adjustRightInd/>
              <w:spacing w:line="240" w:lineRule="auto"/>
              <w:jc w:val="left"/>
              <w:textAlignment w:val="auto"/>
              <w:outlineLvl w:val="0"/>
              <w:rPr>
                <w:rFonts w:eastAsia="Times New Roman" w:cs="Times New Roman"/>
                <w:sz w:val="20"/>
                <w:szCs w:val="20"/>
                <w:lang w:eastAsia="en-GB"/>
              </w:rPr>
            </w:pPr>
            <w:r w:rsidRPr="00397FF0">
              <w:rPr>
                <w:rFonts w:eastAsia="Times New Roman" w:cs="Times New Roman"/>
                <w:sz w:val="20"/>
                <w:szCs w:val="20"/>
                <w:lang w:eastAsia="en-GB"/>
              </w:rPr>
              <w:t>Kenya</w:t>
            </w:r>
          </w:p>
        </w:tc>
        <w:tc>
          <w:tcPr>
            <w:tcW w:w="0" w:type="auto"/>
          </w:tcPr>
          <w:p w14:paraId="049B08B0" w14:textId="038C7D70" w:rsidR="003E432E" w:rsidRPr="00397FF0" w:rsidRDefault="003E432E" w:rsidP="00297895">
            <w:pPr>
              <w:tabs>
                <w:tab w:val="clear" w:pos="280"/>
                <w:tab w:val="clear" w:pos="4800"/>
                <w:tab w:val="clear" w:pos="5780"/>
              </w:tabs>
              <w:suppressAutoHyphens w:val="0"/>
              <w:autoSpaceDE/>
              <w:autoSpaceDN/>
              <w:adjustRightInd/>
              <w:spacing w:line="240" w:lineRule="auto"/>
              <w:jc w:val="center"/>
              <w:textAlignment w:val="auto"/>
              <w:outlineLvl w:val="0"/>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GB"/>
              </w:rPr>
            </w:pPr>
            <w:r>
              <w:rPr>
                <w:rFonts w:eastAsia="Times New Roman" w:cs="Times New Roman"/>
                <w:sz w:val="20"/>
                <w:szCs w:val="20"/>
                <w:lang w:eastAsia="en-GB"/>
              </w:rPr>
              <w:t>Non-core</w:t>
            </w:r>
          </w:p>
        </w:tc>
        <w:tc>
          <w:tcPr>
            <w:tcW w:w="0" w:type="auto"/>
            <w:noWrap/>
            <w:hideMark/>
          </w:tcPr>
          <w:p w14:paraId="23243A82" w14:textId="138F8982" w:rsidR="003E432E" w:rsidRPr="00397FF0" w:rsidRDefault="003E432E" w:rsidP="00297895">
            <w:pPr>
              <w:tabs>
                <w:tab w:val="clear" w:pos="280"/>
                <w:tab w:val="clear" w:pos="4800"/>
                <w:tab w:val="clear" w:pos="5780"/>
              </w:tabs>
              <w:suppressAutoHyphens w:val="0"/>
              <w:autoSpaceDE/>
              <w:autoSpaceDN/>
              <w:adjustRightInd/>
              <w:spacing w:line="240" w:lineRule="auto"/>
              <w:jc w:val="center"/>
              <w:textAlignment w:val="auto"/>
              <w:outlineLvl w:val="0"/>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GB"/>
              </w:rPr>
            </w:pPr>
            <w:r w:rsidRPr="00397FF0">
              <w:rPr>
                <w:rFonts w:eastAsia="Times New Roman" w:cs="Times New Roman"/>
                <w:sz w:val="20"/>
                <w:szCs w:val="20"/>
                <w:lang w:eastAsia="en-GB"/>
              </w:rPr>
              <w:t>1</w:t>
            </w:r>
          </w:p>
        </w:tc>
      </w:tr>
      <w:tr w:rsidR="003E432E" w:rsidRPr="00397FF0" w14:paraId="0AA5AF9A" w14:textId="77777777" w:rsidTr="00297895">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0" w:type="auto"/>
            <w:noWrap/>
            <w:hideMark/>
          </w:tcPr>
          <w:p w14:paraId="77FC554F" w14:textId="77777777" w:rsidR="003E432E" w:rsidRPr="00397FF0" w:rsidRDefault="003E432E" w:rsidP="00297895">
            <w:pPr>
              <w:tabs>
                <w:tab w:val="clear" w:pos="280"/>
                <w:tab w:val="clear" w:pos="4800"/>
                <w:tab w:val="clear" w:pos="5780"/>
              </w:tabs>
              <w:suppressAutoHyphens w:val="0"/>
              <w:autoSpaceDE/>
              <w:autoSpaceDN/>
              <w:adjustRightInd/>
              <w:spacing w:line="240" w:lineRule="auto"/>
              <w:jc w:val="left"/>
              <w:textAlignment w:val="auto"/>
              <w:outlineLvl w:val="0"/>
              <w:rPr>
                <w:rFonts w:eastAsia="Times New Roman" w:cs="Times New Roman"/>
                <w:sz w:val="20"/>
                <w:szCs w:val="20"/>
                <w:lang w:eastAsia="en-GB"/>
              </w:rPr>
            </w:pPr>
            <w:r w:rsidRPr="00397FF0">
              <w:rPr>
                <w:rFonts w:eastAsia="Times New Roman" w:cs="Times New Roman"/>
                <w:sz w:val="20"/>
                <w:szCs w:val="20"/>
                <w:lang w:eastAsia="en-GB"/>
              </w:rPr>
              <w:t>Poland</w:t>
            </w:r>
          </w:p>
        </w:tc>
        <w:tc>
          <w:tcPr>
            <w:tcW w:w="0" w:type="auto"/>
          </w:tcPr>
          <w:p w14:paraId="4DB99A96" w14:textId="3FB4D67A" w:rsidR="003E432E" w:rsidRPr="00397FF0" w:rsidRDefault="003E432E" w:rsidP="00297895">
            <w:pPr>
              <w:tabs>
                <w:tab w:val="clear" w:pos="280"/>
                <w:tab w:val="clear" w:pos="4800"/>
                <w:tab w:val="clear" w:pos="5780"/>
              </w:tabs>
              <w:suppressAutoHyphens w:val="0"/>
              <w:autoSpaceDE/>
              <w:autoSpaceDN/>
              <w:adjustRightInd/>
              <w:spacing w:line="240" w:lineRule="auto"/>
              <w:jc w:val="center"/>
              <w:textAlignment w:val="auto"/>
              <w:outlineLvl w:val="0"/>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n-GB"/>
              </w:rPr>
            </w:pPr>
            <w:r>
              <w:rPr>
                <w:rFonts w:eastAsia="Times New Roman" w:cs="Times New Roman"/>
                <w:sz w:val="20"/>
                <w:szCs w:val="20"/>
                <w:lang w:eastAsia="en-GB"/>
              </w:rPr>
              <w:t>Non-core</w:t>
            </w:r>
          </w:p>
        </w:tc>
        <w:tc>
          <w:tcPr>
            <w:tcW w:w="0" w:type="auto"/>
            <w:noWrap/>
            <w:hideMark/>
          </w:tcPr>
          <w:p w14:paraId="2661A28D" w14:textId="4AA8EDDA" w:rsidR="003E432E" w:rsidRPr="00397FF0" w:rsidRDefault="003E432E" w:rsidP="00297895">
            <w:pPr>
              <w:tabs>
                <w:tab w:val="clear" w:pos="280"/>
                <w:tab w:val="clear" w:pos="4800"/>
                <w:tab w:val="clear" w:pos="5780"/>
              </w:tabs>
              <w:suppressAutoHyphens w:val="0"/>
              <w:autoSpaceDE/>
              <w:autoSpaceDN/>
              <w:adjustRightInd/>
              <w:spacing w:line="240" w:lineRule="auto"/>
              <w:jc w:val="center"/>
              <w:textAlignment w:val="auto"/>
              <w:outlineLvl w:val="0"/>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n-GB"/>
              </w:rPr>
            </w:pPr>
            <w:r w:rsidRPr="00397FF0">
              <w:rPr>
                <w:rFonts w:eastAsia="Times New Roman" w:cs="Times New Roman"/>
                <w:sz w:val="20"/>
                <w:szCs w:val="20"/>
                <w:lang w:eastAsia="en-GB"/>
              </w:rPr>
              <w:t>1</w:t>
            </w:r>
          </w:p>
        </w:tc>
      </w:tr>
      <w:tr w:rsidR="003E432E" w:rsidRPr="00397FF0" w14:paraId="05023F89" w14:textId="77777777" w:rsidTr="0029789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0" w:type="auto"/>
            <w:noWrap/>
            <w:hideMark/>
          </w:tcPr>
          <w:p w14:paraId="114E5927" w14:textId="77777777" w:rsidR="003E432E" w:rsidRPr="00397FF0" w:rsidRDefault="003E432E" w:rsidP="00297895">
            <w:pPr>
              <w:tabs>
                <w:tab w:val="clear" w:pos="280"/>
                <w:tab w:val="clear" w:pos="4800"/>
                <w:tab w:val="clear" w:pos="5780"/>
              </w:tabs>
              <w:suppressAutoHyphens w:val="0"/>
              <w:autoSpaceDE/>
              <w:autoSpaceDN/>
              <w:adjustRightInd/>
              <w:spacing w:line="240" w:lineRule="auto"/>
              <w:jc w:val="left"/>
              <w:textAlignment w:val="auto"/>
              <w:outlineLvl w:val="0"/>
              <w:rPr>
                <w:rFonts w:eastAsia="Times New Roman" w:cs="Times New Roman"/>
                <w:sz w:val="20"/>
                <w:szCs w:val="20"/>
                <w:lang w:eastAsia="en-GB"/>
              </w:rPr>
            </w:pPr>
            <w:r w:rsidRPr="00397FF0">
              <w:rPr>
                <w:rFonts w:eastAsia="Times New Roman" w:cs="Times New Roman"/>
                <w:sz w:val="20"/>
                <w:szCs w:val="20"/>
                <w:lang w:eastAsia="en-GB"/>
              </w:rPr>
              <w:t>South Africa</w:t>
            </w:r>
          </w:p>
        </w:tc>
        <w:tc>
          <w:tcPr>
            <w:tcW w:w="0" w:type="auto"/>
          </w:tcPr>
          <w:p w14:paraId="2B4E3FF9" w14:textId="1794E748" w:rsidR="003E432E" w:rsidRPr="00397FF0" w:rsidRDefault="003E432E" w:rsidP="00297895">
            <w:pPr>
              <w:tabs>
                <w:tab w:val="clear" w:pos="280"/>
                <w:tab w:val="clear" w:pos="4800"/>
                <w:tab w:val="clear" w:pos="5780"/>
              </w:tabs>
              <w:suppressAutoHyphens w:val="0"/>
              <w:autoSpaceDE/>
              <w:autoSpaceDN/>
              <w:adjustRightInd/>
              <w:spacing w:line="240" w:lineRule="auto"/>
              <w:jc w:val="center"/>
              <w:textAlignment w:val="auto"/>
              <w:outlineLvl w:val="0"/>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GB"/>
              </w:rPr>
            </w:pPr>
            <w:r>
              <w:rPr>
                <w:rFonts w:eastAsia="Times New Roman" w:cs="Times New Roman"/>
                <w:sz w:val="20"/>
                <w:szCs w:val="20"/>
                <w:lang w:eastAsia="en-GB"/>
              </w:rPr>
              <w:t>Non-core</w:t>
            </w:r>
          </w:p>
        </w:tc>
        <w:tc>
          <w:tcPr>
            <w:tcW w:w="0" w:type="auto"/>
            <w:noWrap/>
            <w:hideMark/>
          </w:tcPr>
          <w:p w14:paraId="05BED51C" w14:textId="646C56E3" w:rsidR="003E432E" w:rsidRPr="00397FF0" w:rsidRDefault="003E432E" w:rsidP="00297895">
            <w:pPr>
              <w:tabs>
                <w:tab w:val="clear" w:pos="280"/>
                <w:tab w:val="clear" w:pos="4800"/>
                <w:tab w:val="clear" w:pos="5780"/>
              </w:tabs>
              <w:suppressAutoHyphens w:val="0"/>
              <w:autoSpaceDE/>
              <w:autoSpaceDN/>
              <w:adjustRightInd/>
              <w:spacing w:line="240" w:lineRule="auto"/>
              <w:jc w:val="center"/>
              <w:textAlignment w:val="auto"/>
              <w:outlineLvl w:val="0"/>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GB"/>
              </w:rPr>
            </w:pPr>
            <w:r w:rsidRPr="00397FF0">
              <w:rPr>
                <w:rFonts w:eastAsia="Times New Roman" w:cs="Times New Roman"/>
                <w:sz w:val="20"/>
                <w:szCs w:val="20"/>
                <w:lang w:eastAsia="en-GB"/>
              </w:rPr>
              <w:t>1</w:t>
            </w:r>
          </w:p>
        </w:tc>
      </w:tr>
      <w:tr w:rsidR="003E432E" w:rsidRPr="00397FF0" w14:paraId="7FEA8993" w14:textId="77777777" w:rsidTr="00297895">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0" w:type="auto"/>
            <w:noWrap/>
            <w:hideMark/>
          </w:tcPr>
          <w:p w14:paraId="424C0C43" w14:textId="77777777" w:rsidR="003E432E" w:rsidRPr="00397FF0" w:rsidRDefault="003E432E" w:rsidP="00297895">
            <w:pPr>
              <w:tabs>
                <w:tab w:val="clear" w:pos="280"/>
                <w:tab w:val="clear" w:pos="4800"/>
                <w:tab w:val="clear" w:pos="5780"/>
              </w:tabs>
              <w:suppressAutoHyphens w:val="0"/>
              <w:autoSpaceDE/>
              <w:autoSpaceDN/>
              <w:adjustRightInd/>
              <w:spacing w:line="240" w:lineRule="auto"/>
              <w:jc w:val="left"/>
              <w:textAlignment w:val="auto"/>
              <w:outlineLvl w:val="0"/>
              <w:rPr>
                <w:rFonts w:eastAsia="Times New Roman" w:cs="Times New Roman"/>
                <w:sz w:val="20"/>
                <w:szCs w:val="20"/>
                <w:lang w:eastAsia="en-GB"/>
              </w:rPr>
            </w:pPr>
            <w:r w:rsidRPr="00397FF0">
              <w:rPr>
                <w:rFonts w:eastAsia="Times New Roman" w:cs="Times New Roman"/>
                <w:sz w:val="20"/>
                <w:szCs w:val="20"/>
                <w:lang w:eastAsia="en-GB"/>
              </w:rPr>
              <w:t>South Sudan</w:t>
            </w:r>
          </w:p>
        </w:tc>
        <w:tc>
          <w:tcPr>
            <w:tcW w:w="0" w:type="auto"/>
          </w:tcPr>
          <w:p w14:paraId="302D4013" w14:textId="46796A48" w:rsidR="003E432E" w:rsidRPr="00397FF0" w:rsidRDefault="003E432E" w:rsidP="00297895">
            <w:pPr>
              <w:tabs>
                <w:tab w:val="clear" w:pos="280"/>
                <w:tab w:val="clear" w:pos="4800"/>
                <w:tab w:val="clear" w:pos="5780"/>
              </w:tabs>
              <w:suppressAutoHyphens w:val="0"/>
              <w:autoSpaceDE/>
              <w:autoSpaceDN/>
              <w:adjustRightInd/>
              <w:spacing w:line="240" w:lineRule="auto"/>
              <w:jc w:val="center"/>
              <w:textAlignment w:val="auto"/>
              <w:outlineLvl w:val="0"/>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n-GB"/>
              </w:rPr>
            </w:pPr>
            <w:r>
              <w:rPr>
                <w:rFonts w:eastAsia="Times New Roman" w:cs="Times New Roman"/>
                <w:sz w:val="20"/>
                <w:szCs w:val="20"/>
                <w:lang w:eastAsia="en-GB"/>
              </w:rPr>
              <w:t>Non-core</w:t>
            </w:r>
          </w:p>
        </w:tc>
        <w:tc>
          <w:tcPr>
            <w:tcW w:w="0" w:type="auto"/>
            <w:noWrap/>
            <w:hideMark/>
          </w:tcPr>
          <w:p w14:paraId="7A7F4798" w14:textId="73F8F072" w:rsidR="003E432E" w:rsidRPr="00397FF0" w:rsidRDefault="003E432E" w:rsidP="00297895">
            <w:pPr>
              <w:tabs>
                <w:tab w:val="clear" w:pos="280"/>
                <w:tab w:val="clear" w:pos="4800"/>
                <w:tab w:val="clear" w:pos="5780"/>
              </w:tabs>
              <w:suppressAutoHyphens w:val="0"/>
              <w:autoSpaceDE/>
              <w:autoSpaceDN/>
              <w:adjustRightInd/>
              <w:spacing w:line="240" w:lineRule="auto"/>
              <w:jc w:val="center"/>
              <w:textAlignment w:val="auto"/>
              <w:outlineLvl w:val="0"/>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n-GB"/>
              </w:rPr>
            </w:pPr>
            <w:r w:rsidRPr="00397FF0">
              <w:rPr>
                <w:rFonts w:eastAsia="Times New Roman" w:cs="Times New Roman"/>
                <w:sz w:val="20"/>
                <w:szCs w:val="20"/>
                <w:lang w:eastAsia="en-GB"/>
              </w:rPr>
              <w:t>1</w:t>
            </w:r>
          </w:p>
        </w:tc>
      </w:tr>
      <w:tr w:rsidR="003E432E" w:rsidRPr="00397FF0" w14:paraId="4046C98B" w14:textId="77777777" w:rsidTr="0029789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0" w:type="auto"/>
            <w:noWrap/>
            <w:hideMark/>
          </w:tcPr>
          <w:p w14:paraId="63ACDA3D" w14:textId="77777777" w:rsidR="003E432E" w:rsidRPr="00397FF0" w:rsidRDefault="003E432E" w:rsidP="00297895">
            <w:pPr>
              <w:tabs>
                <w:tab w:val="clear" w:pos="280"/>
                <w:tab w:val="clear" w:pos="4800"/>
                <w:tab w:val="clear" w:pos="5780"/>
              </w:tabs>
              <w:suppressAutoHyphens w:val="0"/>
              <w:autoSpaceDE/>
              <w:autoSpaceDN/>
              <w:adjustRightInd/>
              <w:spacing w:line="240" w:lineRule="auto"/>
              <w:jc w:val="left"/>
              <w:textAlignment w:val="auto"/>
              <w:outlineLvl w:val="0"/>
              <w:rPr>
                <w:rFonts w:eastAsia="Times New Roman" w:cs="Times New Roman"/>
                <w:sz w:val="20"/>
                <w:szCs w:val="20"/>
                <w:lang w:eastAsia="en-GB"/>
              </w:rPr>
            </w:pPr>
            <w:r w:rsidRPr="00397FF0">
              <w:rPr>
                <w:rFonts w:eastAsia="Times New Roman" w:cs="Times New Roman"/>
                <w:sz w:val="20"/>
                <w:szCs w:val="20"/>
                <w:lang w:eastAsia="en-GB"/>
              </w:rPr>
              <w:t>United Arab Emirates</w:t>
            </w:r>
          </w:p>
        </w:tc>
        <w:tc>
          <w:tcPr>
            <w:tcW w:w="0" w:type="auto"/>
          </w:tcPr>
          <w:p w14:paraId="3C501FE4" w14:textId="3AEF1DAE" w:rsidR="003E432E" w:rsidRPr="00397FF0" w:rsidRDefault="003E432E" w:rsidP="00297895">
            <w:pPr>
              <w:tabs>
                <w:tab w:val="clear" w:pos="280"/>
                <w:tab w:val="clear" w:pos="4800"/>
                <w:tab w:val="clear" w:pos="5780"/>
              </w:tabs>
              <w:suppressAutoHyphens w:val="0"/>
              <w:autoSpaceDE/>
              <w:autoSpaceDN/>
              <w:adjustRightInd/>
              <w:spacing w:line="240" w:lineRule="auto"/>
              <w:jc w:val="center"/>
              <w:textAlignment w:val="auto"/>
              <w:outlineLvl w:val="0"/>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GB"/>
              </w:rPr>
            </w:pPr>
            <w:r>
              <w:rPr>
                <w:rFonts w:eastAsia="Times New Roman" w:cs="Times New Roman"/>
                <w:sz w:val="20"/>
                <w:szCs w:val="20"/>
                <w:lang w:eastAsia="en-GB"/>
              </w:rPr>
              <w:t>Non-core</w:t>
            </w:r>
          </w:p>
        </w:tc>
        <w:tc>
          <w:tcPr>
            <w:tcW w:w="0" w:type="auto"/>
            <w:noWrap/>
            <w:hideMark/>
          </w:tcPr>
          <w:p w14:paraId="793D5084" w14:textId="52FFD9B7" w:rsidR="003E432E" w:rsidRPr="00397FF0" w:rsidRDefault="003E432E" w:rsidP="00297895">
            <w:pPr>
              <w:tabs>
                <w:tab w:val="clear" w:pos="280"/>
                <w:tab w:val="clear" w:pos="4800"/>
                <w:tab w:val="clear" w:pos="5780"/>
              </w:tabs>
              <w:suppressAutoHyphens w:val="0"/>
              <w:autoSpaceDE/>
              <w:autoSpaceDN/>
              <w:adjustRightInd/>
              <w:spacing w:line="240" w:lineRule="auto"/>
              <w:jc w:val="center"/>
              <w:textAlignment w:val="auto"/>
              <w:outlineLvl w:val="0"/>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GB"/>
              </w:rPr>
            </w:pPr>
            <w:r w:rsidRPr="00397FF0">
              <w:rPr>
                <w:rFonts w:eastAsia="Times New Roman" w:cs="Times New Roman"/>
                <w:sz w:val="20"/>
                <w:szCs w:val="20"/>
                <w:lang w:eastAsia="en-GB"/>
              </w:rPr>
              <w:t>1</w:t>
            </w:r>
          </w:p>
        </w:tc>
      </w:tr>
      <w:tr w:rsidR="003E432E" w:rsidRPr="00397FF0" w14:paraId="13E8A8B5" w14:textId="77777777" w:rsidTr="00297895">
        <w:trPr>
          <w:cnfStyle w:val="010000000000" w:firstRow="0" w:lastRow="1"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0" w:type="auto"/>
            <w:noWrap/>
          </w:tcPr>
          <w:p w14:paraId="2C3E7AEF" w14:textId="5F9CD815" w:rsidR="003E432E" w:rsidRPr="00397FF0" w:rsidRDefault="003E432E" w:rsidP="00297895">
            <w:pPr>
              <w:tabs>
                <w:tab w:val="clear" w:pos="280"/>
                <w:tab w:val="clear" w:pos="4800"/>
                <w:tab w:val="clear" w:pos="5780"/>
              </w:tabs>
              <w:suppressAutoHyphens w:val="0"/>
              <w:autoSpaceDE/>
              <w:autoSpaceDN/>
              <w:adjustRightInd/>
              <w:spacing w:line="240" w:lineRule="auto"/>
              <w:jc w:val="left"/>
              <w:textAlignment w:val="auto"/>
              <w:outlineLvl w:val="0"/>
              <w:rPr>
                <w:rFonts w:eastAsia="Times New Roman" w:cs="Times New Roman"/>
                <w:sz w:val="20"/>
                <w:szCs w:val="20"/>
                <w:lang w:eastAsia="en-GB"/>
              </w:rPr>
            </w:pPr>
            <w:r>
              <w:rPr>
                <w:rFonts w:eastAsia="Times New Roman" w:cs="Times New Roman"/>
                <w:sz w:val="20"/>
                <w:szCs w:val="20"/>
                <w:lang w:eastAsia="en-GB"/>
              </w:rPr>
              <w:t>Total</w:t>
            </w:r>
          </w:p>
        </w:tc>
        <w:tc>
          <w:tcPr>
            <w:tcW w:w="0" w:type="auto"/>
          </w:tcPr>
          <w:p w14:paraId="17DAC597" w14:textId="77777777" w:rsidR="003E432E" w:rsidRDefault="003E432E" w:rsidP="00297895">
            <w:pPr>
              <w:tabs>
                <w:tab w:val="clear" w:pos="280"/>
                <w:tab w:val="clear" w:pos="4800"/>
                <w:tab w:val="clear" w:pos="5780"/>
              </w:tabs>
              <w:suppressAutoHyphens w:val="0"/>
              <w:autoSpaceDE/>
              <w:autoSpaceDN/>
              <w:adjustRightInd/>
              <w:spacing w:line="240" w:lineRule="auto"/>
              <w:jc w:val="center"/>
              <w:textAlignment w:val="auto"/>
              <w:outlineLvl w:val="0"/>
              <w:cnfStyle w:val="010000000000" w:firstRow="0" w:lastRow="1" w:firstColumn="0" w:lastColumn="0" w:oddVBand="0" w:evenVBand="0" w:oddHBand="0" w:evenHBand="0" w:firstRowFirstColumn="0" w:firstRowLastColumn="0" w:lastRowFirstColumn="0" w:lastRowLastColumn="0"/>
              <w:rPr>
                <w:rFonts w:eastAsia="Times New Roman" w:cs="Times New Roman"/>
                <w:sz w:val="20"/>
                <w:szCs w:val="20"/>
                <w:lang w:eastAsia="en-GB"/>
              </w:rPr>
            </w:pPr>
          </w:p>
        </w:tc>
        <w:tc>
          <w:tcPr>
            <w:tcW w:w="0" w:type="auto"/>
            <w:noWrap/>
          </w:tcPr>
          <w:p w14:paraId="73FEE01D" w14:textId="2FDB6505" w:rsidR="003E432E" w:rsidRPr="00397FF0" w:rsidRDefault="00E80349" w:rsidP="00297895">
            <w:pPr>
              <w:tabs>
                <w:tab w:val="clear" w:pos="280"/>
                <w:tab w:val="clear" w:pos="4800"/>
                <w:tab w:val="clear" w:pos="5780"/>
              </w:tabs>
              <w:suppressAutoHyphens w:val="0"/>
              <w:autoSpaceDE/>
              <w:autoSpaceDN/>
              <w:adjustRightInd/>
              <w:spacing w:line="240" w:lineRule="auto"/>
              <w:jc w:val="center"/>
              <w:textAlignment w:val="auto"/>
              <w:outlineLvl w:val="0"/>
              <w:cnfStyle w:val="010000000000" w:firstRow="0" w:lastRow="1" w:firstColumn="0" w:lastColumn="0" w:oddVBand="0" w:evenVBand="0" w:oddHBand="0" w:evenHBand="0" w:firstRowFirstColumn="0" w:firstRowLastColumn="0" w:lastRowFirstColumn="0" w:lastRowLastColumn="0"/>
              <w:rPr>
                <w:rFonts w:eastAsia="Times New Roman" w:cs="Times New Roman"/>
                <w:sz w:val="20"/>
                <w:szCs w:val="20"/>
                <w:lang w:eastAsia="en-GB"/>
              </w:rPr>
            </w:pPr>
            <w:r>
              <w:rPr>
                <w:rFonts w:eastAsia="Times New Roman" w:cs="Times New Roman"/>
                <w:sz w:val="20"/>
                <w:szCs w:val="20"/>
                <w:lang w:eastAsia="en-GB"/>
              </w:rPr>
              <w:t>29</w:t>
            </w:r>
          </w:p>
        </w:tc>
      </w:tr>
    </w:tbl>
    <w:p w14:paraId="67A49224" w14:textId="77777777" w:rsidR="00397FF0" w:rsidRPr="00D13AF1" w:rsidRDefault="00397FF0" w:rsidP="00397FF0">
      <w:pPr>
        <w:pStyle w:val="BodyEE"/>
      </w:pPr>
    </w:p>
    <w:p w14:paraId="2F874F36" w14:textId="77777777" w:rsidR="00397FF0" w:rsidRPr="00D13AF1" w:rsidRDefault="00397FF0" w:rsidP="00397FF0">
      <w:pPr>
        <w:pStyle w:val="Caption"/>
      </w:pPr>
      <w:r w:rsidRPr="00D13AF1">
        <w:lastRenderedPageBreak/>
        <w:t xml:space="preserve">Figure </w:t>
      </w:r>
      <w:r w:rsidR="00000000">
        <w:fldChar w:fldCharType="begin"/>
      </w:r>
      <w:r w:rsidR="00000000">
        <w:instrText xml:space="preserve"> STYLEREF 1 \s </w:instrText>
      </w:r>
      <w:r w:rsidR="00000000">
        <w:fldChar w:fldCharType="separate"/>
      </w:r>
      <w:r w:rsidR="00B51130">
        <w:rPr>
          <w:noProof/>
        </w:rPr>
        <w:t>10</w:t>
      </w:r>
      <w:r w:rsidR="00000000">
        <w:rPr>
          <w:noProof/>
        </w:rPr>
        <w:fldChar w:fldCharType="end"/>
      </w:r>
      <w:r>
        <w:t>.</w:t>
      </w:r>
      <w:r w:rsidR="00000000">
        <w:fldChar w:fldCharType="begin"/>
      </w:r>
      <w:r w:rsidR="00000000">
        <w:instrText xml:space="preserve"> SEQ Figure \* ARABIC \s 1 </w:instrText>
      </w:r>
      <w:r w:rsidR="00000000">
        <w:fldChar w:fldCharType="separate"/>
      </w:r>
      <w:r w:rsidR="00B51130">
        <w:rPr>
          <w:noProof/>
        </w:rPr>
        <w:t>1</w:t>
      </w:r>
      <w:r w:rsidR="00000000">
        <w:rPr>
          <w:noProof/>
        </w:rPr>
        <w:fldChar w:fldCharType="end"/>
      </w:r>
      <w:r w:rsidRPr="00D13AF1">
        <w:t>:</w:t>
      </w:r>
      <w:r>
        <w:t xml:space="preserve"> Geographical coverage of the organisations</w:t>
      </w:r>
    </w:p>
    <w:p w14:paraId="74F6A62D" w14:textId="77777777" w:rsidR="00397FF0" w:rsidRPr="00D13AF1" w:rsidRDefault="00397FF0" w:rsidP="002659CD">
      <w:pPr>
        <w:pStyle w:val="BodyEE"/>
        <w:keepNext/>
      </w:pPr>
      <w:r w:rsidRPr="00D13AF1">
        <w:rPr>
          <w:noProof/>
          <w:lang w:eastAsia="en-GB"/>
        </w:rPr>
        <w:drawing>
          <wp:inline distT="0" distB="0" distL="0" distR="0" wp14:anchorId="32256C07" wp14:editId="2D6D4F3B">
            <wp:extent cx="5724525" cy="3019425"/>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5520B34" w14:textId="3DC52817" w:rsidR="00397FF0" w:rsidRDefault="002659CD" w:rsidP="002659CD">
      <w:pPr>
        <w:pStyle w:val="Tablelastnote"/>
      </w:pPr>
      <w:r>
        <w:t>Note: Sample size: 29.</w:t>
      </w:r>
    </w:p>
    <w:p w14:paraId="20FED594" w14:textId="77777777" w:rsidR="002659CD" w:rsidRPr="00D13AF1" w:rsidRDefault="002659CD" w:rsidP="002659CD">
      <w:pPr>
        <w:pStyle w:val="Tablelastnote"/>
      </w:pPr>
    </w:p>
    <w:p w14:paraId="2784914D" w14:textId="77777777" w:rsidR="00397FF0" w:rsidRPr="00D13AF1" w:rsidRDefault="00397FF0" w:rsidP="00397FF0">
      <w:pPr>
        <w:pStyle w:val="Caption"/>
      </w:pPr>
      <w:r w:rsidRPr="00D13AF1">
        <w:t xml:space="preserve">Figure </w:t>
      </w:r>
      <w:r w:rsidR="00000000">
        <w:fldChar w:fldCharType="begin"/>
      </w:r>
      <w:r w:rsidR="00000000">
        <w:instrText xml:space="preserve"> STYLEREF 1 \s </w:instrText>
      </w:r>
      <w:r w:rsidR="00000000">
        <w:fldChar w:fldCharType="separate"/>
      </w:r>
      <w:r w:rsidR="00B51130">
        <w:rPr>
          <w:noProof/>
        </w:rPr>
        <w:t>10</w:t>
      </w:r>
      <w:r w:rsidR="00000000">
        <w:rPr>
          <w:noProof/>
        </w:rPr>
        <w:fldChar w:fldCharType="end"/>
      </w:r>
      <w:r>
        <w:t>.</w:t>
      </w:r>
      <w:r w:rsidR="00000000">
        <w:fldChar w:fldCharType="begin"/>
      </w:r>
      <w:r w:rsidR="00000000">
        <w:instrText xml:space="preserve"> SEQ Figure \* ARABIC \s 1 </w:instrText>
      </w:r>
      <w:r w:rsidR="00000000">
        <w:fldChar w:fldCharType="separate"/>
      </w:r>
      <w:r w:rsidR="00B51130">
        <w:rPr>
          <w:noProof/>
        </w:rPr>
        <w:t>2</w:t>
      </w:r>
      <w:r w:rsidR="00000000">
        <w:rPr>
          <w:noProof/>
        </w:rPr>
        <w:fldChar w:fldCharType="end"/>
      </w:r>
      <w:r w:rsidRPr="00D13AF1">
        <w:t>:</w:t>
      </w:r>
      <w:r>
        <w:t xml:space="preserve"> Areas of telemedicine-related requirements</w:t>
      </w:r>
    </w:p>
    <w:p w14:paraId="23C6EE6C" w14:textId="77777777" w:rsidR="00397FF0" w:rsidRPr="00D13AF1" w:rsidRDefault="00397FF0" w:rsidP="002659CD">
      <w:pPr>
        <w:pStyle w:val="BodyEE"/>
        <w:keepNext/>
      </w:pPr>
      <w:r w:rsidRPr="00D13AF1">
        <w:rPr>
          <w:noProof/>
          <w:lang w:eastAsia="en-GB"/>
        </w:rPr>
        <w:drawing>
          <wp:inline distT="0" distB="0" distL="0" distR="0" wp14:anchorId="0FCF24CA" wp14:editId="688617AD">
            <wp:extent cx="5400000" cy="27432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1B56899" w14:textId="38C989F9" w:rsidR="00397FF0" w:rsidRPr="00D13AF1" w:rsidRDefault="002659CD" w:rsidP="002659CD">
      <w:pPr>
        <w:pStyle w:val="Tablelastnote"/>
      </w:pPr>
      <w:r>
        <w:t xml:space="preserve">Note: </w:t>
      </w:r>
      <w:r w:rsidR="00AE467F">
        <w:t>Sample size: 27</w:t>
      </w:r>
      <w:r>
        <w:t>.</w:t>
      </w:r>
    </w:p>
    <w:p w14:paraId="477A745F" w14:textId="77777777" w:rsidR="00397FF0" w:rsidRPr="00D13AF1" w:rsidRDefault="00397FF0" w:rsidP="00397FF0">
      <w:pPr>
        <w:pStyle w:val="Caption"/>
      </w:pPr>
      <w:r w:rsidRPr="00D13AF1">
        <w:lastRenderedPageBreak/>
        <w:t xml:space="preserve">Figure </w:t>
      </w:r>
      <w:r w:rsidR="00000000">
        <w:fldChar w:fldCharType="begin"/>
      </w:r>
      <w:r w:rsidR="00000000">
        <w:instrText xml:space="preserve"> STYLEREF 1 \s </w:instrText>
      </w:r>
      <w:r w:rsidR="00000000">
        <w:fldChar w:fldCharType="separate"/>
      </w:r>
      <w:r w:rsidR="00B51130">
        <w:rPr>
          <w:noProof/>
        </w:rPr>
        <w:t>10</w:t>
      </w:r>
      <w:r w:rsidR="00000000">
        <w:rPr>
          <w:noProof/>
        </w:rPr>
        <w:fldChar w:fldCharType="end"/>
      </w:r>
      <w:r>
        <w:t>.</w:t>
      </w:r>
      <w:r w:rsidR="00000000">
        <w:fldChar w:fldCharType="begin"/>
      </w:r>
      <w:r w:rsidR="00000000">
        <w:instrText xml:space="preserve"> SEQ Figure \* ARABIC \s 1 </w:instrText>
      </w:r>
      <w:r w:rsidR="00000000">
        <w:fldChar w:fldCharType="separate"/>
      </w:r>
      <w:r w:rsidR="00B51130">
        <w:rPr>
          <w:noProof/>
        </w:rPr>
        <w:t>3</w:t>
      </w:r>
      <w:r w:rsidR="00000000">
        <w:rPr>
          <w:noProof/>
        </w:rPr>
        <w:fldChar w:fldCharType="end"/>
      </w:r>
      <w:r w:rsidRPr="00D13AF1">
        <w:t>:</w:t>
      </w:r>
      <w:r>
        <w:t xml:space="preserve"> Type of telemedicine regulation in place</w:t>
      </w:r>
    </w:p>
    <w:p w14:paraId="3FCF4298" w14:textId="77777777" w:rsidR="00397FF0" w:rsidRPr="00D13AF1" w:rsidRDefault="00397FF0" w:rsidP="00397FF0">
      <w:pPr>
        <w:pStyle w:val="BodyEE"/>
      </w:pPr>
      <w:r w:rsidRPr="00D13AF1">
        <w:rPr>
          <w:noProof/>
          <w:lang w:eastAsia="en-GB"/>
        </w:rPr>
        <w:drawing>
          <wp:inline distT="0" distB="0" distL="0" distR="0" wp14:anchorId="1085E66E" wp14:editId="04E2647B">
            <wp:extent cx="5629275" cy="2867025"/>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D516AF1" w14:textId="77777777" w:rsidR="002659CD" w:rsidRPr="00D13AF1" w:rsidRDefault="002659CD" w:rsidP="002659CD">
      <w:pPr>
        <w:pStyle w:val="Tablelastnote"/>
      </w:pPr>
      <w:r>
        <w:t>Note: Sample size: 29.</w:t>
      </w:r>
    </w:p>
    <w:p w14:paraId="0D3A9225" w14:textId="77777777" w:rsidR="00397FF0" w:rsidRPr="00D13AF1" w:rsidRDefault="00397FF0" w:rsidP="00397FF0">
      <w:pPr>
        <w:pStyle w:val="BodyEE"/>
      </w:pPr>
    </w:p>
    <w:p w14:paraId="1B054F83" w14:textId="77777777" w:rsidR="00397FF0" w:rsidRPr="00D13AF1" w:rsidRDefault="00397FF0" w:rsidP="00397FF0">
      <w:pPr>
        <w:pStyle w:val="Caption"/>
      </w:pPr>
      <w:r w:rsidRPr="00D13AF1">
        <w:t xml:space="preserve">Figure </w:t>
      </w:r>
      <w:r w:rsidR="00000000">
        <w:fldChar w:fldCharType="begin"/>
      </w:r>
      <w:r w:rsidR="00000000">
        <w:instrText xml:space="preserve"> STYLEREF 1 \s </w:instrText>
      </w:r>
      <w:r w:rsidR="00000000">
        <w:fldChar w:fldCharType="separate"/>
      </w:r>
      <w:r w:rsidR="00B51130">
        <w:rPr>
          <w:noProof/>
        </w:rPr>
        <w:t>10</w:t>
      </w:r>
      <w:r w:rsidR="00000000">
        <w:rPr>
          <w:noProof/>
        </w:rPr>
        <w:fldChar w:fldCharType="end"/>
      </w:r>
      <w:r>
        <w:t>.</w:t>
      </w:r>
      <w:r w:rsidR="00000000">
        <w:fldChar w:fldCharType="begin"/>
      </w:r>
      <w:r w:rsidR="00000000">
        <w:instrText xml:space="preserve"> SEQ Figure \* ARABIC \s 1 </w:instrText>
      </w:r>
      <w:r w:rsidR="00000000">
        <w:fldChar w:fldCharType="separate"/>
      </w:r>
      <w:r w:rsidR="00B51130">
        <w:rPr>
          <w:noProof/>
        </w:rPr>
        <w:t>4</w:t>
      </w:r>
      <w:r w:rsidR="00000000">
        <w:rPr>
          <w:noProof/>
        </w:rPr>
        <w:fldChar w:fldCharType="end"/>
      </w:r>
      <w:r w:rsidRPr="00D13AF1">
        <w:t>:</w:t>
      </w:r>
      <w:r>
        <w:t xml:space="preserve"> Development of telemedicine regulation</w:t>
      </w:r>
    </w:p>
    <w:p w14:paraId="35C825AA" w14:textId="2B1B3D4A" w:rsidR="00397FF0" w:rsidRDefault="004E1542" w:rsidP="00397FF0">
      <w:pPr>
        <w:pStyle w:val="BodyEE"/>
      </w:pPr>
      <w:r>
        <w:rPr>
          <w:noProof/>
          <w:lang w:eastAsia="en-GB"/>
        </w:rPr>
        <w:drawing>
          <wp:inline distT="0" distB="0" distL="0" distR="0" wp14:anchorId="4F0B0232" wp14:editId="653AF9F6">
            <wp:extent cx="5400000" cy="2743201"/>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6D7A1D6" w14:textId="1F0D14FD" w:rsidR="002659CD" w:rsidRPr="00D13AF1" w:rsidRDefault="002659CD" w:rsidP="002659CD">
      <w:pPr>
        <w:pStyle w:val="Tablelastnote"/>
      </w:pPr>
      <w:r>
        <w:t xml:space="preserve">Note: </w:t>
      </w:r>
      <w:r w:rsidR="004E1542">
        <w:t>Sample size: 10.</w:t>
      </w:r>
      <w:r w:rsidR="00352E4F">
        <w:t xml:space="preserve"> </w:t>
      </w:r>
      <w:r w:rsidR="00DE74E8">
        <w:t>All of t</w:t>
      </w:r>
      <w:r w:rsidR="00352E4F">
        <w:t>hose that replied “Yes” or “Don’t know” had no formal regulations and/or policies regarding telemedicine. Those that are reported under “Plans to update” already had formal regulations and/or policies regarding telemedicine.</w:t>
      </w:r>
    </w:p>
    <w:p w14:paraId="17807A11" w14:textId="77777777" w:rsidR="002659CD" w:rsidRPr="00D13AF1" w:rsidRDefault="002659CD" w:rsidP="00397FF0">
      <w:pPr>
        <w:pStyle w:val="BodyEE"/>
      </w:pPr>
    </w:p>
    <w:p w14:paraId="496104DE" w14:textId="0BD0BE75" w:rsidR="00A61E98" w:rsidRPr="00D13AF1" w:rsidRDefault="00A61E98" w:rsidP="00A61E98">
      <w:pPr>
        <w:pStyle w:val="Heading1"/>
        <w:ind w:left="709" w:hanging="714"/>
        <w:rPr>
          <w:color w:val="C64187" w:themeColor="accent2"/>
        </w:rPr>
      </w:pPr>
      <w:bookmarkStart w:id="88" w:name="_Toc504484131"/>
      <w:r>
        <w:rPr>
          <w:color w:val="C64187" w:themeColor="accent2"/>
        </w:rPr>
        <w:lastRenderedPageBreak/>
        <w:t>Summaries of Key Findings</w:t>
      </w:r>
      <w:bookmarkEnd w:id="88"/>
    </w:p>
    <w:p w14:paraId="3E2BD209" w14:textId="3632F97B" w:rsidR="00397FF0" w:rsidRPr="00D13AF1" w:rsidRDefault="00A61E98" w:rsidP="00397FF0">
      <w:pPr>
        <w:pStyle w:val="BodyEE"/>
      </w:pPr>
      <w:r>
        <w:t xml:space="preserve">In this section we replicate the summary tables </w:t>
      </w:r>
      <w:r w:rsidR="00865A49">
        <w:t xml:space="preserve">from the main body of the report but provide direct links to the relevant sections of </w:t>
      </w:r>
      <w:r w:rsidR="00865A49">
        <w:fldChar w:fldCharType="begin"/>
      </w:r>
      <w:r w:rsidR="00865A49">
        <w:instrText xml:space="preserve"> REF _Ref499307048 \h </w:instrText>
      </w:r>
      <w:r w:rsidR="00865A49">
        <w:fldChar w:fldCharType="separate"/>
      </w:r>
      <w:r w:rsidR="00B51130" w:rsidRPr="00D13AF1">
        <w:rPr>
          <w:b/>
          <w:color w:val="C64187" w:themeColor="accent2"/>
        </w:rPr>
        <w:t>Appendix 2 — core countries</w:t>
      </w:r>
      <w:r w:rsidR="00865A49">
        <w:fldChar w:fldCharType="end"/>
      </w:r>
      <w:r w:rsidR="00865A49">
        <w:t xml:space="preserve"> wher</w:t>
      </w:r>
      <w:r w:rsidR="005E2D95">
        <w:t>e more details can be found. We also note that some of the findings come from interviews which are not transcribed here. As such, not all information included in the summary tables could be directly referenced here.</w:t>
      </w:r>
    </w:p>
    <w:p w14:paraId="461C0892" w14:textId="309FF8AB" w:rsidR="001C00D0" w:rsidRDefault="005E2D95" w:rsidP="001C00D0">
      <w:pPr>
        <w:pStyle w:val="Heading2Pink"/>
      </w:pPr>
      <w:bookmarkStart w:id="89" w:name="_Toc504484132"/>
      <w:r>
        <w:t>Definition of telemedicine</w:t>
      </w:r>
      <w:bookmarkEnd w:id="89"/>
    </w:p>
    <w:p w14:paraId="376BA0C9" w14:textId="77777777" w:rsidR="00A61E98" w:rsidRPr="00192837" w:rsidRDefault="00A61E98" w:rsidP="00A61E98">
      <w:pPr>
        <w:keepNext/>
        <w:spacing w:after="200" w:line="240" w:lineRule="auto"/>
        <w:rPr>
          <w:b/>
          <w:bCs/>
          <w:sz w:val="20"/>
        </w:rPr>
      </w:pPr>
      <w:r w:rsidRPr="00192837">
        <w:rPr>
          <w:b/>
          <w:bCs/>
          <w:sz w:val="20"/>
        </w:rPr>
        <w:t xml:space="preserve">Table </w:t>
      </w:r>
      <w:r>
        <w:rPr>
          <w:b/>
          <w:bCs/>
          <w:sz w:val="20"/>
        </w:rPr>
        <w:fldChar w:fldCharType="begin"/>
      </w:r>
      <w:r>
        <w:rPr>
          <w:b/>
          <w:bCs/>
          <w:sz w:val="20"/>
        </w:rPr>
        <w:instrText xml:space="preserve"> STYLEREF 1 \s </w:instrText>
      </w:r>
      <w:r>
        <w:rPr>
          <w:b/>
          <w:bCs/>
          <w:sz w:val="20"/>
        </w:rPr>
        <w:fldChar w:fldCharType="separate"/>
      </w:r>
      <w:r w:rsidR="00B51130">
        <w:rPr>
          <w:b/>
          <w:bCs/>
          <w:noProof/>
          <w:sz w:val="20"/>
        </w:rPr>
        <w:t>11</w:t>
      </w:r>
      <w:r>
        <w:rPr>
          <w:b/>
          <w:bCs/>
          <w:sz w:val="20"/>
        </w:rPr>
        <w:fldChar w:fldCharType="end"/>
      </w:r>
      <w:r>
        <w:rPr>
          <w:b/>
          <w:bCs/>
          <w:sz w:val="20"/>
        </w:rPr>
        <w:t>.</w:t>
      </w:r>
      <w:r>
        <w:rPr>
          <w:b/>
          <w:bCs/>
          <w:sz w:val="20"/>
        </w:rPr>
        <w:fldChar w:fldCharType="begin"/>
      </w:r>
      <w:r>
        <w:rPr>
          <w:b/>
          <w:bCs/>
          <w:sz w:val="20"/>
        </w:rPr>
        <w:instrText xml:space="preserve"> SEQ Table \* ARABIC \s 1 </w:instrText>
      </w:r>
      <w:r>
        <w:rPr>
          <w:b/>
          <w:bCs/>
          <w:sz w:val="20"/>
        </w:rPr>
        <w:fldChar w:fldCharType="separate"/>
      </w:r>
      <w:r w:rsidR="00B51130">
        <w:rPr>
          <w:b/>
          <w:bCs/>
          <w:noProof/>
          <w:sz w:val="20"/>
        </w:rPr>
        <w:t>1</w:t>
      </w:r>
      <w:r>
        <w:rPr>
          <w:b/>
          <w:bCs/>
          <w:sz w:val="20"/>
        </w:rPr>
        <w:fldChar w:fldCharType="end"/>
      </w:r>
      <w:r w:rsidRPr="00192837">
        <w:rPr>
          <w:b/>
          <w:bCs/>
          <w:sz w:val="20"/>
        </w:rPr>
        <w:t>: Definition of telemedicine — summary</w:t>
      </w:r>
    </w:p>
    <w:tbl>
      <w:tblPr>
        <w:tblStyle w:val="LightShading-Accent111"/>
        <w:tblW w:w="10031" w:type="dxa"/>
        <w:tblLook w:val="04E0" w:firstRow="1" w:lastRow="1" w:firstColumn="1" w:lastColumn="0" w:noHBand="0" w:noVBand="1"/>
      </w:tblPr>
      <w:tblGrid>
        <w:gridCol w:w="2234"/>
        <w:gridCol w:w="972"/>
        <w:gridCol w:w="1111"/>
        <w:gridCol w:w="1087"/>
        <w:gridCol w:w="1087"/>
        <w:gridCol w:w="1179"/>
        <w:gridCol w:w="1160"/>
        <w:gridCol w:w="1201"/>
      </w:tblGrid>
      <w:tr w:rsidR="00E21F66" w:rsidRPr="00192837" w14:paraId="5620A410" w14:textId="53ACDECE" w:rsidTr="00E21F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4" w:type="dxa"/>
          </w:tcPr>
          <w:p w14:paraId="370406BA"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38383A"/>
                <w:sz w:val="18"/>
                <w:szCs w:val="20"/>
              </w:rPr>
              <w:t>Jurisdiction</w:t>
            </w:r>
          </w:p>
        </w:tc>
        <w:tc>
          <w:tcPr>
            <w:tcW w:w="972" w:type="dxa"/>
          </w:tcPr>
          <w:p w14:paraId="3082E0E4"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100000000000" w:firstRow="1" w:lastRow="0" w:firstColumn="0" w:lastColumn="0" w:oddVBand="0" w:evenVBand="0" w:oddHBand="0"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t>ICT</w:t>
            </w:r>
          </w:p>
        </w:tc>
        <w:tc>
          <w:tcPr>
            <w:tcW w:w="1111" w:type="dxa"/>
          </w:tcPr>
          <w:p w14:paraId="27FA6412"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100000000000" w:firstRow="1" w:lastRow="0" w:firstColumn="0" w:lastColumn="0" w:oddVBand="0" w:evenVBand="0" w:oddHBand="0"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t>Distance</w:t>
            </w:r>
          </w:p>
        </w:tc>
        <w:tc>
          <w:tcPr>
            <w:tcW w:w="1087" w:type="dxa"/>
          </w:tcPr>
          <w:p w14:paraId="4BDDC6D4"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100000000000" w:firstRow="1" w:lastRow="0" w:firstColumn="0" w:lastColumn="0" w:oddVBand="0" w:evenVBand="0" w:oddHBand="0"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t xml:space="preserve">Doctor-to-patient </w:t>
            </w:r>
          </w:p>
        </w:tc>
        <w:tc>
          <w:tcPr>
            <w:tcW w:w="1087" w:type="dxa"/>
          </w:tcPr>
          <w:p w14:paraId="16218703"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100000000000" w:firstRow="1" w:lastRow="0" w:firstColumn="0" w:lastColumn="0" w:oddVBand="0" w:evenVBand="0" w:oddHBand="0"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t xml:space="preserve">Doctor-to-doctor </w:t>
            </w:r>
          </w:p>
        </w:tc>
        <w:tc>
          <w:tcPr>
            <w:tcW w:w="1179" w:type="dxa"/>
          </w:tcPr>
          <w:p w14:paraId="1F454952"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100000000000" w:firstRow="1" w:lastRow="0" w:firstColumn="0" w:lastColumn="0" w:oddVBand="0" w:evenVBand="0" w:oddHBand="0"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t>For diagnostics</w:t>
            </w:r>
          </w:p>
        </w:tc>
        <w:tc>
          <w:tcPr>
            <w:tcW w:w="1160" w:type="dxa"/>
          </w:tcPr>
          <w:p w14:paraId="401A905A"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100000000000" w:firstRow="1" w:lastRow="0" w:firstColumn="0" w:lastColumn="0" w:oddVBand="0" w:evenVBand="0" w:oddHBand="0"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t>For treatment</w:t>
            </w:r>
          </w:p>
        </w:tc>
        <w:tc>
          <w:tcPr>
            <w:tcW w:w="1201" w:type="dxa"/>
          </w:tcPr>
          <w:p w14:paraId="29EC5456" w14:textId="23A6B632" w:rsidR="00593E3B" w:rsidRPr="00192837" w:rsidRDefault="00E21F66" w:rsidP="00297895">
            <w:pPr>
              <w:tabs>
                <w:tab w:val="clear" w:pos="280"/>
                <w:tab w:val="clear" w:pos="4800"/>
                <w:tab w:val="clear" w:pos="5780"/>
              </w:tabs>
              <w:suppressAutoHyphens w:val="0"/>
              <w:autoSpaceDE/>
              <w:autoSpaceDN/>
              <w:adjustRightInd/>
              <w:spacing w:line="264" w:lineRule="auto"/>
              <w:jc w:val="center"/>
              <w:textAlignment w:val="auto"/>
              <w:cnfStyle w:val="100000000000" w:firstRow="1" w:lastRow="0" w:firstColumn="0" w:lastColumn="0" w:oddVBand="0" w:evenVBand="0" w:oddHBand="0"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 xml:space="preserve">Appendix 2 section </w:t>
            </w:r>
            <w:r w:rsidR="00593E3B">
              <w:rPr>
                <w:rFonts w:eastAsia="Gill Sans MT" w:cs="Times New Roman"/>
                <w:color w:val="38383A"/>
                <w:sz w:val="18"/>
                <w:szCs w:val="20"/>
              </w:rPr>
              <w:t>reference</w:t>
            </w:r>
          </w:p>
        </w:tc>
      </w:tr>
      <w:tr w:rsidR="00E21F66" w:rsidRPr="00192837" w14:paraId="7DBE7954" w14:textId="6A6C365D" w:rsidTr="00E21F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4" w:type="dxa"/>
          </w:tcPr>
          <w:p w14:paraId="3D42CBB6"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Australia</w:t>
            </w:r>
          </w:p>
        </w:tc>
        <w:tc>
          <w:tcPr>
            <w:tcW w:w="972" w:type="dxa"/>
          </w:tcPr>
          <w:p w14:paraId="468DCD0C"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11" w:type="dxa"/>
          </w:tcPr>
          <w:p w14:paraId="49002D96"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1087" w:type="dxa"/>
          </w:tcPr>
          <w:p w14:paraId="26E1A05F"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087" w:type="dxa"/>
          </w:tcPr>
          <w:p w14:paraId="38D21DED"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1179" w:type="dxa"/>
          </w:tcPr>
          <w:p w14:paraId="6FD2D686"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60" w:type="dxa"/>
          </w:tcPr>
          <w:p w14:paraId="067CD330"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201" w:type="dxa"/>
          </w:tcPr>
          <w:p w14:paraId="6C9274E1" w14:textId="77777777" w:rsidR="00593E3B" w:rsidRDefault="00E21F66"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_Ref499730194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1.2.1</w:t>
            </w:r>
            <w:r>
              <w:rPr>
                <w:rFonts w:eastAsia="Gill Sans MT" w:cs="Times New Roman"/>
                <w:color w:val="38383A"/>
                <w:sz w:val="18"/>
                <w:szCs w:val="20"/>
              </w:rPr>
              <w:fldChar w:fldCharType="end"/>
            </w:r>
          </w:p>
          <w:p w14:paraId="546E86CB" w14:textId="3BA1BE12" w:rsidR="00E21F66" w:rsidRPr="00192837" w:rsidRDefault="00E21F66"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_Ref499730613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1.7.1</w:t>
            </w:r>
            <w:r>
              <w:rPr>
                <w:rFonts w:eastAsia="Gill Sans MT" w:cs="Times New Roman"/>
                <w:color w:val="38383A"/>
                <w:sz w:val="18"/>
                <w:szCs w:val="20"/>
              </w:rPr>
              <w:fldChar w:fldCharType="end"/>
            </w:r>
          </w:p>
        </w:tc>
      </w:tr>
      <w:tr w:rsidR="00E21F66" w:rsidRPr="00192837" w14:paraId="1F73150A" w14:textId="2F360100" w:rsidTr="00E21F66">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4" w:type="dxa"/>
          </w:tcPr>
          <w:p w14:paraId="0F4181C1"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Denmark</w:t>
            </w:r>
          </w:p>
        </w:tc>
        <w:tc>
          <w:tcPr>
            <w:tcW w:w="972" w:type="dxa"/>
          </w:tcPr>
          <w:p w14:paraId="5F1B94DD"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11" w:type="dxa"/>
          </w:tcPr>
          <w:p w14:paraId="402AD4A0"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087" w:type="dxa"/>
          </w:tcPr>
          <w:p w14:paraId="462BDF02"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4F"/>
            </w:r>
          </w:p>
        </w:tc>
        <w:tc>
          <w:tcPr>
            <w:tcW w:w="1087" w:type="dxa"/>
          </w:tcPr>
          <w:p w14:paraId="1C172440"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79" w:type="dxa"/>
          </w:tcPr>
          <w:p w14:paraId="3ED65A88"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60" w:type="dxa"/>
          </w:tcPr>
          <w:p w14:paraId="405BDE7C"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1201" w:type="dxa"/>
          </w:tcPr>
          <w:p w14:paraId="45D11C04" w14:textId="7F6FEA89" w:rsidR="00593E3B" w:rsidRPr="00192837" w:rsidRDefault="00E21F66"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_Ref499730681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3.2.1</w:t>
            </w:r>
            <w:r>
              <w:rPr>
                <w:rFonts w:eastAsia="Gill Sans MT" w:cs="Times New Roman"/>
                <w:color w:val="38383A"/>
                <w:sz w:val="18"/>
                <w:szCs w:val="20"/>
              </w:rPr>
              <w:fldChar w:fldCharType="end"/>
            </w:r>
          </w:p>
        </w:tc>
      </w:tr>
      <w:tr w:rsidR="00E21F66" w:rsidRPr="00192837" w14:paraId="3FAF3AEF" w14:textId="022C9614" w:rsidTr="00E21F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4" w:type="dxa"/>
          </w:tcPr>
          <w:p w14:paraId="1CFAD9E1"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France</w:t>
            </w:r>
          </w:p>
        </w:tc>
        <w:tc>
          <w:tcPr>
            <w:tcW w:w="972" w:type="dxa"/>
          </w:tcPr>
          <w:p w14:paraId="5E855DE2"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11" w:type="dxa"/>
          </w:tcPr>
          <w:p w14:paraId="3D6F9C71"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087" w:type="dxa"/>
          </w:tcPr>
          <w:p w14:paraId="7DD15FC2"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087" w:type="dxa"/>
          </w:tcPr>
          <w:p w14:paraId="645384F8"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79" w:type="dxa"/>
          </w:tcPr>
          <w:p w14:paraId="732102B8"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60" w:type="dxa"/>
          </w:tcPr>
          <w:p w14:paraId="54724ADF"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201" w:type="dxa"/>
          </w:tcPr>
          <w:p w14:paraId="5D38579A" w14:textId="77777777" w:rsidR="00593E3B" w:rsidRDefault="00E21F66"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_Ref499730717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4.2.1</w:t>
            </w:r>
            <w:r>
              <w:rPr>
                <w:rFonts w:eastAsia="Gill Sans MT" w:cs="Times New Roman"/>
                <w:color w:val="38383A"/>
                <w:sz w:val="18"/>
                <w:szCs w:val="20"/>
              </w:rPr>
              <w:fldChar w:fldCharType="end"/>
            </w:r>
          </w:p>
          <w:p w14:paraId="038641D4" w14:textId="02EAACA8" w:rsidR="00E21F66" w:rsidRPr="00192837" w:rsidRDefault="00E21F66"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_Ref499730729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4.3.1</w:t>
            </w:r>
            <w:r>
              <w:rPr>
                <w:rFonts w:eastAsia="Gill Sans MT" w:cs="Times New Roman"/>
                <w:color w:val="38383A"/>
                <w:sz w:val="18"/>
                <w:szCs w:val="20"/>
              </w:rPr>
              <w:fldChar w:fldCharType="end"/>
            </w:r>
          </w:p>
        </w:tc>
      </w:tr>
      <w:tr w:rsidR="00E21F66" w:rsidRPr="00192837" w14:paraId="2D04C3BB" w14:textId="50981D36" w:rsidTr="00E21F66">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4" w:type="dxa"/>
          </w:tcPr>
          <w:p w14:paraId="4074A835"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New Zealand</w:t>
            </w:r>
          </w:p>
        </w:tc>
        <w:tc>
          <w:tcPr>
            <w:tcW w:w="972" w:type="dxa"/>
          </w:tcPr>
          <w:p w14:paraId="5665DABC"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11" w:type="dxa"/>
          </w:tcPr>
          <w:p w14:paraId="1C854434"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087" w:type="dxa"/>
          </w:tcPr>
          <w:p w14:paraId="3F963391"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087" w:type="dxa"/>
          </w:tcPr>
          <w:p w14:paraId="00450FC1"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79" w:type="dxa"/>
          </w:tcPr>
          <w:p w14:paraId="747A1CED"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60" w:type="dxa"/>
          </w:tcPr>
          <w:p w14:paraId="0BB4AAAF"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1201" w:type="dxa"/>
          </w:tcPr>
          <w:p w14:paraId="76A57E1E" w14:textId="6D19F207" w:rsidR="00593E3B" w:rsidRPr="00192837" w:rsidRDefault="00E21F66"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_Ref499730743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5.1.1</w:t>
            </w:r>
            <w:r>
              <w:rPr>
                <w:rFonts w:eastAsia="Gill Sans MT" w:cs="Times New Roman"/>
                <w:color w:val="38383A"/>
                <w:sz w:val="18"/>
                <w:szCs w:val="20"/>
              </w:rPr>
              <w:fldChar w:fldCharType="end"/>
            </w:r>
          </w:p>
        </w:tc>
      </w:tr>
      <w:tr w:rsidR="00E21F66" w:rsidRPr="00192837" w14:paraId="645C93CD" w14:textId="45E429D4" w:rsidTr="00E21F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4" w:type="dxa"/>
          </w:tcPr>
          <w:p w14:paraId="2AD5B3B4"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Portugal</w:t>
            </w:r>
          </w:p>
        </w:tc>
        <w:tc>
          <w:tcPr>
            <w:tcW w:w="972" w:type="dxa"/>
          </w:tcPr>
          <w:p w14:paraId="635BC0E7"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11" w:type="dxa"/>
          </w:tcPr>
          <w:p w14:paraId="520446D1"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087" w:type="dxa"/>
          </w:tcPr>
          <w:p w14:paraId="091DA528"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087" w:type="dxa"/>
          </w:tcPr>
          <w:p w14:paraId="5155B237"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79" w:type="dxa"/>
          </w:tcPr>
          <w:p w14:paraId="5FA2DB25"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60" w:type="dxa"/>
          </w:tcPr>
          <w:p w14:paraId="05BDFB41"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201" w:type="dxa"/>
          </w:tcPr>
          <w:p w14:paraId="4F2A7FD7" w14:textId="77777777" w:rsidR="00593E3B" w:rsidRDefault="00E21F66"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_Ref499730776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6.2.1</w:t>
            </w:r>
            <w:r>
              <w:rPr>
                <w:rFonts w:eastAsia="Gill Sans MT" w:cs="Times New Roman"/>
                <w:color w:val="38383A"/>
                <w:sz w:val="18"/>
                <w:szCs w:val="20"/>
              </w:rPr>
              <w:fldChar w:fldCharType="end"/>
            </w:r>
          </w:p>
          <w:p w14:paraId="5D257744" w14:textId="5B4F5244" w:rsidR="00E21F66" w:rsidRPr="00192837" w:rsidRDefault="00E21F66"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_Ref499730783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6.3.1</w:t>
            </w:r>
            <w:r>
              <w:rPr>
                <w:rFonts w:eastAsia="Gill Sans MT" w:cs="Times New Roman"/>
                <w:color w:val="38383A"/>
                <w:sz w:val="18"/>
                <w:szCs w:val="20"/>
              </w:rPr>
              <w:fldChar w:fldCharType="end"/>
            </w:r>
          </w:p>
        </w:tc>
      </w:tr>
      <w:tr w:rsidR="00E21F66" w:rsidRPr="00192837" w14:paraId="08DAA40D" w14:textId="015D4FF6" w:rsidTr="00E21F66">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4" w:type="dxa"/>
          </w:tcPr>
          <w:p w14:paraId="4E9EF93C"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Singapore</w:t>
            </w:r>
          </w:p>
        </w:tc>
        <w:tc>
          <w:tcPr>
            <w:tcW w:w="972" w:type="dxa"/>
          </w:tcPr>
          <w:p w14:paraId="43CC63DD"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11" w:type="dxa"/>
          </w:tcPr>
          <w:p w14:paraId="131FF2CC"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087" w:type="dxa"/>
          </w:tcPr>
          <w:p w14:paraId="4BB249F6"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087" w:type="dxa"/>
          </w:tcPr>
          <w:p w14:paraId="11CC31A5"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79" w:type="dxa"/>
          </w:tcPr>
          <w:p w14:paraId="61994129"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60" w:type="dxa"/>
          </w:tcPr>
          <w:p w14:paraId="4F65A0E7"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201" w:type="dxa"/>
          </w:tcPr>
          <w:p w14:paraId="73D14530" w14:textId="740307F5" w:rsidR="00593E3B" w:rsidRPr="00192837" w:rsidRDefault="00E21F66"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_Ref499730793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7.2.1</w:t>
            </w:r>
            <w:r>
              <w:rPr>
                <w:rFonts w:eastAsia="Gill Sans MT" w:cs="Times New Roman"/>
                <w:color w:val="38383A"/>
                <w:sz w:val="18"/>
                <w:szCs w:val="20"/>
              </w:rPr>
              <w:fldChar w:fldCharType="end"/>
            </w:r>
          </w:p>
        </w:tc>
      </w:tr>
      <w:tr w:rsidR="00E21F66" w:rsidRPr="00192837" w14:paraId="4B851C47" w14:textId="3E5844D0" w:rsidTr="00E21F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4" w:type="dxa"/>
          </w:tcPr>
          <w:p w14:paraId="46D429F0"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Alberta</w:t>
            </w:r>
          </w:p>
        </w:tc>
        <w:tc>
          <w:tcPr>
            <w:tcW w:w="972" w:type="dxa"/>
          </w:tcPr>
          <w:p w14:paraId="5459C443"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11" w:type="dxa"/>
          </w:tcPr>
          <w:p w14:paraId="12CB23A5"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087" w:type="dxa"/>
          </w:tcPr>
          <w:p w14:paraId="16233A99"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087" w:type="dxa"/>
          </w:tcPr>
          <w:p w14:paraId="608BC843"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1179" w:type="dxa"/>
          </w:tcPr>
          <w:p w14:paraId="6D8E9385"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60" w:type="dxa"/>
          </w:tcPr>
          <w:p w14:paraId="11BE45B6"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1201" w:type="dxa"/>
          </w:tcPr>
          <w:p w14:paraId="5B54C70A" w14:textId="28744B61" w:rsidR="00593E3B" w:rsidRPr="00192837" w:rsidRDefault="00E21F66"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_Ref499730810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2.3.1</w:t>
            </w:r>
            <w:r>
              <w:rPr>
                <w:rFonts w:eastAsia="Gill Sans MT" w:cs="Times New Roman"/>
                <w:color w:val="38383A"/>
                <w:sz w:val="18"/>
                <w:szCs w:val="20"/>
              </w:rPr>
              <w:fldChar w:fldCharType="end"/>
            </w:r>
          </w:p>
        </w:tc>
      </w:tr>
      <w:tr w:rsidR="00E21F66" w:rsidRPr="00192837" w14:paraId="3A22864E" w14:textId="5E649E8D" w:rsidTr="00E21F66">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4" w:type="dxa"/>
          </w:tcPr>
          <w:p w14:paraId="4C9A9C5F"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British Columbia</w:t>
            </w:r>
          </w:p>
        </w:tc>
        <w:tc>
          <w:tcPr>
            <w:tcW w:w="972" w:type="dxa"/>
          </w:tcPr>
          <w:p w14:paraId="626DB46A"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11" w:type="dxa"/>
          </w:tcPr>
          <w:p w14:paraId="25AF206C"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087" w:type="dxa"/>
          </w:tcPr>
          <w:p w14:paraId="4A7BA7E0"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087" w:type="dxa"/>
          </w:tcPr>
          <w:p w14:paraId="04E411A6"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79" w:type="dxa"/>
          </w:tcPr>
          <w:p w14:paraId="3C85B58B"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60" w:type="dxa"/>
          </w:tcPr>
          <w:p w14:paraId="70925DB9"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1201" w:type="dxa"/>
          </w:tcPr>
          <w:p w14:paraId="552371D8" w14:textId="4924CDDB" w:rsidR="00593E3B" w:rsidRPr="00192837" w:rsidRDefault="00E21F66"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_Ref499730817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2.4.1</w:t>
            </w:r>
            <w:r>
              <w:rPr>
                <w:rFonts w:eastAsia="Gill Sans MT" w:cs="Times New Roman"/>
                <w:color w:val="38383A"/>
                <w:sz w:val="18"/>
                <w:szCs w:val="20"/>
              </w:rPr>
              <w:fldChar w:fldCharType="end"/>
            </w:r>
          </w:p>
        </w:tc>
      </w:tr>
      <w:tr w:rsidR="00E21F66" w:rsidRPr="00192837" w14:paraId="6736BADE" w14:textId="4BD35784" w:rsidTr="00E21F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4" w:type="dxa"/>
          </w:tcPr>
          <w:p w14:paraId="5987412A"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Newfoundland and Labrador</w:t>
            </w:r>
          </w:p>
        </w:tc>
        <w:tc>
          <w:tcPr>
            <w:tcW w:w="972" w:type="dxa"/>
          </w:tcPr>
          <w:p w14:paraId="34DBD880"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11" w:type="dxa"/>
          </w:tcPr>
          <w:p w14:paraId="710D8415"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087" w:type="dxa"/>
          </w:tcPr>
          <w:p w14:paraId="2E9114D0"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087" w:type="dxa"/>
          </w:tcPr>
          <w:p w14:paraId="0ED83AB8"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79" w:type="dxa"/>
          </w:tcPr>
          <w:p w14:paraId="18515F71"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60" w:type="dxa"/>
          </w:tcPr>
          <w:p w14:paraId="04C7272E"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1201" w:type="dxa"/>
          </w:tcPr>
          <w:p w14:paraId="05D139F3" w14:textId="61D7EAC2" w:rsidR="00593E3B" w:rsidRPr="00192837" w:rsidRDefault="00E21F66"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_Ref499730823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2.5.1</w:t>
            </w:r>
            <w:r>
              <w:rPr>
                <w:rFonts w:eastAsia="Gill Sans MT" w:cs="Times New Roman"/>
                <w:color w:val="38383A"/>
                <w:sz w:val="18"/>
                <w:szCs w:val="20"/>
              </w:rPr>
              <w:fldChar w:fldCharType="end"/>
            </w:r>
          </w:p>
        </w:tc>
      </w:tr>
      <w:tr w:rsidR="00E21F66" w:rsidRPr="00192837" w14:paraId="2794620E" w14:textId="46A8CE55" w:rsidTr="00E21F66">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4" w:type="dxa"/>
          </w:tcPr>
          <w:p w14:paraId="39ABC877"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Ontario</w:t>
            </w:r>
          </w:p>
        </w:tc>
        <w:tc>
          <w:tcPr>
            <w:tcW w:w="972" w:type="dxa"/>
          </w:tcPr>
          <w:p w14:paraId="0E3653B3"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11" w:type="dxa"/>
          </w:tcPr>
          <w:p w14:paraId="5535C508"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087" w:type="dxa"/>
          </w:tcPr>
          <w:p w14:paraId="0AD496EE"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087" w:type="dxa"/>
          </w:tcPr>
          <w:p w14:paraId="18AEE5D4"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1179" w:type="dxa"/>
          </w:tcPr>
          <w:p w14:paraId="08B3C6CB"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1160" w:type="dxa"/>
          </w:tcPr>
          <w:p w14:paraId="73DE05E0"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1201" w:type="dxa"/>
          </w:tcPr>
          <w:p w14:paraId="55006F6A" w14:textId="1C744755" w:rsidR="00593E3B" w:rsidRPr="00192837" w:rsidRDefault="00E21F66"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_Ref499730828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2.6.1</w:t>
            </w:r>
            <w:r>
              <w:rPr>
                <w:rFonts w:eastAsia="Gill Sans MT" w:cs="Times New Roman"/>
                <w:color w:val="38383A"/>
                <w:sz w:val="18"/>
                <w:szCs w:val="20"/>
              </w:rPr>
              <w:fldChar w:fldCharType="end"/>
            </w:r>
          </w:p>
        </w:tc>
      </w:tr>
      <w:tr w:rsidR="00E21F66" w:rsidRPr="00192837" w14:paraId="5BE274FB" w14:textId="0CBF1BDD" w:rsidTr="00E21F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4" w:type="dxa"/>
          </w:tcPr>
          <w:p w14:paraId="02827A59"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Saskatchewan</w:t>
            </w:r>
          </w:p>
        </w:tc>
        <w:tc>
          <w:tcPr>
            <w:tcW w:w="972" w:type="dxa"/>
          </w:tcPr>
          <w:p w14:paraId="629C51D7"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11" w:type="dxa"/>
          </w:tcPr>
          <w:p w14:paraId="21FC9713"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087" w:type="dxa"/>
          </w:tcPr>
          <w:p w14:paraId="723C88F1"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087" w:type="dxa"/>
          </w:tcPr>
          <w:p w14:paraId="175E8BFA"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79" w:type="dxa"/>
          </w:tcPr>
          <w:p w14:paraId="212CA434"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60" w:type="dxa"/>
          </w:tcPr>
          <w:p w14:paraId="48A42313"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201" w:type="dxa"/>
          </w:tcPr>
          <w:p w14:paraId="1A9CA569" w14:textId="0F031F7B" w:rsidR="00593E3B" w:rsidRPr="00192837" w:rsidRDefault="00E21F66"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_Ref499730835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2.7.1</w:t>
            </w:r>
            <w:r>
              <w:rPr>
                <w:rFonts w:eastAsia="Gill Sans MT" w:cs="Times New Roman"/>
                <w:color w:val="38383A"/>
                <w:sz w:val="18"/>
                <w:szCs w:val="20"/>
              </w:rPr>
              <w:fldChar w:fldCharType="end"/>
            </w:r>
          </w:p>
        </w:tc>
      </w:tr>
      <w:tr w:rsidR="00E21F66" w:rsidRPr="00192837" w14:paraId="7CCB55D5" w14:textId="0682627F" w:rsidTr="00E21F66">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4" w:type="dxa"/>
          </w:tcPr>
          <w:p w14:paraId="19AE9C4D"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California</w:t>
            </w:r>
          </w:p>
        </w:tc>
        <w:tc>
          <w:tcPr>
            <w:tcW w:w="972" w:type="dxa"/>
          </w:tcPr>
          <w:p w14:paraId="5AAEE4A7"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11" w:type="dxa"/>
          </w:tcPr>
          <w:p w14:paraId="0286BABB"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087" w:type="dxa"/>
          </w:tcPr>
          <w:p w14:paraId="05B6462B"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087" w:type="dxa"/>
          </w:tcPr>
          <w:p w14:paraId="3CAE95DF"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1179" w:type="dxa"/>
          </w:tcPr>
          <w:p w14:paraId="10B869F7"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60" w:type="dxa"/>
          </w:tcPr>
          <w:p w14:paraId="0DC5EABF"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201" w:type="dxa"/>
          </w:tcPr>
          <w:p w14:paraId="53096233" w14:textId="232E6E92" w:rsidR="00593E3B" w:rsidRPr="00192837" w:rsidRDefault="00E21F66"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_Ref499730868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9.10.1</w:t>
            </w:r>
            <w:r>
              <w:rPr>
                <w:rFonts w:eastAsia="Gill Sans MT" w:cs="Times New Roman"/>
                <w:color w:val="38383A"/>
                <w:sz w:val="18"/>
                <w:szCs w:val="20"/>
              </w:rPr>
              <w:fldChar w:fldCharType="end"/>
            </w:r>
          </w:p>
        </w:tc>
      </w:tr>
      <w:tr w:rsidR="00E21F66" w:rsidRPr="00192837" w14:paraId="752706F0" w14:textId="2A0923FB" w:rsidTr="00E21F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4" w:type="dxa"/>
          </w:tcPr>
          <w:p w14:paraId="1FA8D247"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Maine</w:t>
            </w:r>
          </w:p>
        </w:tc>
        <w:tc>
          <w:tcPr>
            <w:tcW w:w="972" w:type="dxa"/>
          </w:tcPr>
          <w:p w14:paraId="2A97B80C"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11" w:type="dxa"/>
          </w:tcPr>
          <w:p w14:paraId="197C7E6D"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087" w:type="dxa"/>
          </w:tcPr>
          <w:p w14:paraId="580ADBCF"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087" w:type="dxa"/>
          </w:tcPr>
          <w:p w14:paraId="339F8797"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79" w:type="dxa"/>
          </w:tcPr>
          <w:p w14:paraId="0A217B35"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60" w:type="dxa"/>
          </w:tcPr>
          <w:p w14:paraId="41806171"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201" w:type="dxa"/>
          </w:tcPr>
          <w:p w14:paraId="3BB62BC6" w14:textId="662DFF75" w:rsidR="00593E3B" w:rsidRPr="00192837" w:rsidRDefault="00E21F66"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_Ref499730911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9.4.1</w:t>
            </w:r>
            <w:r>
              <w:rPr>
                <w:rFonts w:eastAsia="Gill Sans MT" w:cs="Times New Roman"/>
                <w:color w:val="38383A"/>
                <w:sz w:val="18"/>
                <w:szCs w:val="20"/>
              </w:rPr>
              <w:fldChar w:fldCharType="end"/>
            </w:r>
          </w:p>
        </w:tc>
      </w:tr>
      <w:tr w:rsidR="00E21F66" w:rsidRPr="00192837" w14:paraId="42D0DB24" w14:textId="56BA31BB" w:rsidTr="00E21F66">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4" w:type="dxa"/>
          </w:tcPr>
          <w:p w14:paraId="75420BB0"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North Carolina</w:t>
            </w:r>
          </w:p>
        </w:tc>
        <w:tc>
          <w:tcPr>
            <w:tcW w:w="972" w:type="dxa"/>
          </w:tcPr>
          <w:p w14:paraId="01C74B5D"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11" w:type="dxa"/>
          </w:tcPr>
          <w:p w14:paraId="55A2DBF7"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087" w:type="dxa"/>
          </w:tcPr>
          <w:p w14:paraId="63DD80E0"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087" w:type="dxa"/>
          </w:tcPr>
          <w:p w14:paraId="43A602AB"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1179" w:type="dxa"/>
          </w:tcPr>
          <w:p w14:paraId="52C1262C"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1160" w:type="dxa"/>
          </w:tcPr>
          <w:p w14:paraId="56E24DD5"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1201" w:type="dxa"/>
          </w:tcPr>
          <w:p w14:paraId="4012B4DD" w14:textId="540F8CF1" w:rsidR="00593E3B" w:rsidRPr="00192837" w:rsidRDefault="00E21F66"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_Ref499730918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9.5.1</w:t>
            </w:r>
            <w:r>
              <w:rPr>
                <w:rFonts w:eastAsia="Gill Sans MT" w:cs="Times New Roman"/>
                <w:color w:val="38383A"/>
                <w:sz w:val="18"/>
                <w:szCs w:val="20"/>
              </w:rPr>
              <w:fldChar w:fldCharType="end"/>
            </w:r>
          </w:p>
        </w:tc>
      </w:tr>
      <w:tr w:rsidR="00E21F66" w:rsidRPr="00192837" w14:paraId="395C239B" w14:textId="28B16BA3" w:rsidTr="00E21F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4" w:type="dxa"/>
          </w:tcPr>
          <w:p w14:paraId="6173CA18"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Oklahoma</w:t>
            </w:r>
          </w:p>
        </w:tc>
        <w:tc>
          <w:tcPr>
            <w:tcW w:w="972" w:type="dxa"/>
          </w:tcPr>
          <w:p w14:paraId="321CE8A4"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11" w:type="dxa"/>
          </w:tcPr>
          <w:p w14:paraId="1A15A0F7"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1087" w:type="dxa"/>
          </w:tcPr>
          <w:p w14:paraId="4ACCDED9"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087" w:type="dxa"/>
          </w:tcPr>
          <w:p w14:paraId="308E10BC"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79" w:type="dxa"/>
          </w:tcPr>
          <w:p w14:paraId="5524D755"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60" w:type="dxa"/>
          </w:tcPr>
          <w:p w14:paraId="0165CC52"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201" w:type="dxa"/>
          </w:tcPr>
          <w:p w14:paraId="397B0E87" w14:textId="75550B03" w:rsidR="00593E3B" w:rsidRPr="00192837" w:rsidRDefault="00E21F66"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_Ref499730947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9.11.1</w:t>
            </w:r>
            <w:r>
              <w:rPr>
                <w:rFonts w:eastAsia="Gill Sans MT" w:cs="Times New Roman"/>
                <w:color w:val="38383A"/>
                <w:sz w:val="18"/>
                <w:szCs w:val="20"/>
              </w:rPr>
              <w:fldChar w:fldCharType="end"/>
            </w:r>
          </w:p>
        </w:tc>
      </w:tr>
      <w:tr w:rsidR="00E21F66" w:rsidRPr="00192837" w14:paraId="7307974A" w14:textId="40E9215E" w:rsidTr="00E21F66">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4" w:type="dxa"/>
          </w:tcPr>
          <w:p w14:paraId="1ECEC588"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Oregon</w:t>
            </w:r>
          </w:p>
        </w:tc>
        <w:tc>
          <w:tcPr>
            <w:tcW w:w="972" w:type="dxa"/>
          </w:tcPr>
          <w:p w14:paraId="7D7CB7A3"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11" w:type="dxa"/>
          </w:tcPr>
          <w:p w14:paraId="349DE220"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087" w:type="dxa"/>
          </w:tcPr>
          <w:p w14:paraId="27F8AD7C"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087" w:type="dxa"/>
          </w:tcPr>
          <w:p w14:paraId="0A2428F2"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1179" w:type="dxa"/>
          </w:tcPr>
          <w:p w14:paraId="2843768D"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60" w:type="dxa"/>
          </w:tcPr>
          <w:p w14:paraId="3F27C043"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201" w:type="dxa"/>
          </w:tcPr>
          <w:p w14:paraId="4AB1E233" w14:textId="7414D20E" w:rsidR="00593E3B" w:rsidRPr="00192837" w:rsidRDefault="00E21F66"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_Ref499730927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9.6.1</w:t>
            </w:r>
            <w:r>
              <w:rPr>
                <w:rFonts w:eastAsia="Gill Sans MT" w:cs="Times New Roman"/>
                <w:color w:val="38383A"/>
                <w:sz w:val="18"/>
                <w:szCs w:val="20"/>
              </w:rPr>
              <w:fldChar w:fldCharType="end"/>
            </w:r>
          </w:p>
        </w:tc>
      </w:tr>
      <w:tr w:rsidR="00E21F66" w:rsidRPr="00192837" w14:paraId="761CF095" w14:textId="253F8A35" w:rsidTr="00E21F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4" w:type="dxa"/>
          </w:tcPr>
          <w:p w14:paraId="0543E0A1"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Washington</w:t>
            </w:r>
          </w:p>
        </w:tc>
        <w:tc>
          <w:tcPr>
            <w:tcW w:w="972" w:type="dxa"/>
          </w:tcPr>
          <w:p w14:paraId="180D45F3"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11" w:type="dxa"/>
          </w:tcPr>
          <w:p w14:paraId="50413D5D"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087" w:type="dxa"/>
          </w:tcPr>
          <w:p w14:paraId="71DBFA90"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087" w:type="dxa"/>
          </w:tcPr>
          <w:p w14:paraId="1F286817"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1179" w:type="dxa"/>
          </w:tcPr>
          <w:p w14:paraId="6C2E04E8"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160" w:type="dxa"/>
          </w:tcPr>
          <w:p w14:paraId="3C7F2E38"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sym w:font="Wingdings 2" w:char="F050"/>
            </w:r>
          </w:p>
        </w:tc>
        <w:tc>
          <w:tcPr>
            <w:tcW w:w="1201" w:type="dxa"/>
          </w:tcPr>
          <w:p w14:paraId="11A5D844" w14:textId="3AF06D18" w:rsidR="00593E3B" w:rsidRPr="00192837" w:rsidRDefault="00E21F66"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_Ref499730937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9.7.1</w:t>
            </w:r>
            <w:r>
              <w:rPr>
                <w:rFonts w:eastAsia="Gill Sans MT" w:cs="Times New Roman"/>
                <w:color w:val="38383A"/>
                <w:sz w:val="18"/>
                <w:szCs w:val="20"/>
              </w:rPr>
              <w:fldChar w:fldCharType="end"/>
            </w:r>
          </w:p>
        </w:tc>
      </w:tr>
      <w:tr w:rsidR="00E21F66" w:rsidRPr="00192837" w14:paraId="1E5D6800" w14:textId="22666758" w:rsidTr="00E21F6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4" w:type="dxa"/>
          </w:tcPr>
          <w:p w14:paraId="4F4686F4"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000000"/>
                <w:sz w:val="18"/>
                <w:szCs w:val="20"/>
              </w:rPr>
            </w:pPr>
            <w:r w:rsidRPr="00192837">
              <w:rPr>
                <w:rFonts w:eastAsia="Gill Sans MT" w:cs="Times New Roman"/>
                <w:color w:val="000000"/>
                <w:sz w:val="18"/>
                <w:szCs w:val="20"/>
              </w:rPr>
              <w:t>Total</w:t>
            </w:r>
          </w:p>
        </w:tc>
        <w:tc>
          <w:tcPr>
            <w:tcW w:w="972" w:type="dxa"/>
          </w:tcPr>
          <w:p w14:paraId="5FB41E2C"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10000000000" w:firstRow="0" w:lastRow="1" w:firstColumn="0" w:lastColumn="0" w:oddVBand="0" w:evenVBand="0" w:oddHBand="0"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t>17</w:t>
            </w:r>
          </w:p>
        </w:tc>
        <w:tc>
          <w:tcPr>
            <w:tcW w:w="1111" w:type="dxa"/>
          </w:tcPr>
          <w:p w14:paraId="1BF66E87"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10000000000" w:firstRow="0" w:lastRow="1" w:firstColumn="0" w:lastColumn="0" w:oddVBand="0" w:evenVBand="0" w:oddHBand="0"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t>15</w:t>
            </w:r>
          </w:p>
        </w:tc>
        <w:tc>
          <w:tcPr>
            <w:tcW w:w="1087" w:type="dxa"/>
          </w:tcPr>
          <w:p w14:paraId="57FB0423"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10000000000" w:firstRow="0" w:lastRow="1" w:firstColumn="0" w:lastColumn="0" w:oddVBand="0" w:evenVBand="0" w:oddHBand="0"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t>16</w:t>
            </w:r>
          </w:p>
        </w:tc>
        <w:tc>
          <w:tcPr>
            <w:tcW w:w="1087" w:type="dxa"/>
          </w:tcPr>
          <w:p w14:paraId="53DA9D69"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10000000000" w:firstRow="0" w:lastRow="1" w:firstColumn="0" w:lastColumn="0" w:oddVBand="0" w:evenVBand="0" w:oddHBand="0"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t>10</w:t>
            </w:r>
          </w:p>
        </w:tc>
        <w:tc>
          <w:tcPr>
            <w:tcW w:w="1179" w:type="dxa"/>
          </w:tcPr>
          <w:p w14:paraId="04D5B82A"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10000000000" w:firstRow="0" w:lastRow="1" w:firstColumn="0" w:lastColumn="0" w:oddVBand="0" w:evenVBand="0" w:oddHBand="0"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t>15</w:t>
            </w:r>
          </w:p>
        </w:tc>
        <w:tc>
          <w:tcPr>
            <w:tcW w:w="1160" w:type="dxa"/>
          </w:tcPr>
          <w:p w14:paraId="1606CFC5"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10000000000" w:firstRow="0" w:lastRow="1" w:firstColumn="0" w:lastColumn="0" w:oddVBand="0" w:evenVBand="0" w:oddHBand="0"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t>10</w:t>
            </w:r>
          </w:p>
        </w:tc>
        <w:tc>
          <w:tcPr>
            <w:tcW w:w="1201" w:type="dxa"/>
          </w:tcPr>
          <w:p w14:paraId="4D976F1D" w14:textId="77777777" w:rsidR="00593E3B" w:rsidRPr="00192837" w:rsidRDefault="00593E3B" w:rsidP="00297895">
            <w:pPr>
              <w:tabs>
                <w:tab w:val="clear" w:pos="280"/>
                <w:tab w:val="clear" w:pos="4800"/>
                <w:tab w:val="clear" w:pos="5780"/>
              </w:tabs>
              <w:suppressAutoHyphens w:val="0"/>
              <w:autoSpaceDE/>
              <w:autoSpaceDN/>
              <w:adjustRightInd/>
              <w:spacing w:line="264" w:lineRule="auto"/>
              <w:jc w:val="center"/>
              <w:textAlignment w:val="auto"/>
              <w:cnfStyle w:val="010000000000" w:firstRow="0" w:lastRow="1" w:firstColumn="0" w:lastColumn="0" w:oddVBand="0" w:evenVBand="0" w:oddHBand="0" w:evenHBand="0" w:firstRowFirstColumn="0" w:firstRowLastColumn="0" w:lastRowFirstColumn="0" w:lastRowLastColumn="0"/>
              <w:rPr>
                <w:rFonts w:eastAsia="Gill Sans MT" w:cs="Times New Roman"/>
                <w:color w:val="38383A"/>
                <w:sz w:val="18"/>
                <w:szCs w:val="20"/>
              </w:rPr>
            </w:pPr>
          </w:p>
        </w:tc>
      </w:tr>
    </w:tbl>
    <w:p w14:paraId="467C9A58" w14:textId="67E794B8" w:rsidR="00A61E98" w:rsidRDefault="00A61E98" w:rsidP="00593E3B">
      <w:pPr>
        <w:tabs>
          <w:tab w:val="clear" w:pos="280"/>
          <w:tab w:val="clear" w:pos="4800"/>
          <w:tab w:val="clear" w:pos="5780"/>
        </w:tabs>
        <w:suppressAutoHyphens w:val="0"/>
        <w:autoSpaceDE/>
        <w:autoSpaceDN/>
        <w:adjustRightInd/>
        <w:spacing w:after="120" w:line="264" w:lineRule="auto"/>
        <w:textAlignment w:val="auto"/>
        <w:rPr>
          <w:sz w:val="16"/>
          <w:szCs w:val="16"/>
        </w:rPr>
      </w:pPr>
      <w:r w:rsidRPr="00192837">
        <w:rPr>
          <w:sz w:val="16"/>
          <w:szCs w:val="16"/>
        </w:rPr>
        <w:t>Source: Europe Econom</w:t>
      </w:r>
      <w:r w:rsidR="00593E3B">
        <w:rPr>
          <w:sz w:val="16"/>
          <w:szCs w:val="16"/>
        </w:rPr>
        <w:t>ics</w:t>
      </w:r>
    </w:p>
    <w:p w14:paraId="337323D4" w14:textId="1CC9C798" w:rsidR="00593E3B" w:rsidRDefault="00593E3B" w:rsidP="00593E3B">
      <w:pPr>
        <w:pStyle w:val="Heading2Pink"/>
      </w:pPr>
      <w:bookmarkStart w:id="90" w:name="_Toc504484133"/>
      <w:r>
        <w:t>Licensing requirements</w:t>
      </w:r>
      <w:bookmarkEnd w:id="90"/>
    </w:p>
    <w:p w14:paraId="559A5D81" w14:textId="77777777" w:rsidR="00804578" w:rsidRPr="00192837" w:rsidRDefault="00804578" w:rsidP="00804578">
      <w:pPr>
        <w:keepNext/>
        <w:spacing w:after="200" w:line="240" w:lineRule="auto"/>
        <w:rPr>
          <w:b/>
          <w:bCs/>
          <w:sz w:val="20"/>
        </w:rPr>
      </w:pPr>
      <w:r w:rsidRPr="00192837">
        <w:rPr>
          <w:b/>
          <w:bCs/>
          <w:sz w:val="20"/>
        </w:rPr>
        <w:t xml:space="preserve">Table </w:t>
      </w:r>
      <w:r>
        <w:rPr>
          <w:b/>
          <w:bCs/>
          <w:sz w:val="20"/>
        </w:rPr>
        <w:fldChar w:fldCharType="begin"/>
      </w:r>
      <w:r>
        <w:rPr>
          <w:b/>
          <w:bCs/>
          <w:sz w:val="20"/>
        </w:rPr>
        <w:instrText xml:space="preserve"> STYLEREF 1 \s </w:instrText>
      </w:r>
      <w:r>
        <w:rPr>
          <w:b/>
          <w:bCs/>
          <w:sz w:val="20"/>
        </w:rPr>
        <w:fldChar w:fldCharType="separate"/>
      </w:r>
      <w:r w:rsidR="00B51130">
        <w:rPr>
          <w:b/>
          <w:bCs/>
          <w:noProof/>
          <w:sz w:val="20"/>
        </w:rPr>
        <w:t>11</w:t>
      </w:r>
      <w:r>
        <w:rPr>
          <w:b/>
          <w:bCs/>
          <w:sz w:val="20"/>
        </w:rPr>
        <w:fldChar w:fldCharType="end"/>
      </w:r>
      <w:r>
        <w:rPr>
          <w:b/>
          <w:bCs/>
          <w:sz w:val="20"/>
        </w:rPr>
        <w:t>.</w:t>
      </w:r>
      <w:r>
        <w:rPr>
          <w:b/>
          <w:bCs/>
          <w:sz w:val="20"/>
        </w:rPr>
        <w:fldChar w:fldCharType="begin"/>
      </w:r>
      <w:r>
        <w:rPr>
          <w:b/>
          <w:bCs/>
          <w:sz w:val="20"/>
        </w:rPr>
        <w:instrText xml:space="preserve"> SEQ Table \* ARABIC \s 1 </w:instrText>
      </w:r>
      <w:r>
        <w:rPr>
          <w:b/>
          <w:bCs/>
          <w:sz w:val="20"/>
        </w:rPr>
        <w:fldChar w:fldCharType="separate"/>
      </w:r>
      <w:r w:rsidR="00B51130">
        <w:rPr>
          <w:b/>
          <w:bCs/>
          <w:noProof/>
          <w:sz w:val="20"/>
        </w:rPr>
        <w:t>2</w:t>
      </w:r>
      <w:r>
        <w:rPr>
          <w:b/>
          <w:bCs/>
          <w:sz w:val="20"/>
        </w:rPr>
        <w:fldChar w:fldCharType="end"/>
      </w:r>
      <w:r w:rsidRPr="00192837">
        <w:rPr>
          <w:b/>
          <w:bCs/>
          <w:sz w:val="20"/>
        </w:rPr>
        <w:t>: Licensing requirements — summary</w:t>
      </w:r>
    </w:p>
    <w:tbl>
      <w:tblPr>
        <w:tblStyle w:val="LightShading-Accent112"/>
        <w:tblW w:w="5090" w:type="pct"/>
        <w:tblLook w:val="04E0" w:firstRow="1" w:lastRow="1" w:firstColumn="1" w:lastColumn="0" w:noHBand="0" w:noVBand="1"/>
      </w:tblPr>
      <w:tblGrid>
        <w:gridCol w:w="3995"/>
        <w:gridCol w:w="2047"/>
        <w:gridCol w:w="1799"/>
        <w:gridCol w:w="1970"/>
      </w:tblGrid>
      <w:tr w:rsidR="00804578" w:rsidRPr="00192837" w14:paraId="10835A99" w14:textId="4A87BA0A" w:rsidTr="003B20E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36" w:type="pct"/>
          </w:tcPr>
          <w:p w14:paraId="1E01EF03"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38383A"/>
                <w:sz w:val="18"/>
                <w:szCs w:val="20"/>
              </w:rPr>
              <w:t>Jurisdiction</w:t>
            </w:r>
          </w:p>
        </w:tc>
        <w:tc>
          <w:tcPr>
            <w:tcW w:w="1043" w:type="pct"/>
          </w:tcPr>
          <w:p w14:paraId="4B3B1510"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100000000000" w:firstRow="1" w:lastRow="0" w:firstColumn="0" w:lastColumn="0" w:oddVBand="0" w:evenVBand="0" w:oddHBand="0"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Telemedicine only</w:t>
            </w:r>
            <w:r w:rsidRPr="00192837">
              <w:rPr>
                <w:rFonts w:eastAsia="Gill Sans MT" w:cs="Times New Roman"/>
                <w:color w:val="38383A"/>
                <w:sz w:val="18"/>
                <w:szCs w:val="20"/>
              </w:rPr>
              <w:t xml:space="preserve"> license</w:t>
            </w:r>
          </w:p>
        </w:tc>
        <w:tc>
          <w:tcPr>
            <w:tcW w:w="917" w:type="pct"/>
          </w:tcPr>
          <w:p w14:paraId="34A3F1E3"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100000000000" w:firstRow="1" w:lastRow="0" w:firstColumn="0" w:lastColumn="0" w:oddVBand="0" w:evenVBand="0" w:oddHBand="0" w:evenHBand="0" w:firstRowFirstColumn="0" w:firstRowLastColumn="0" w:lastRowFirstColumn="0" w:lastRowLastColumn="0"/>
              <w:rPr>
                <w:rFonts w:eastAsia="Gill Sans MT" w:cs="Times New Roman"/>
                <w:color w:val="38383A"/>
                <w:sz w:val="18"/>
                <w:szCs w:val="20"/>
              </w:rPr>
            </w:pPr>
            <w:r w:rsidRPr="00192837">
              <w:rPr>
                <w:rFonts w:eastAsia="Gill Sans MT" w:cs="Times New Roman"/>
                <w:color w:val="38383A"/>
                <w:sz w:val="18"/>
                <w:szCs w:val="20"/>
              </w:rPr>
              <w:t>Local license</w:t>
            </w:r>
          </w:p>
        </w:tc>
        <w:tc>
          <w:tcPr>
            <w:tcW w:w="1005" w:type="pct"/>
          </w:tcPr>
          <w:p w14:paraId="36AFEEC2" w14:textId="77777777" w:rsidR="00D757F7" w:rsidRDefault="00991438" w:rsidP="00297895">
            <w:pPr>
              <w:tabs>
                <w:tab w:val="clear" w:pos="280"/>
                <w:tab w:val="clear" w:pos="4800"/>
                <w:tab w:val="clear" w:pos="5780"/>
              </w:tabs>
              <w:suppressAutoHyphens w:val="0"/>
              <w:autoSpaceDE/>
              <w:autoSpaceDN/>
              <w:adjustRightInd/>
              <w:spacing w:line="264" w:lineRule="auto"/>
              <w:jc w:val="center"/>
              <w:textAlignment w:val="auto"/>
              <w:cnfStyle w:val="100000000000" w:firstRow="1" w:lastRow="0" w:firstColumn="0" w:lastColumn="0" w:oddVBand="0" w:evenVBand="0" w:oddHBand="0" w:evenHBand="0" w:firstRowFirstColumn="0" w:firstRowLastColumn="0" w:lastRowFirstColumn="0" w:lastRowLastColumn="0"/>
              <w:rPr>
                <w:rFonts w:eastAsia="Gill Sans MT" w:cs="Times New Roman"/>
                <w:b w:val="0"/>
                <w:bCs w:val="0"/>
                <w:color w:val="38383A"/>
                <w:sz w:val="18"/>
                <w:szCs w:val="20"/>
              </w:rPr>
            </w:pPr>
            <w:r>
              <w:rPr>
                <w:rFonts w:eastAsia="Gill Sans MT" w:cs="Times New Roman"/>
                <w:color w:val="38383A"/>
                <w:sz w:val="18"/>
                <w:szCs w:val="20"/>
              </w:rPr>
              <w:t>Appendix 2</w:t>
            </w:r>
          </w:p>
          <w:p w14:paraId="53F8DFA2" w14:textId="4DA85B8E" w:rsidR="00804578" w:rsidRPr="00192837" w:rsidRDefault="00991438" w:rsidP="00297895">
            <w:pPr>
              <w:tabs>
                <w:tab w:val="clear" w:pos="280"/>
                <w:tab w:val="clear" w:pos="4800"/>
                <w:tab w:val="clear" w:pos="5780"/>
              </w:tabs>
              <w:suppressAutoHyphens w:val="0"/>
              <w:autoSpaceDE/>
              <w:autoSpaceDN/>
              <w:adjustRightInd/>
              <w:spacing w:line="264" w:lineRule="auto"/>
              <w:jc w:val="center"/>
              <w:textAlignment w:val="auto"/>
              <w:cnfStyle w:val="100000000000" w:firstRow="1" w:lastRow="0" w:firstColumn="0" w:lastColumn="0" w:oddVBand="0" w:evenVBand="0" w:oddHBand="0"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section reference</w:t>
            </w:r>
          </w:p>
        </w:tc>
      </w:tr>
      <w:tr w:rsidR="00804578" w:rsidRPr="00192837" w14:paraId="166FB018" w14:textId="0DA82711" w:rsidTr="003B2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6" w:type="pct"/>
          </w:tcPr>
          <w:p w14:paraId="1A375DDA"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Australia</w:t>
            </w:r>
          </w:p>
        </w:tc>
        <w:tc>
          <w:tcPr>
            <w:tcW w:w="1043" w:type="pct"/>
          </w:tcPr>
          <w:p w14:paraId="5918257F"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sym w:font="Wingdings 2" w:char="F04F"/>
            </w:r>
          </w:p>
        </w:tc>
        <w:tc>
          <w:tcPr>
            <w:tcW w:w="917" w:type="pct"/>
          </w:tcPr>
          <w:p w14:paraId="0E6366E9"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1005" w:type="pct"/>
          </w:tcPr>
          <w:p w14:paraId="06EF6928" w14:textId="1E97FCAC" w:rsidR="00AE776F" w:rsidRPr="007331F1" w:rsidRDefault="00B50D9A"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_Ref499731953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1.2.3</w:t>
            </w:r>
            <w:r>
              <w:rPr>
                <w:rFonts w:eastAsia="Gill Sans MT" w:cs="Times New Roman"/>
                <w:color w:val="38383A"/>
                <w:sz w:val="18"/>
                <w:szCs w:val="20"/>
              </w:rPr>
              <w:fldChar w:fldCharType="end"/>
            </w:r>
          </w:p>
        </w:tc>
      </w:tr>
      <w:tr w:rsidR="00804578" w:rsidRPr="00192837" w14:paraId="3A6CE390" w14:textId="29A1DCEE" w:rsidTr="003B20EF">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6" w:type="pct"/>
          </w:tcPr>
          <w:p w14:paraId="55C34C14"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Denmark</w:t>
            </w:r>
          </w:p>
        </w:tc>
        <w:tc>
          <w:tcPr>
            <w:tcW w:w="1043" w:type="pct"/>
            <w:vAlign w:val="top"/>
          </w:tcPr>
          <w:p w14:paraId="404A806B"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032A83">
              <w:rPr>
                <w:rFonts w:eastAsia="Gill Sans MT" w:cs="Times New Roman"/>
                <w:color w:val="38383A"/>
                <w:sz w:val="18"/>
                <w:szCs w:val="20"/>
              </w:rPr>
              <w:sym w:font="Wingdings 2" w:char="F04F"/>
            </w:r>
          </w:p>
        </w:tc>
        <w:tc>
          <w:tcPr>
            <w:tcW w:w="917" w:type="pct"/>
            <w:vAlign w:val="top"/>
          </w:tcPr>
          <w:p w14:paraId="052D6AF5"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4B5FE8">
              <w:rPr>
                <w:rFonts w:eastAsia="Gill Sans MT" w:cs="Times New Roman"/>
                <w:color w:val="38383A"/>
                <w:sz w:val="18"/>
                <w:szCs w:val="20"/>
              </w:rPr>
              <w:sym w:font="Wingdings 2" w:char="F04F"/>
            </w:r>
          </w:p>
        </w:tc>
        <w:tc>
          <w:tcPr>
            <w:tcW w:w="1005" w:type="pct"/>
          </w:tcPr>
          <w:p w14:paraId="41A54F2F" w14:textId="0B26C869" w:rsidR="00804578" w:rsidRPr="004B5FE8" w:rsidRDefault="00B50D9A"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_Ref499731998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3.2.3</w:t>
            </w:r>
            <w:r>
              <w:rPr>
                <w:rFonts w:eastAsia="Gill Sans MT" w:cs="Times New Roman"/>
                <w:color w:val="38383A"/>
                <w:sz w:val="18"/>
                <w:szCs w:val="20"/>
              </w:rPr>
              <w:fldChar w:fldCharType="end"/>
            </w:r>
          </w:p>
        </w:tc>
      </w:tr>
      <w:tr w:rsidR="00804578" w:rsidRPr="00192837" w14:paraId="66887EF2" w14:textId="7DDB84CE" w:rsidTr="003B2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6" w:type="pct"/>
          </w:tcPr>
          <w:p w14:paraId="7E62EBBE"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France</w:t>
            </w:r>
          </w:p>
        </w:tc>
        <w:tc>
          <w:tcPr>
            <w:tcW w:w="1043" w:type="pct"/>
            <w:vAlign w:val="top"/>
          </w:tcPr>
          <w:p w14:paraId="33FACF76"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032A83">
              <w:rPr>
                <w:rFonts w:eastAsia="Gill Sans MT" w:cs="Times New Roman"/>
                <w:color w:val="38383A"/>
                <w:sz w:val="18"/>
                <w:szCs w:val="20"/>
              </w:rPr>
              <w:sym w:font="Wingdings 2" w:char="F04F"/>
            </w:r>
          </w:p>
        </w:tc>
        <w:tc>
          <w:tcPr>
            <w:tcW w:w="917" w:type="pct"/>
            <w:vAlign w:val="top"/>
          </w:tcPr>
          <w:p w14:paraId="37F5AA06"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4B5FE8">
              <w:rPr>
                <w:rFonts w:eastAsia="Gill Sans MT" w:cs="Times New Roman"/>
                <w:color w:val="38383A"/>
                <w:sz w:val="18"/>
                <w:szCs w:val="20"/>
              </w:rPr>
              <w:sym w:font="Wingdings 2" w:char="F04F"/>
            </w:r>
          </w:p>
        </w:tc>
        <w:tc>
          <w:tcPr>
            <w:tcW w:w="1005" w:type="pct"/>
          </w:tcPr>
          <w:p w14:paraId="6982BEA8" w14:textId="3A90C79B" w:rsidR="00804578" w:rsidRPr="004B5FE8" w:rsidRDefault="00B50D9A"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_Ref499732031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4.2.3</w:t>
            </w:r>
            <w:r>
              <w:rPr>
                <w:rFonts w:eastAsia="Gill Sans MT" w:cs="Times New Roman"/>
                <w:color w:val="38383A"/>
                <w:sz w:val="18"/>
                <w:szCs w:val="20"/>
              </w:rPr>
              <w:fldChar w:fldCharType="end"/>
            </w:r>
          </w:p>
        </w:tc>
      </w:tr>
      <w:tr w:rsidR="00804578" w:rsidRPr="00192837" w14:paraId="6D73F9A6" w14:textId="57D91B8E" w:rsidTr="003B20EF">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6" w:type="pct"/>
          </w:tcPr>
          <w:p w14:paraId="1D7AF0CB"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New Zealand</w:t>
            </w:r>
          </w:p>
        </w:tc>
        <w:tc>
          <w:tcPr>
            <w:tcW w:w="1043" w:type="pct"/>
            <w:vAlign w:val="top"/>
          </w:tcPr>
          <w:p w14:paraId="10745E49"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032A83">
              <w:rPr>
                <w:rFonts w:eastAsia="Gill Sans MT" w:cs="Times New Roman"/>
                <w:color w:val="38383A"/>
                <w:sz w:val="18"/>
                <w:szCs w:val="20"/>
              </w:rPr>
              <w:sym w:font="Wingdings 2" w:char="F04F"/>
            </w:r>
          </w:p>
        </w:tc>
        <w:tc>
          <w:tcPr>
            <w:tcW w:w="917" w:type="pct"/>
          </w:tcPr>
          <w:p w14:paraId="5B51D562"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encouraged</w:t>
            </w:r>
          </w:p>
        </w:tc>
        <w:tc>
          <w:tcPr>
            <w:tcW w:w="1005" w:type="pct"/>
          </w:tcPr>
          <w:p w14:paraId="3F02FF56" w14:textId="5CB6D1E6" w:rsidR="00804578" w:rsidRDefault="00B50D9A"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_Ref499732048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5.1.4</w:t>
            </w:r>
            <w:r>
              <w:rPr>
                <w:rFonts w:eastAsia="Gill Sans MT" w:cs="Times New Roman"/>
                <w:color w:val="38383A"/>
                <w:sz w:val="18"/>
                <w:szCs w:val="20"/>
              </w:rPr>
              <w:fldChar w:fldCharType="end"/>
            </w:r>
          </w:p>
        </w:tc>
      </w:tr>
      <w:tr w:rsidR="00804578" w:rsidRPr="00192837" w14:paraId="6DBB5DBF" w14:textId="710A5D88" w:rsidTr="003B2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6" w:type="pct"/>
          </w:tcPr>
          <w:p w14:paraId="153D4879"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Portugal</w:t>
            </w:r>
          </w:p>
        </w:tc>
        <w:tc>
          <w:tcPr>
            <w:tcW w:w="1043" w:type="pct"/>
            <w:vAlign w:val="top"/>
          </w:tcPr>
          <w:p w14:paraId="6B120479"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032A83">
              <w:rPr>
                <w:rFonts w:eastAsia="Gill Sans MT" w:cs="Times New Roman"/>
                <w:color w:val="38383A"/>
                <w:sz w:val="18"/>
                <w:szCs w:val="20"/>
              </w:rPr>
              <w:sym w:font="Wingdings 2" w:char="F04F"/>
            </w:r>
          </w:p>
        </w:tc>
        <w:tc>
          <w:tcPr>
            <w:tcW w:w="917" w:type="pct"/>
          </w:tcPr>
          <w:p w14:paraId="2D4290D7"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032A83">
              <w:rPr>
                <w:rFonts w:eastAsia="Gill Sans MT" w:cs="Times New Roman"/>
                <w:color w:val="38383A"/>
                <w:sz w:val="18"/>
                <w:szCs w:val="20"/>
              </w:rPr>
              <w:sym w:font="Wingdings 2" w:char="F04F"/>
            </w:r>
          </w:p>
        </w:tc>
        <w:tc>
          <w:tcPr>
            <w:tcW w:w="1005" w:type="pct"/>
          </w:tcPr>
          <w:p w14:paraId="6D4DBEEE" w14:textId="77777777" w:rsidR="00804578" w:rsidRDefault="00B50D9A"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_Ref499732079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6.2.3</w:t>
            </w:r>
            <w:r>
              <w:rPr>
                <w:rFonts w:eastAsia="Gill Sans MT" w:cs="Times New Roman"/>
                <w:color w:val="38383A"/>
                <w:sz w:val="18"/>
                <w:szCs w:val="20"/>
              </w:rPr>
              <w:fldChar w:fldCharType="end"/>
            </w:r>
          </w:p>
          <w:p w14:paraId="35B31BB3" w14:textId="0AC452BA" w:rsidR="00B50D9A" w:rsidRPr="00032A83" w:rsidRDefault="00B50D9A"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_Ref499732087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6.3.3</w:t>
            </w:r>
            <w:r>
              <w:rPr>
                <w:rFonts w:eastAsia="Gill Sans MT" w:cs="Times New Roman"/>
                <w:color w:val="38383A"/>
                <w:sz w:val="18"/>
                <w:szCs w:val="20"/>
              </w:rPr>
              <w:fldChar w:fldCharType="end"/>
            </w:r>
          </w:p>
        </w:tc>
      </w:tr>
      <w:tr w:rsidR="00804578" w:rsidRPr="00192837" w14:paraId="6B555A62" w14:textId="333A6E15" w:rsidTr="003B20EF">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6" w:type="pct"/>
          </w:tcPr>
          <w:p w14:paraId="480859D4"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Singapore</w:t>
            </w:r>
          </w:p>
        </w:tc>
        <w:tc>
          <w:tcPr>
            <w:tcW w:w="1043" w:type="pct"/>
            <w:vAlign w:val="top"/>
          </w:tcPr>
          <w:p w14:paraId="036AF429"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032A83">
              <w:rPr>
                <w:rFonts w:eastAsia="Gill Sans MT" w:cs="Times New Roman"/>
                <w:color w:val="38383A"/>
                <w:sz w:val="18"/>
                <w:szCs w:val="20"/>
              </w:rPr>
              <w:sym w:font="Wingdings 2" w:char="F04F"/>
            </w:r>
          </w:p>
        </w:tc>
        <w:tc>
          <w:tcPr>
            <w:tcW w:w="917" w:type="pct"/>
          </w:tcPr>
          <w:p w14:paraId="392569B7"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1005" w:type="pct"/>
          </w:tcPr>
          <w:p w14:paraId="639DDD1D" w14:textId="400D9C41"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r>
      <w:tr w:rsidR="00804578" w:rsidRPr="00192837" w14:paraId="0880C967" w14:textId="3A38984C" w:rsidTr="003B2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6" w:type="pct"/>
          </w:tcPr>
          <w:p w14:paraId="447957B0"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Alberta</w:t>
            </w:r>
          </w:p>
        </w:tc>
        <w:tc>
          <w:tcPr>
            <w:tcW w:w="1043" w:type="pct"/>
            <w:vAlign w:val="top"/>
          </w:tcPr>
          <w:p w14:paraId="7E25DEF7"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032A83">
              <w:rPr>
                <w:rFonts w:eastAsia="Gill Sans MT" w:cs="Times New Roman"/>
                <w:color w:val="38383A"/>
                <w:sz w:val="18"/>
                <w:szCs w:val="20"/>
              </w:rPr>
              <w:sym w:font="Wingdings 2" w:char="F04F"/>
            </w:r>
          </w:p>
        </w:tc>
        <w:tc>
          <w:tcPr>
            <w:tcW w:w="917" w:type="pct"/>
          </w:tcPr>
          <w:p w14:paraId="0DE79661"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1005" w:type="pct"/>
          </w:tcPr>
          <w:p w14:paraId="283771A1" w14:textId="42F46584" w:rsidR="00804578" w:rsidRPr="007331F1" w:rsidRDefault="00B50D9A"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_Ref499732135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2.3.4</w:t>
            </w:r>
            <w:r>
              <w:rPr>
                <w:rFonts w:eastAsia="Gill Sans MT" w:cs="Times New Roman"/>
                <w:color w:val="38383A"/>
                <w:sz w:val="18"/>
                <w:szCs w:val="20"/>
              </w:rPr>
              <w:fldChar w:fldCharType="end"/>
            </w:r>
          </w:p>
        </w:tc>
      </w:tr>
      <w:tr w:rsidR="00804578" w:rsidRPr="00192837" w14:paraId="4A11436C" w14:textId="720EF50B" w:rsidTr="003B20EF">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6" w:type="pct"/>
          </w:tcPr>
          <w:p w14:paraId="4FBB36CE"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British Columbia</w:t>
            </w:r>
          </w:p>
        </w:tc>
        <w:tc>
          <w:tcPr>
            <w:tcW w:w="1043" w:type="pct"/>
            <w:vAlign w:val="top"/>
          </w:tcPr>
          <w:p w14:paraId="5C325420"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032A83">
              <w:rPr>
                <w:rFonts w:eastAsia="Gill Sans MT" w:cs="Times New Roman"/>
                <w:color w:val="38383A"/>
                <w:sz w:val="18"/>
                <w:szCs w:val="20"/>
              </w:rPr>
              <w:sym w:font="Wingdings 2" w:char="F04F"/>
            </w:r>
          </w:p>
        </w:tc>
        <w:tc>
          <w:tcPr>
            <w:tcW w:w="917" w:type="pct"/>
          </w:tcPr>
          <w:p w14:paraId="11D240EB"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032A83">
              <w:rPr>
                <w:rFonts w:eastAsia="Gill Sans MT" w:cs="Times New Roman"/>
                <w:color w:val="38383A"/>
                <w:sz w:val="18"/>
                <w:szCs w:val="20"/>
              </w:rPr>
              <w:sym w:font="Wingdings 2" w:char="F04F"/>
            </w:r>
          </w:p>
        </w:tc>
        <w:tc>
          <w:tcPr>
            <w:tcW w:w="1005" w:type="pct"/>
          </w:tcPr>
          <w:p w14:paraId="42DB92BE" w14:textId="507CA5EB" w:rsidR="00804578" w:rsidRPr="00032A83" w:rsidRDefault="00B50D9A"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_Ref499732142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2.4.4</w:t>
            </w:r>
            <w:r>
              <w:rPr>
                <w:rFonts w:eastAsia="Gill Sans MT" w:cs="Times New Roman"/>
                <w:color w:val="38383A"/>
                <w:sz w:val="18"/>
                <w:szCs w:val="20"/>
              </w:rPr>
              <w:fldChar w:fldCharType="end"/>
            </w:r>
          </w:p>
        </w:tc>
      </w:tr>
      <w:tr w:rsidR="00804578" w:rsidRPr="00192837" w14:paraId="1E4989E4" w14:textId="7C9964A7" w:rsidTr="003B2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6" w:type="pct"/>
          </w:tcPr>
          <w:p w14:paraId="13546E17"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Newfoundland and Labrador</w:t>
            </w:r>
          </w:p>
        </w:tc>
        <w:tc>
          <w:tcPr>
            <w:tcW w:w="1043" w:type="pct"/>
            <w:vAlign w:val="top"/>
          </w:tcPr>
          <w:p w14:paraId="29101264"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032A83">
              <w:rPr>
                <w:rFonts w:eastAsia="Gill Sans MT" w:cs="Times New Roman"/>
                <w:color w:val="38383A"/>
                <w:sz w:val="18"/>
                <w:szCs w:val="20"/>
              </w:rPr>
              <w:sym w:font="Wingdings 2" w:char="F04F"/>
            </w:r>
          </w:p>
        </w:tc>
        <w:tc>
          <w:tcPr>
            <w:tcW w:w="917" w:type="pct"/>
          </w:tcPr>
          <w:p w14:paraId="689E5C58"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032A83">
              <w:rPr>
                <w:rFonts w:eastAsia="Gill Sans MT" w:cs="Times New Roman"/>
                <w:color w:val="38383A"/>
                <w:sz w:val="18"/>
                <w:szCs w:val="20"/>
              </w:rPr>
              <w:sym w:font="Wingdings 2" w:char="F04F"/>
            </w:r>
          </w:p>
        </w:tc>
        <w:tc>
          <w:tcPr>
            <w:tcW w:w="1005" w:type="pct"/>
          </w:tcPr>
          <w:p w14:paraId="23B74E82" w14:textId="09E57238" w:rsidR="00804578" w:rsidRPr="00032A83" w:rsidRDefault="00B50D9A"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_Ref499732190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2.5.4</w:t>
            </w:r>
            <w:r>
              <w:rPr>
                <w:rFonts w:eastAsia="Gill Sans MT" w:cs="Times New Roman"/>
                <w:color w:val="38383A"/>
                <w:sz w:val="18"/>
                <w:szCs w:val="20"/>
              </w:rPr>
              <w:fldChar w:fldCharType="end"/>
            </w:r>
          </w:p>
        </w:tc>
      </w:tr>
      <w:tr w:rsidR="00804578" w:rsidRPr="00192837" w14:paraId="62753C95" w14:textId="4A4BA42C" w:rsidTr="003B20EF">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6" w:type="pct"/>
          </w:tcPr>
          <w:p w14:paraId="063BB537"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lastRenderedPageBreak/>
              <w:t>Ontario</w:t>
            </w:r>
          </w:p>
        </w:tc>
        <w:tc>
          <w:tcPr>
            <w:tcW w:w="1043" w:type="pct"/>
            <w:vAlign w:val="top"/>
          </w:tcPr>
          <w:p w14:paraId="3BA3BA19"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032A83">
              <w:rPr>
                <w:rFonts w:eastAsia="Gill Sans MT" w:cs="Times New Roman"/>
                <w:color w:val="38383A"/>
                <w:sz w:val="18"/>
                <w:szCs w:val="20"/>
              </w:rPr>
              <w:sym w:font="Wingdings 2" w:char="F04F"/>
            </w:r>
          </w:p>
        </w:tc>
        <w:tc>
          <w:tcPr>
            <w:tcW w:w="917" w:type="pct"/>
          </w:tcPr>
          <w:p w14:paraId="132736FD"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032A83">
              <w:rPr>
                <w:rFonts w:eastAsia="Gill Sans MT" w:cs="Times New Roman"/>
                <w:color w:val="38383A"/>
                <w:sz w:val="18"/>
                <w:szCs w:val="20"/>
              </w:rPr>
              <w:sym w:font="Wingdings 2" w:char="F04F"/>
            </w:r>
          </w:p>
        </w:tc>
        <w:tc>
          <w:tcPr>
            <w:tcW w:w="1005" w:type="pct"/>
          </w:tcPr>
          <w:p w14:paraId="52E608BF" w14:textId="703429DD" w:rsidR="00804578" w:rsidRPr="00032A83" w:rsidRDefault="00B50D9A"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_Ref494453254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2.6.4</w:t>
            </w:r>
            <w:r>
              <w:rPr>
                <w:rFonts w:eastAsia="Gill Sans MT" w:cs="Times New Roman"/>
                <w:color w:val="38383A"/>
                <w:sz w:val="18"/>
                <w:szCs w:val="20"/>
              </w:rPr>
              <w:fldChar w:fldCharType="end"/>
            </w:r>
          </w:p>
        </w:tc>
      </w:tr>
      <w:tr w:rsidR="00804578" w:rsidRPr="00192837" w14:paraId="7CDC156C" w14:textId="5DEA5C47" w:rsidTr="003B2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6" w:type="pct"/>
          </w:tcPr>
          <w:p w14:paraId="46A21491"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Saskatchewan</w:t>
            </w:r>
          </w:p>
        </w:tc>
        <w:tc>
          <w:tcPr>
            <w:tcW w:w="1043" w:type="pct"/>
            <w:vAlign w:val="top"/>
          </w:tcPr>
          <w:p w14:paraId="52FBE2DB"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917" w:type="pct"/>
          </w:tcPr>
          <w:p w14:paraId="243ABFC8"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1005" w:type="pct"/>
          </w:tcPr>
          <w:p w14:paraId="02E30848" w14:textId="2123F355" w:rsidR="00804578" w:rsidRPr="007331F1" w:rsidRDefault="00B50D9A"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_Ref499732204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2.7.4</w:t>
            </w:r>
            <w:r>
              <w:rPr>
                <w:rFonts w:eastAsia="Gill Sans MT" w:cs="Times New Roman"/>
                <w:color w:val="38383A"/>
                <w:sz w:val="18"/>
                <w:szCs w:val="20"/>
              </w:rPr>
              <w:fldChar w:fldCharType="end"/>
            </w:r>
          </w:p>
        </w:tc>
      </w:tr>
      <w:tr w:rsidR="00804578" w:rsidRPr="00192837" w14:paraId="48A6D662" w14:textId="5AC168A1" w:rsidTr="003B20EF">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6" w:type="pct"/>
          </w:tcPr>
          <w:p w14:paraId="222ED22A"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California</w:t>
            </w:r>
          </w:p>
        </w:tc>
        <w:tc>
          <w:tcPr>
            <w:tcW w:w="1043" w:type="pct"/>
            <w:vAlign w:val="top"/>
          </w:tcPr>
          <w:p w14:paraId="79414788"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032A83">
              <w:rPr>
                <w:rFonts w:eastAsia="Gill Sans MT" w:cs="Times New Roman"/>
                <w:color w:val="38383A"/>
                <w:sz w:val="18"/>
                <w:szCs w:val="20"/>
              </w:rPr>
              <w:sym w:font="Wingdings 2" w:char="F04F"/>
            </w:r>
          </w:p>
        </w:tc>
        <w:tc>
          <w:tcPr>
            <w:tcW w:w="917" w:type="pct"/>
            <w:vAlign w:val="top"/>
          </w:tcPr>
          <w:p w14:paraId="58622809"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1005" w:type="pct"/>
          </w:tcPr>
          <w:p w14:paraId="48D7C45A" w14:textId="65AB48D5" w:rsidR="00804578" w:rsidRPr="007331F1" w:rsidRDefault="00B50D9A"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_Ref499732244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9.10.4</w:t>
            </w:r>
            <w:r>
              <w:rPr>
                <w:rFonts w:eastAsia="Gill Sans MT" w:cs="Times New Roman"/>
                <w:color w:val="38383A"/>
                <w:sz w:val="18"/>
                <w:szCs w:val="20"/>
              </w:rPr>
              <w:fldChar w:fldCharType="end"/>
            </w:r>
          </w:p>
        </w:tc>
      </w:tr>
      <w:tr w:rsidR="00804578" w:rsidRPr="00192837" w14:paraId="03ED8EE0" w14:textId="189495B4" w:rsidTr="003B2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6" w:type="pct"/>
          </w:tcPr>
          <w:p w14:paraId="437B43C5"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Maine</w:t>
            </w:r>
          </w:p>
        </w:tc>
        <w:tc>
          <w:tcPr>
            <w:tcW w:w="1043" w:type="pct"/>
            <w:vAlign w:val="top"/>
          </w:tcPr>
          <w:p w14:paraId="6AE3B20F"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032A83">
              <w:rPr>
                <w:rFonts w:eastAsia="Gill Sans MT" w:cs="Times New Roman"/>
                <w:color w:val="38383A"/>
                <w:sz w:val="18"/>
                <w:szCs w:val="20"/>
              </w:rPr>
              <w:sym w:font="Wingdings 2" w:char="F04F"/>
            </w:r>
          </w:p>
        </w:tc>
        <w:tc>
          <w:tcPr>
            <w:tcW w:w="917" w:type="pct"/>
            <w:vAlign w:val="top"/>
          </w:tcPr>
          <w:p w14:paraId="3C32CCF4"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1005" w:type="pct"/>
          </w:tcPr>
          <w:p w14:paraId="173FC82D" w14:textId="1A0C28AA" w:rsidR="00804578" w:rsidRPr="007331F1" w:rsidRDefault="00B50D9A"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_Ref499731832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9.4.3</w:t>
            </w:r>
            <w:r>
              <w:rPr>
                <w:rFonts w:eastAsia="Gill Sans MT" w:cs="Times New Roman"/>
                <w:color w:val="38383A"/>
                <w:sz w:val="18"/>
                <w:szCs w:val="20"/>
              </w:rPr>
              <w:fldChar w:fldCharType="end"/>
            </w:r>
          </w:p>
        </w:tc>
      </w:tr>
      <w:tr w:rsidR="00804578" w:rsidRPr="00192837" w14:paraId="6198CF71" w14:textId="04EF1927" w:rsidTr="003B20EF">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6" w:type="pct"/>
          </w:tcPr>
          <w:p w14:paraId="4B8EDFDF"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North Carolina</w:t>
            </w:r>
          </w:p>
        </w:tc>
        <w:tc>
          <w:tcPr>
            <w:tcW w:w="1043" w:type="pct"/>
            <w:vAlign w:val="top"/>
          </w:tcPr>
          <w:p w14:paraId="432F4634"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032A83">
              <w:rPr>
                <w:rFonts w:eastAsia="Gill Sans MT" w:cs="Times New Roman"/>
                <w:color w:val="38383A"/>
                <w:sz w:val="18"/>
                <w:szCs w:val="20"/>
              </w:rPr>
              <w:sym w:font="Wingdings 2" w:char="F04F"/>
            </w:r>
          </w:p>
        </w:tc>
        <w:tc>
          <w:tcPr>
            <w:tcW w:w="917" w:type="pct"/>
            <w:vAlign w:val="top"/>
          </w:tcPr>
          <w:p w14:paraId="07A50AB7"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1005" w:type="pct"/>
          </w:tcPr>
          <w:p w14:paraId="63A4A67C" w14:textId="0FB9CDEF" w:rsidR="00804578" w:rsidRPr="007331F1" w:rsidRDefault="00B50D9A"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_Ref499732293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9.5.4</w:t>
            </w:r>
            <w:r>
              <w:rPr>
                <w:rFonts w:eastAsia="Gill Sans MT" w:cs="Times New Roman"/>
                <w:color w:val="38383A"/>
                <w:sz w:val="18"/>
                <w:szCs w:val="20"/>
              </w:rPr>
              <w:fldChar w:fldCharType="end"/>
            </w:r>
          </w:p>
        </w:tc>
      </w:tr>
      <w:tr w:rsidR="00804578" w:rsidRPr="00192837" w14:paraId="1E4BA924" w14:textId="3E93E187" w:rsidTr="003B2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6" w:type="pct"/>
          </w:tcPr>
          <w:p w14:paraId="3E5B0E66"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Oklahoma</w:t>
            </w:r>
          </w:p>
        </w:tc>
        <w:tc>
          <w:tcPr>
            <w:tcW w:w="1043" w:type="pct"/>
            <w:vAlign w:val="top"/>
          </w:tcPr>
          <w:p w14:paraId="46442B8E"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032A83">
              <w:rPr>
                <w:rFonts w:eastAsia="Gill Sans MT" w:cs="Times New Roman"/>
                <w:color w:val="38383A"/>
                <w:sz w:val="18"/>
                <w:szCs w:val="20"/>
              </w:rPr>
              <w:sym w:font="Wingdings 2" w:char="F04F"/>
            </w:r>
          </w:p>
        </w:tc>
        <w:tc>
          <w:tcPr>
            <w:tcW w:w="917" w:type="pct"/>
            <w:vAlign w:val="top"/>
          </w:tcPr>
          <w:p w14:paraId="4047D1E2"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1005" w:type="pct"/>
          </w:tcPr>
          <w:p w14:paraId="4A3FC2E5" w14:textId="0E0F576B" w:rsidR="00804578" w:rsidRPr="007331F1" w:rsidRDefault="00B50D9A"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_Ref499732312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9.11.4</w:t>
            </w:r>
            <w:r>
              <w:rPr>
                <w:rFonts w:eastAsia="Gill Sans MT" w:cs="Times New Roman"/>
                <w:color w:val="38383A"/>
                <w:sz w:val="18"/>
                <w:szCs w:val="20"/>
              </w:rPr>
              <w:fldChar w:fldCharType="end"/>
            </w:r>
          </w:p>
        </w:tc>
      </w:tr>
      <w:tr w:rsidR="00804578" w:rsidRPr="00192837" w14:paraId="6D420B1D" w14:textId="0B24B6A4" w:rsidTr="003B20EF">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6" w:type="pct"/>
          </w:tcPr>
          <w:p w14:paraId="57A47BFB"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Oregon</w:t>
            </w:r>
          </w:p>
        </w:tc>
        <w:tc>
          <w:tcPr>
            <w:tcW w:w="1043" w:type="pct"/>
            <w:vAlign w:val="top"/>
          </w:tcPr>
          <w:p w14:paraId="5C3524F9"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032A83">
              <w:rPr>
                <w:rFonts w:eastAsia="Gill Sans MT" w:cs="Times New Roman"/>
                <w:color w:val="38383A"/>
                <w:sz w:val="18"/>
                <w:szCs w:val="20"/>
              </w:rPr>
              <w:sym w:font="Wingdings 2" w:char="F04F"/>
            </w:r>
          </w:p>
        </w:tc>
        <w:tc>
          <w:tcPr>
            <w:tcW w:w="917" w:type="pct"/>
            <w:vAlign w:val="top"/>
          </w:tcPr>
          <w:p w14:paraId="7DD847A9"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1005" w:type="pct"/>
          </w:tcPr>
          <w:p w14:paraId="1A7F7730" w14:textId="24863EB0" w:rsidR="00804578" w:rsidRPr="007331F1" w:rsidRDefault="00B50D9A"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_Ref499731897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9.6.3</w:t>
            </w:r>
            <w:r>
              <w:rPr>
                <w:rFonts w:eastAsia="Gill Sans MT" w:cs="Times New Roman"/>
                <w:color w:val="38383A"/>
                <w:sz w:val="18"/>
                <w:szCs w:val="20"/>
              </w:rPr>
              <w:fldChar w:fldCharType="end"/>
            </w:r>
          </w:p>
        </w:tc>
      </w:tr>
      <w:tr w:rsidR="00804578" w:rsidRPr="00192837" w14:paraId="1B76D6C4" w14:textId="270C3C76" w:rsidTr="003B2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6" w:type="pct"/>
          </w:tcPr>
          <w:p w14:paraId="19B146F5"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Washington</w:t>
            </w:r>
          </w:p>
        </w:tc>
        <w:tc>
          <w:tcPr>
            <w:tcW w:w="1043" w:type="pct"/>
            <w:vAlign w:val="top"/>
          </w:tcPr>
          <w:p w14:paraId="40FBDC60"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032A83">
              <w:rPr>
                <w:rFonts w:eastAsia="Gill Sans MT" w:cs="Times New Roman"/>
                <w:color w:val="38383A"/>
                <w:sz w:val="18"/>
                <w:szCs w:val="20"/>
              </w:rPr>
              <w:sym w:font="Wingdings 2" w:char="F04F"/>
            </w:r>
          </w:p>
        </w:tc>
        <w:tc>
          <w:tcPr>
            <w:tcW w:w="917" w:type="pct"/>
            <w:vAlign w:val="top"/>
          </w:tcPr>
          <w:p w14:paraId="194231A2"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1005" w:type="pct"/>
          </w:tcPr>
          <w:p w14:paraId="1B785469" w14:textId="7F1F805F" w:rsidR="00804578" w:rsidRPr="007331F1" w:rsidRDefault="00B50D9A"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_Ref499732333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9.7.4</w:t>
            </w:r>
            <w:r>
              <w:rPr>
                <w:rFonts w:eastAsia="Gill Sans MT" w:cs="Times New Roman"/>
                <w:color w:val="38383A"/>
                <w:sz w:val="18"/>
                <w:szCs w:val="20"/>
              </w:rPr>
              <w:fldChar w:fldCharType="end"/>
            </w:r>
          </w:p>
        </w:tc>
      </w:tr>
      <w:tr w:rsidR="00804578" w:rsidRPr="00192837" w14:paraId="206D244B" w14:textId="724AF5F1" w:rsidTr="003B20E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6" w:type="pct"/>
          </w:tcPr>
          <w:p w14:paraId="3919D88C"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000000"/>
                <w:sz w:val="18"/>
                <w:szCs w:val="20"/>
              </w:rPr>
            </w:pPr>
            <w:r w:rsidRPr="00192837">
              <w:rPr>
                <w:rFonts w:eastAsia="Gill Sans MT" w:cs="Times New Roman"/>
                <w:color w:val="000000"/>
                <w:sz w:val="18"/>
                <w:szCs w:val="20"/>
              </w:rPr>
              <w:t>Total</w:t>
            </w:r>
          </w:p>
        </w:tc>
        <w:tc>
          <w:tcPr>
            <w:tcW w:w="1043" w:type="pct"/>
          </w:tcPr>
          <w:p w14:paraId="2F95474E"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10000000000" w:firstRow="0" w:lastRow="1" w:firstColumn="0" w:lastColumn="0" w:oddVBand="0" w:evenVBand="0" w:oddHBand="0"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1</w:t>
            </w:r>
          </w:p>
        </w:tc>
        <w:tc>
          <w:tcPr>
            <w:tcW w:w="917" w:type="pct"/>
          </w:tcPr>
          <w:p w14:paraId="0CDD4A04"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10000000000" w:firstRow="0" w:lastRow="1" w:firstColumn="0" w:lastColumn="0" w:oddVBand="0" w:evenVBand="0" w:oddHBand="0"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9</w:t>
            </w:r>
          </w:p>
        </w:tc>
        <w:tc>
          <w:tcPr>
            <w:tcW w:w="1005" w:type="pct"/>
          </w:tcPr>
          <w:p w14:paraId="40CA086D" w14:textId="77777777" w:rsidR="00804578"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10000000000" w:firstRow="0" w:lastRow="1" w:firstColumn="0" w:lastColumn="0" w:oddVBand="0" w:evenVBand="0" w:oddHBand="0" w:evenHBand="0" w:firstRowFirstColumn="0" w:firstRowLastColumn="0" w:lastRowFirstColumn="0" w:lastRowLastColumn="0"/>
              <w:rPr>
                <w:rFonts w:eastAsia="Gill Sans MT" w:cs="Times New Roman"/>
                <w:color w:val="38383A"/>
                <w:sz w:val="18"/>
                <w:szCs w:val="20"/>
              </w:rPr>
            </w:pPr>
          </w:p>
        </w:tc>
      </w:tr>
    </w:tbl>
    <w:p w14:paraId="1CBA559D" w14:textId="46CE9975" w:rsidR="00593E3B" w:rsidRPr="00593E3B" w:rsidRDefault="00804578" w:rsidP="00593E3B">
      <w:pPr>
        <w:tabs>
          <w:tab w:val="clear" w:pos="280"/>
          <w:tab w:val="clear" w:pos="4800"/>
          <w:tab w:val="clear" w:pos="5780"/>
        </w:tabs>
        <w:suppressAutoHyphens w:val="0"/>
        <w:autoSpaceDE/>
        <w:autoSpaceDN/>
        <w:adjustRightInd/>
        <w:spacing w:after="120" w:line="264" w:lineRule="auto"/>
        <w:textAlignment w:val="auto"/>
        <w:rPr>
          <w:sz w:val="16"/>
          <w:szCs w:val="16"/>
        </w:rPr>
      </w:pPr>
      <w:r w:rsidRPr="00192837">
        <w:rPr>
          <w:sz w:val="16"/>
          <w:szCs w:val="16"/>
        </w:rPr>
        <w:t>Source: Europe Economics</w:t>
      </w:r>
      <w:r>
        <w:rPr>
          <w:sz w:val="16"/>
          <w:szCs w:val="16"/>
        </w:rPr>
        <w:t>.</w:t>
      </w:r>
    </w:p>
    <w:p w14:paraId="5A9A04A6" w14:textId="1051919F" w:rsidR="00593E3B" w:rsidRDefault="00593E3B" w:rsidP="00593E3B">
      <w:pPr>
        <w:pStyle w:val="Heading2Pink"/>
      </w:pPr>
      <w:bookmarkStart w:id="91" w:name="_Toc504484134"/>
      <w:r>
        <w:t>Requirements for healthcare professionals</w:t>
      </w:r>
      <w:bookmarkEnd w:id="91"/>
    </w:p>
    <w:p w14:paraId="763CA9F8" w14:textId="46B45E83" w:rsidR="00593E3B" w:rsidRDefault="00593E3B" w:rsidP="00593E3B">
      <w:pPr>
        <w:pStyle w:val="Heading3Pink"/>
      </w:pPr>
      <w:r>
        <w:t>General requirements</w:t>
      </w:r>
    </w:p>
    <w:p w14:paraId="7B6E44B9" w14:textId="77777777" w:rsidR="00804578" w:rsidRPr="00192837" w:rsidRDefault="00804578" w:rsidP="00804578">
      <w:pPr>
        <w:keepNext/>
        <w:spacing w:after="200" w:line="240" w:lineRule="auto"/>
        <w:rPr>
          <w:b/>
          <w:bCs/>
          <w:sz w:val="20"/>
        </w:rPr>
      </w:pPr>
      <w:r w:rsidRPr="00192837">
        <w:rPr>
          <w:b/>
          <w:bCs/>
          <w:sz w:val="20"/>
        </w:rPr>
        <w:t xml:space="preserve">Table </w:t>
      </w:r>
      <w:r>
        <w:rPr>
          <w:b/>
          <w:bCs/>
          <w:sz w:val="20"/>
        </w:rPr>
        <w:fldChar w:fldCharType="begin"/>
      </w:r>
      <w:r>
        <w:rPr>
          <w:b/>
          <w:bCs/>
          <w:sz w:val="20"/>
        </w:rPr>
        <w:instrText xml:space="preserve"> STYLEREF 1 \s </w:instrText>
      </w:r>
      <w:r>
        <w:rPr>
          <w:b/>
          <w:bCs/>
          <w:sz w:val="20"/>
        </w:rPr>
        <w:fldChar w:fldCharType="separate"/>
      </w:r>
      <w:r w:rsidR="00B51130">
        <w:rPr>
          <w:b/>
          <w:bCs/>
          <w:noProof/>
          <w:sz w:val="20"/>
        </w:rPr>
        <w:t>11</w:t>
      </w:r>
      <w:r>
        <w:rPr>
          <w:b/>
          <w:bCs/>
          <w:sz w:val="20"/>
        </w:rPr>
        <w:fldChar w:fldCharType="end"/>
      </w:r>
      <w:r>
        <w:rPr>
          <w:b/>
          <w:bCs/>
          <w:sz w:val="20"/>
        </w:rPr>
        <w:t>.</w:t>
      </w:r>
      <w:r>
        <w:rPr>
          <w:b/>
          <w:bCs/>
          <w:sz w:val="20"/>
        </w:rPr>
        <w:fldChar w:fldCharType="begin"/>
      </w:r>
      <w:r>
        <w:rPr>
          <w:b/>
          <w:bCs/>
          <w:sz w:val="20"/>
        </w:rPr>
        <w:instrText xml:space="preserve"> SEQ Table \* ARABIC \s 1 </w:instrText>
      </w:r>
      <w:r>
        <w:rPr>
          <w:b/>
          <w:bCs/>
          <w:sz w:val="20"/>
        </w:rPr>
        <w:fldChar w:fldCharType="separate"/>
      </w:r>
      <w:r w:rsidR="00B51130">
        <w:rPr>
          <w:b/>
          <w:bCs/>
          <w:noProof/>
          <w:sz w:val="20"/>
        </w:rPr>
        <w:t>3</w:t>
      </w:r>
      <w:r>
        <w:rPr>
          <w:b/>
          <w:bCs/>
          <w:sz w:val="20"/>
        </w:rPr>
        <w:fldChar w:fldCharType="end"/>
      </w:r>
      <w:r w:rsidRPr="00192837">
        <w:rPr>
          <w:b/>
          <w:bCs/>
          <w:sz w:val="20"/>
        </w:rPr>
        <w:t xml:space="preserve">: Telemedicine </w:t>
      </w:r>
      <w:r>
        <w:rPr>
          <w:b/>
          <w:bCs/>
          <w:sz w:val="20"/>
        </w:rPr>
        <w:t xml:space="preserve">general </w:t>
      </w:r>
      <w:r w:rsidRPr="00192837">
        <w:rPr>
          <w:b/>
          <w:bCs/>
          <w:sz w:val="20"/>
        </w:rPr>
        <w:t>requirements — summary</w:t>
      </w:r>
    </w:p>
    <w:tbl>
      <w:tblPr>
        <w:tblStyle w:val="LightShading-Accent113"/>
        <w:tblW w:w="5090" w:type="pct"/>
        <w:tblLook w:val="04E0" w:firstRow="1" w:lastRow="1" w:firstColumn="1" w:lastColumn="0" w:noHBand="0" w:noVBand="1"/>
      </w:tblPr>
      <w:tblGrid>
        <w:gridCol w:w="2641"/>
        <w:gridCol w:w="1201"/>
        <w:gridCol w:w="1248"/>
        <w:gridCol w:w="1684"/>
        <w:gridCol w:w="1244"/>
        <w:gridCol w:w="1793"/>
      </w:tblGrid>
      <w:tr w:rsidR="00804578" w:rsidRPr="00192837" w14:paraId="399DC6D0" w14:textId="4F49961E" w:rsidTr="003B20E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46" w:type="pct"/>
          </w:tcPr>
          <w:p w14:paraId="504F73ED"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38383A"/>
                <w:sz w:val="18"/>
                <w:szCs w:val="20"/>
              </w:rPr>
              <w:t>Jurisdiction</w:t>
            </w:r>
          </w:p>
        </w:tc>
        <w:tc>
          <w:tcPr>
            <w:tcW w:w="612" w:type="pct"/>
          </w:tcPr>
          <w:p w14:paraId="131F3BB8"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100000000000" w:firstRow="1" w:lastRow="0" w:firstColumn="0" w:lastColumn="0" w:oddVBand="0" w:evenVBand="0" w:oddHBand="0"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Same standard of care</w:t>
            </w:r>
          </w:p>
        </w:tc>
        <w:tc>
          <w:tcPr>
            <w:tcW w:w="636" w:type="pct"/>
          </w:tcPr>
          <w:p w14:paraId="3042B58C"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100000000000" w:firstRow="1" w:lastRow="0" w:firstColumn="0" w:lastColumn="0" w:oddVBand="0" w:evenVBand="0" w:oddHBand="0"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Having access to sufficient information</w:t>
            </w:r>
          </w:p>
        </w:tc>
        <w:tc>
          <w:tcPr>
            <w:tcW w:w="858" w:type="pct"/>
          </w:tcPr>
          <w:p w14:paraId="0A3B7C14"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100000000000" w:firstRow="1" w:lastRow="0" w:firstColumn="0" w:lastColumn="0" w:oddVBand="0" w:evenVBand="0" w:oddHBand="0"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Appropriateness of telemedicine</w:t>
            </w:r>
          </w:p>
        </w:tc>
        <w:tc>
          <w:tcPr>
            <w:tcW w:w="634" w:type="pct"/>
          </w:tcPr>
          <w:p w14:paraId="2713B1EE"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100000000000" w:firstRow="1" w:lastRow="0" w:firstColumn="0" w:lastColumn="0" w:oddVBand="0" w:evenVBand="0" w:oddHBand="0"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Established relationship with patient</w:t>
            </w:r>
          </w:p>
        </w:tc>
        <w:tc>
          <w:tcPr>
            <w:tcW w:w="914" w:type="pct"/>
          </w:tcPr>
          <w:p w14:paraId="6766A972" w14:textId="77777777" w:rsidR="00D757F7" w:rsidRDefault="00A70152" w:rsidP="00297895">
            <w:pPr>
              <w:tabs>
                <w:tab w:val="clear" w:pos="280"/>
                <w:tab w:val="clear" w:pos="4800"/>
                <w:tab w:val="clear" w:pos="5780"/>
              </w:tabs>
              <w:suppressAutoHyphens w:val="0"/>
              <w:autoSpaceDE/>
              <w:autoSpaceDN/>
              <w:adjustRightInd/>
              <w:spacing w:line="264" w:lineRule="auto"/>
              <w:jc w:val="center"/>
              <w:textAlignment w:val="auto"/>
              <w:cnfStyle w:val="100000000000" w:firstRow="1" w:lastRow="0" w:firstColumn="0" w:lastColumn="0" w:oddVBand="0" w:evenVBand="0" w:oddHBand="0" w:evenHBand="0" w:firstRowFirstColumn="0" w:firstRowLastColumn="0" w:lastRowFirstColumn="0" w:lastRowLastColumn="0"/>
              <w:rPr>
                <w:rFonts w:eastAsia="Gill Sans MT" w:cs="Times New Roman"/>
                <w:b w:val="0"/>
                <w:bCs w:val="0"/>
                <w:color w:val="38383A"/>
                <w:sz w:val="18"/>
                <w:szCs w:val="20"/>
              </w:rPr>
            </w:pPr>
            <w:r>
              <w:rPr>
                <w:rFonts w:eastAsia="Gill Sans MT" w:cs="Times New Roman"/>
                <w:color w:val="38383A"/>
                <w:sz w:val="18"/>
                <w:szCs w:val="20"/>
              </w:rPr>
              <w:t>Appendix 2</w:t>
            </w:r>
          </w:p>
          <w:p w14:paraId="5510EC64" w14:textId="4ECD23B0" w:rsidR="00804578" w:rsidRDefault="00A70152" w:rsidP="00297895">
            <w:pPr>
              <w:tabs>
                <w:tab w:val="clear" w:pos="280"/>
                <w:tab w:val="clear" w:pos="4800"/>
                <w:tab w:val="clear" w:pos="5780"/>
              </w:tabs>
              <w:suppressAutoHyphens w:val="0"/>
              <w:autoSpaceDE/>
              <w:autoSpaceDN/>
              <w:adjustRightInd/>
              <w:spacing w:line="264" w:lineRule="auto"/>
              <w:jc w:val="center"/>
              <w:textAlignment w:val="auto"/>
              <w:cnfStyle w:val="100000000000" w:firstRow="1" w:lastRow="0" w:firstColumn="0" w:lastColumn="0" w:oddVBand="0" w:evenVBand="0" w:oddHBand="0"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section reference</w:t>
            </w:r>
          </w:p>
        </w:tc>
      </w:tr>
      <w:tr w:rsidR="00A70152" w:rsidRPr="00192837" w14:paraId="4185AD3C" w14:textId="05499CF6" w:rsidTr="003B2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pct"/>
          </w:tcPr>
          <w:p w14:paraId="74E0DABF"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Australia</w:t>
            </w:r>
          </w:p>
        </w:tc>
        <w:tc>
          <w:tcPr>
            <w:tcW w:w="612" w:type="pct"/>
          </w:tcPr>
          <w:p w14:paraId="7134D2A3"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636" w:type="pct"/>
          </w:tcPr>
          <w:p w14:paraId="12819DCB"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858" w:type="pct"/>
          </w:tcPr>
          <w:p w14:paraId="118F41DA"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634" w:type="pct"/>
          </w:tcPr>
          <w:p w14:paraId="3FDDF826"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encouraged*</w:t>
            </w:r>
          </w:p>
        </w:tc>
        <w:tc>
          <w:tcPr>
            <w:tcW w:w="914" w:type="pct"/>
          </w:tcPr>
          <w:p w14:paraId="5145C992" w14:textId="77777777" w:rsidR="00A70152"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_Ref499731076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1.2.2</w:t>
            </w:r>
            <w:r>
              <w:rPr>
                <w:rFonts w:eastAsia="Gill Sans MT" w:cs="Times New Roman"/>
                <w:color w:val="38383A"/>
                <w:sz w:val="18"/>
                <w:szCs w:val="20"/>
              </w:rPr>
              <w:fldChar w:fldCharType="end"/>
            </w:r>
          </w:p>
          <w:p w14:paraId="74173AAB" w14:textId="7D52B5FC" w:rsidR="00A70152"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_Ref499731146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1.7.3</w:t>
            </w:r>
            <w:r>
              <w:rPr>
                <w:rFonts w:eastAsia="Gill Sans MT" w:cs="Times New Roman"/>
                <w:color w:val="38383A"/>
                <w:sz w:val="18"/>
                <w:szCs w:val="20"/>
              </w:rPr>
              <w:fldChar w:fldCharType="end"/>
            </w:r>
          </w:p>
        </w:tc>
      </w:tr>
      <w:tr w:rsidR="00A70152" w:rsidRPr="00192837" w14:paraId="31EF2748" w14:textId="3A329FE4" w:rsidTr="003B20EF">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pct"/>
          </w:tcPr>
          <w:p w14:paraId="4053B20F"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Denmark</w:t>
            </w:r>
          </w:p>
        </w:tc>
        <w:tc>
          <w:tcPr>
            <w:tcW w:w="612" w:type="pct"/>
          </w:tcPr>
          <w:p w14:paraId="65E2CC6D"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636" w:type="pct"/>
          </w:tcPr>
          <w:p w14:paraId="48C96FC7"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858" w:type="pct"/>
          </w:tcPr>
          <w:p w14:paraId="72D1FAA2"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634" w:type="pct"/>
          </w:tcPr>
          <w:p w14:paraId="7C8914C8"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914" w:type="pct"/>
          </w:tcPr>
          <w:p w14:paraId="432CCBB7" w14:textId="691C7D7B"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_Ref499731207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3.2.2</w:t>
            </w:r>
            <w:r>
              <w:rPr>
                <w:rFonts w:eastAsia="Gill Sans MT" w:cs="Times New Roman"/>
                <w:color w:val="38383A"/>
                <w:sz w:val="18"/>
                <w:szCs w:val="20"/>
              </w:rPr>
              <w:fldChar w:fldCharType="end"/>
            </w:r>
          </w:p>
        </w:tc>
      </w:tr>
      <w:tr w:rsidR="00A70152" w:rsidRPr="00192837" w14:paraId="2CFCD027" w14:textId="288FF5D0" w:rsidTr="003B2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pct"/>
          </w:tcPr>
          <w:p w14:paraId="3EC2BAEA"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France</w:t>
            </w:r>
          </w:p>
        </w:tc>
        <w:tc>
          <w:tcPr>
            <w:tcW w:w="612" w:type="pct"/>
          </w:tcPr>
          <w:p w14:paraId="4F8980F8"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636" w:type="pct"/>
          </w:tcPr>
          <w:p w14:paraId="69257B64"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858" w:type="pct"/>
          </w:tcPr>
          <w:p w14:paraId="5DFB883D"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634" w:type="pct"/>
          </w:tcPr>
          <w:p w14:paraId="15A66EFE"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914" w:type="pct"/>
          </w:tcPr>
          <w:p w14:paraId="35D5E73B" w14:textId="0506B81F"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_Ref499731246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4.2.2</w:t>
            </w:r>
            <w:r>
              <w:rPr>
                <w:rFonts w:eastAsia="Gill Sans MT" w:cs="Times New Roman"/>
                <w:color w:val="38383A"/>
                <w:sz w:val="18"/>
                <w:szCs w:val="20"/>
              </w:rPr>
              <w:fldChar w:fldCharType="end"/>
            </w:r>
          </w:p>
        </w:tc>
      </w:tr>
      <w:tr w:rsidR="00A70152" w:rsidRPr="00192837" w14:paraId="29699A2E" w14:textId="6A14A4E3" w:rsidTr="003B20EF">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pct"/>
          </w:tcPr>
          <w:p w14:paraId="79CA45C0"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New Zealand</w:t>
            </w:r>
          </w:p>
        </w:tc>
        <w:tc>
          <w:tcPr>
            <w:tcW w:w="612" w:type="pct"/>
          </w:tcPr>
          <w:p w14:paraId="5FE2D1EE"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636" w:type="pct"/>
          </w:tcPr>
          <w:p w14:paraId="1B9C88FB"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858" w:type="pct"/>
          </w:tcPr>
          <w:p w14:paraId="5F3FBFC7"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634" w:type="pct"/>
          </w:tcPr>
          <w:p w14:paraId="2BAD10C8"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914" w:type="pct"/>
          </w:tcPr>
          <w:p w14:paraId="35068C3B" w14:textId="6DD227F8"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_Ref499731258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5.1.3</w:t>
            </w:r>
            <w:r>
              <w:rPr>
                <w:rFonts w:eastAsia="Gill Sans MT" w:cs="Times New Roman"/>
                <w:color w:val="38383A"/>
                <w:sz w:val="18"/>
                <w:szCs w:val="20"/>
              </w:rPr>
              <w:fldChar w:fldCharType="end"/>
            </w:r>
          </w:p>
        </w:tc>
      </w:tr>
      <w:tr w:rsidR="00A70152" w:rsidRPr="00192837" w14:paraId="4D26C581" w14:textId="573E7F43" w:rsidTr="003B2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pct"/>
          </w:tcPr>
          <w:p w14:paraId="534CA22A"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Portugal</w:t>
            </w:r>
          </w:p>
        </w:tc>
        <w:tc>
          <w:tcPr>
            <w:tcW w:w="612" w:type="pct"/>
          </w:tcPr>
          <w:p w14:paraId="3DF5FBBA"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636" w:type="pct"/>
          </w:tcPr>
          <w:p w14:paraId="20C6D993"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858" w:type="pct"/>
          </w:tcPr>
          <w:p w14:paraId="0795AF6D"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634" w:type="pct"/>
          </w:tcPr>
          <w:p w14:paraId="1477A5F8"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914" w:type="pct"/>
          </w:tcPr>
          <w:p w14:paraId="13A5004A" w14:textId="32544377" w:rsidR="00A70152" w:rsidRPr="007331F1"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_Ref499731312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6.3.2</w:t>
            </w:r>
            <w:r>
              <w:rPr>
                <w:rFonts w:eastAsia="Gill Sans MT" w:cs="Times New Roman"/>
                <w:color w:val="38383A"/>
                <w:sz w:val="18"/>
                <w:szCs w:val="20"/>
              </w:rPr>
              <w:fldChar w:fldCharType="end"/>
            </w:r>
          </w:p>
        </w:tc>
      </w:tr>
      <w:tr w:rsidR="00A70152" w:rsidRPr="00192837" w14:paraId="397F01D1" w14:textId="3C08CD48" w:rsidTr="003B20EF">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pct"/>
          </w:tcPr>
          <w:p w14:paraId="6373B85C"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Singapore</w:t>
            </w:r>
          </w:p>
        </w:tc>
        <w:tc>
          <w:tcPr>
            <w:tcW w:w="612" w:type="pct"/>
          </w:tcPr>
          <w:p w14:paraId="69747ABC"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636" w:type="pct"/>
          </w:tcPr>
          <w:p w14:paraId="34956BEB"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858" w:type="pct"/>
          </w:tcPr>
          <w:p w14:paraId="6359E63E"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634" w:type="pct"/>
          </w:tcPr>
          <w:p w14:paraId="0AE2CA7E"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914" w:type="pct"/>
          </w:tcPr>
          <w:p w14:paraId="38B8180D" w14:textId="65ACF522"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_Ref499731330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7.2.2</w:t>
            </w:r>
            <w:r>
              <w:rPr>
                <w:rFonts w:eastAsia="Gill Sans MT" w:cs="Times New Roman"/>
                <w:color w:val="38383A"/>
                <w:sz w:val="18"/>
                <w:szCs w:val="20"/>
              </w:rPr>
              <w:fldChar w:fldCharType="end"/>
            </w:r>
          </w:p>
        </w:tc>
      </w:tr>
      <w:tr w:rsidR="00A70152" w:rsidRPr="00192837" w14:paraId="30CB0346" w14:textId="097F7CD9" w:rsidTr="003B2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pct"/>
          </w:tcPr>
          <w:p w14:paraId="587571B0"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Alberta</w:t>
            </w:r>
          </w:p>
        </w:tc>
        <w:tc>
          <w:tcPr>
            <w:tcW w:w="612" w:type="pct"/>
          </w:tcPr>
          <w:p w14:paraId="2C9740B5"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636" w:type="pct"/>
          </w:tcPr>
          <w:p w14:paraId="419A3C71"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858" w:type="pct"/>
          </w:tcPr>
          <w:p w14:paraId="550D88FA"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634" w:type="pct"/>
          </w:tcPr>
          <w:p w14:paraId="034CB511"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914" w:type="pct"/>
          </w:tcPr>
          <w:p w14:paraId="7AE5474D" w14:textId="37450F70"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_Ref499731341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2.3.3</w:t>
            </w:r>
            <w:r>
              <w:rPr>
                <w:rFonts w:eastAsia="Gill Sans MT" w:cs="Times New Roman"/>
                <w:color w:val="38383A"/>
                <w:sz w:val="18"/>
                <w:szCs w:val="20"/>
              </w:rPr>
              <w:fldChar w:fldCharType="end"/>
            </w:r>
          </w:p>
        </w:tc>
      </w:tr>
      <w:tr w:rsidR="00A70152" w:rsidRPr="00192837" w14:paraId="14F5A473" w14:textId="48ED5733" w:rsidTr="003B20EF">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pct"/>
          </w:tcPr>
          <w:p w14:paraId="774973D0"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British Columbia</w:t>
            </w:r>
          </w:p>
        </w:tc>
        <w:tc>
          <w:tcPr>
            <w:tcW w:w="612" w:type="pct"/>
          </w:tcPr>
          <w:p w14:paraId="57ECEC2C"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636" w:type="pct"/>
          </w:tcPr>
          <w:p w14:paraId="372D2655"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858" w:type="pct"/>
          </w:tcPr>
          <w:p w14:paraId="5A245641"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634" w:type="pct"/>
          </w:tcPr>
          <w:p w14:paraId="3F0DF17A"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914" w:type="pct"/>
          </w:tcPr>
          <w:p w14:paraId="54370DAD" w14:textId="6F6E1FB7"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_Ref499731348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2.4.3</w:t>
            </w:r>
            <w:r>
              <w:rPr>
                <w:rFonts w:eastAsia="Gill Sans MT" w:cs="Times New Roman"/>
                <w:color w:val="38383A"/>
                <w:sz w:val="18"/>
                <w:szCs w:val="20"/>
              </w:rPr>
              <w:fldChar w:fldCharType="end"/>
            </w:r>
          </w:p>
        </w:tc>
      </w:tr>
      <w:tr w:rsidR="00A70152" w:rsidRPr="00192837" w14:paraId="41D81D2A" w14:textId="5F1490FE" w:rsidTr="003B2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pct"/>
          </w:tcPr>
          <w:p w14:paraId="2EB27C10"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Newfoundland and Labrador</w:t>
            </w:r>
          </w:p>
        </w:tc>
        <w:tc>
          <w:tcPr>
            <w:tcW w:w="612" w:type="pct"/>
          </w:tcPr>
          <w:p w14:paraId="104E32B4"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636" w:type="pct"/>
          </w:tcPr>
          <w:p w14:paraId="22FBE268"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858" w:type="pct"/>
          </w:tcPr>
          <w:p w14:paraId="34298068"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634" w:type="pct"/>
          </w:tcPr>
          <w:p w14:paraId="372FDA57"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914" w:type="pct"/>
          </w:tcPr>
          <w:p w14:paraId="330B56BC" w14:textId="2EA11EA5"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_Ref499731356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2.5.3</w:t>
            </w:r>
            <w:r>
              <w:rPr>
                <w:rFonts w:eastAsia="Gill Sans MT" w:cs="Times New Roman"/>
                <w:color w:val="38383A"/>
                <w:sz w:val="18"/>
                <w:szCs w:val="20"/>
              </w:rPr>
              <w:fldChar w:fldCharType="end"/>
            </w:r>
          </w:p>
        </w:tc>
      </w:tr>
      <w:tr w:rsidR="00A70152" w:rsidRPr="00192837" w14:paraId="2CED104A" w14:textId="550B4ACE" w:rsidTr="003B20EF">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pct"/>
          </w:tcPr>
          <w:p w14:paraId="1AE39AC5"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Ontario</w:t>
            </w:r>
          </w:p>
        </w:tc>
        <w:tc>
          <w:tcPr>
            <w:tcW w:w="612" w:type="pct"/>
          </w:tcPr>
          <w:p w14:paraId="28B5281F"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636" w:type="pct"/>
          </w:tcPr>
          <w:p w14:paraId="48D0FBB6"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858" w:type="pct"/>
          </w:tcPr>
          <w:p w14:paraId="145555C7"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634" w:type="pct"/>
          </w:tcPr>
          <w:p w14:paraId="28C872E9"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032A83">
              <w:rPr>
                <w:rFonts w:eastAsia="Gill Sans MT" w:cs="Times New Roman"/>
                <w:color w:val="38383A"/>
                <w:sz w:val="18"/>
                <w:szCs w:val="20"/>
              </w:rPr>
              <w:sym w:font="Wingdings 2" w:char="F04F"/>
            </w:r>
          </w:p>
        </w:tc>
        <w:tc>
          <w:tcPr>
            <w:tcW w:w="914" w:type="pct"/>
          </w:tcPr>
          <w:p w14:paraId="2D4198E1" w14:textId="76217129" w:rsidR="00A70152" w:rsidRPr="00032A83"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_Ref499731365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2.6.3</w:t>
            </w:r>
            <w:r>
              <w:rPr>
                <w:rFonts w:eastAsia="Gill Sans MT" w:cs="Times New Roman"/>
                <w:color w:val="38383A"/>
                <w:sz w:val="18"/>
                <w:szCs w:val="20"/>
              </w:rPr>
              <w:fldChar w:fldCharType="end"/>
            </w:r>
          </w:p>
        </w:tc>
      </w:tr>
      <w:tr w:rsidR="00A70152" w:rsidRPr="00192837" w14:paraId="7982D42E" w14:textId="4892B3A0" w:rsidTr="003B2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pct"/>
          </w:tcPr>
          <w:p w14:paraId="1D96B0D7"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Saskatchewan</w:t>
            </w:r>
          </w:p>
        </w:tc>
        <w:tc>
          <w:tcPr>
            <w:tcW w:w="612" w:type="pct"/>
          </w:tcPr>
          <w:p w14:paraId="390AE64C"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636" w:type="pct"/>
          </w:tcPr>
          <w:p w14:paraId="7231C24E"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858" w:type="pct"/>
          </w:tcPr>
          <w:p w14:paraId="79F81C39"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634" w:type="pct"/>
          </w:tcPr>
          <w:p w14:paraId="3E5FBA82" w14:textId="0F65C87A" w:rsidR="00A70152" w:rsidRPr="00192837" w:rsidRDefault="005045E6" w:rsidP="00A70152">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032A83">
              <w:rPr>
                <w:rFonts w:eastAsia="Gill Sans MT" w:cs="Times New Roman"/>
                <w:color w:val="38383A"/>
                <w:sz w:val="18"/>
                <w:szCs w:val="20"/>
              </w:rPr>
              <w:sym w:font="Wingdings 2" w:char="F04F"/>
            </w:r>
          </w:p>
        </w:tc>
        <w:tc>
          <w:tcPr>
            <w:tcW w:w="914" w:type="pct"/>
          </w:tcPr>
          <w:p w14:paraId="3F01CA55" w14:textId="7BFF2E32"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_Ref499731370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2.7.3</w:t>
            </w:r>
            <w:r>
              <w:rPr>
                <w:rFonts w:eastAsia="Gill Sans MT" w:cs="Times New Roman"/>
                <w:color w:val="38383A"/>
                <w:sz w:val="18"/>
                <w:szCs w:val="20"/>
              </w:rPr>
              <w:fldChar w:fldCharType="end"/>
            </w:r>
          </w:p>
        </w:tc>
      </w:tr>
      <w:tr w:rsidR="00A70152" w:rsidRPr="00192837" w14:paraId="6205D097" w14:textId="42BBE41D" w:rsidTr="003B20EF">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pct"/>
          </w:tcPr>
          <w:p w14:paraId="2B12E970"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California</w:t>
            </w:r>
          </w:p>
        </w:tc>
        <w:tc>
          <w:tcPr>
            <w:tcW w:w="612" w:type="pct"/>
          </w:tcPr>
          <w:p w14:paraId="0F9249ED"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636" w:type="pct"/>
          </w:tcPr>
          <w:p w14:paraId="7A2AD393"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858" w:type="pct"/>
          </w:tcPr>
          <w:p w14:paraId="58039D5F"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634" w:type="pct"/>
          </w:tcPr>
          <w:p w14:paraId="1DB91FCD"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914" w:type="pct"/>
          </w:tcPr>
          <w:p w14:paraId="3D2B0015" w14:textId="079C418F"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_Ref499731379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9.10.3</w:t>
            </w:r>
            <w:r>
              <w:rPr>
                <w:rFonts w:eastAsia="Gill Sans MT" w:cs="Times New Roman"/>
                <w:color w:val="38383A"/>
                <w:sz w:val="18"/>
                <w:szCs w:val="20"/>
              </w:rPr>
              <w:fldChar w:fldCharType="end"/>
            </w:r>
          </w:p>
        </w:tc>
      </w:tr>
      <w:tr w:rsidR="00A70152" w:rsidRPr="00192837" w14:paraId="442A9354" w14:textId="35AEED69" w:rsidTr="003B2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pct"/>
          </w:tcPr>
          <w:p w14:paraId="142017E3"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Maine</w:t>
            </w:r>
          </w:p>
        </w:tc>
        <w:tc>
          <w:tcPr>
            <w:tcW w:w="612" w:type="pct"/>
          </w:tcPr>
          <w:p w14:paraId="2E410993"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636" w:type="pct"/>
          </w:tcPr>
          <w:p w14:paraId="10192964"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858" w:type="pct"/>
          </w:tcPr>
          <w:p w14:paraId="3055A4C4"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634" w:type="pct"/>
          </w:tcPr>
          <w:p w14:paraId="609EB8F6"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032A83">
              <w:rPr>
                <w:rFonts w:eastAsia="Gill Sans MT" w:cs="Times New Roman"/>
                <w:color w:val="38383A"/>
                <w:sz w:val="18"/>
                <w:szCs w:val="20"/>
              </w:rPr>
              <w:sym w:font="Wingdings 2" w:char="F04F"/>
            </w:r>
          </w:p>
        </w:tc>
        <w:tc>
          <w:tcPr>
            <w:tcW w:w="914" w:type="pct"/>
          </w:tcPr>
          <w:p w14:paraId="12D6AF70" w14:textId="75A3BD4D" w:rsidR="00A70152" w:rsidRPr="00032A83" w:rsidRDefault="00373F18" w:rsidP="00A70152">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_Ref499731832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9.4.3</w:t>
            </w:r>
            <w:r>
              <w:rPr>
                <w:rFonts w:eastAsia="Gill Sans MT" w:cs="Times New Roman"/>
                <w:color w:val="38383A"/>
                <w:sz w:val="18"/>
                <w:szCs w:val="20"/>
              </w:rPr>
              <w:fldChar w:fldCharType="end"/>
            </w:r>
          </w:p>
        </w:tc>
      </w:tr>
      <w:tr w:rsidR="00A70152" w:rsidRPr="00192837" w14:paraId="7C545CEA" w14:textId="51150A71" w:rsidTr="003B20EF">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pct"/>
          </w:tcPr>
          <w:p w14:paraId="3062CED0"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North Carolina</w:t>
            </w:r>
          </w:p>
        </w:tc>
        <w:tc>
          <w:tcPr>
            <w:tcW w:w="612" w:type="pct"/>
          </w:tcPr>
          <w:p w14:paraId="59A4DE79"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636" w:type="pct"/>
          </w:tcPr>
          <w:p w14:paraId="24F7AACA"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858" w:type="pct"/>
          </w:tcPr>
          <w:p w14:paraId="4C5FD143"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634" w:type="pct"/>
          </w:tcPr>
          <w:p w14:paraId="12EBD4EE"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032A83">
              <w:rPr>
                <w:rFonts w:eastAsia="Gill Sans MT" w:cs="Times New Roman"/>
                <w:color w:val="38383A"/>
                <w:sz w:val="18"/>
                <w:szCs w:val="20"/>
              </w:rPr>
              <w:sym w:font="Wingdings 2" w:char="F04F"/>
            </w:r>
          </w:p>
        </w:tc>
        <w:tc>
          <w:tcPr>
            <w:tcW w:w="914" w:type="pct"/>
          </w:tcPr>
          <w:p w14:paraId="2F3E7814" w14:textId="33156D45" w:rsidR="00A70152" w:rsidRPr="00032A83" w:rsidRDefault="00373F18" w:rsidP="00A70152">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_Ref499731841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9.5.3</w:t>
            </w:r>
            <w:r>
              <w:rPr>
                <w:rFonts w:eastAsia="Gill Sans MT" w:cs="Times New Roman"/>
                <w:color w:val="38383A"/>
                <w:sz w:val="18"/>
                <w:szCs w:val="20"/>
              </w:rPr>
              <w:fldChar w:fldCharType="end"/>
            </w:r>
          </w:p>
        </w:tc>
      </w:tr>
      <w:tr w:rsidR="00A70152" w:rsidRPr="00192837" w14:paraId="518625B4" w14:textId="0A9167BE" w:rsidTr="003B2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pct"/>
          </w:tcPr>
          <w:p w14:paraId="4B7D6E86"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Oklahoma</w:t>
            </w:r>
          </w:p>
        </w:tc>
        <w:tc>
          <w:tcPr>
            <w:tcW w:w="612" w:type="pct"/>
          </w:tcPr>
          <w:p w14:paraId="2605EBB7"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636" w:type="pct"/>
          </w:tcPr>
          <w:p w14:paraId="4C308793"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858" w:type="pct"/>
          </w:tcPr>
          <w:p w14:paraId="7CCDDFCD"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634" w:type="pct"/>
          </w:tcPr>
          <w:p w14:paraId="010FADAB"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914" w:type="pct"/>
          </w:tcPr>
          <w:p w14:paraId="07459AA6" w14:textId="108BB523"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_Ref499731391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9.11.3</w:t>
            </w:r>
            <w:r>
              <w:rPr>
                <w:rFonts w:eastAsia="Gill Sans MT" w:cs="Times New Roman"/>
                <w:color w:val="38383A"/>
                <w:sz w:val="18"/>
                <w:szCs w:val="20"/>
              </w:rPr>
              <w:fldChar w:fldCharType="end"/>
            </w:r>
          </w:p>
        </w:tc>
      </w:tr>
      <w:tr w:rsidR="00A70152" w:rsidRPr="00192837" w14:paraId="785267E5" w14:textId="144A95BE" w:rsidTr="003B20EF">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pct"/>
          </w:tcPr>
          <w:p w14:paraId="22614728"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Oregon</w:t>
            </w:r>
          </w:p>
        </w:tc>
        <w:tc>
          <w:tcPr>
            <w:tcW w:w="612" w:type="pct"/>
          </w:tcPr>
          <w:p w14:paraId="08F38388"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636" w:type="pct"/>
          </w:tcPr>
          <w:p w14:paraId="01099C27"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858" w:type="pct"/>
          </w:tcPr>
          <w:p w14:paraId="68B829EE"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634" w:type="pct"/>
          </w:tcPr>
          <w:p w14:paraId="7C2D7E47" w14:textId="77777777" w:rsidR="00A70152" w:rsidRPr="00192837" w:rsidRDefault="00A70152" w:rsidP="00A70152">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914" w:type="pct"/>
          </w:tcPr>
          <w:p w14:paraId="0C5F5FC9" w14:textId="728E4331" w:rsidR="00A70152" w:rsidRPr="00192837" w:rsidRDefault="00373F18" w:rsidP="00A70152">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_Ref499731897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9.6.3</w:t>
            </w:r>
            <w:r>
              <w:rPr>
                <w:rFonts w:eastAsia="Gill Sans MT" w:cs="Times New Roman"/>
                <w:color w:val="38383A"/>
                <w:sz w:val="18"/>
                <w:szCs w:val="20"/>
              </w:rPr>
              <w:fldChar w:fldCharType="end"/>
            </w:r>
          </w:p>
        </w:tc>
      </w:tr>
      <w:tr w:rsidR="00A70152" w:rsidRPr="00192837" w14:paraId="003E87F9" w14:textId="41EA599E" w:rsidTr="003B2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pct"/>
          </w:tcPr>
          <w:p w14:paraId="0C68B102" w14:textId="77777777" w:rsidR="00A70152" w:rsidRPr="00192837" w:rsidRDefault="00A70152" w:rsidP="00A70152">
            <w:pPr>
              <w:keepNext/>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Washington</w:t>
            </w:r>
          </w:p>
        </w:tc>
        <w:tc>
          <w:tcPr>
            <w:tcW w:w="612" w:type="pct"/>
          </w:tcPr>
          <w:p w14:paraId="275B5419" w14:textId="77777777" w:rsidR="00A70152" w:rsidRPr="00192837" w:rsidRDefault="00A70152" w:rsidP="00A70152">
            <w:pPr>
              <w:keepNext/>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636" w:type="pct"/>
          </w:tcPr>
          <w:p w14:paraId="75B609A9" w14:textId="77777777" w:rsidR="00A70152" w:rsidRPr="00192837" w:rsidRDefault="00A70152" w:rsidP="00A70152">
            <w:pPr>
              <w:keepNext/>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858" w:type="pct"/>
          </w:tcPr>
          <w:p w14:paraId="639D9CA4" w14:textId="77777777" w:rsidR="00A70152" w:rsidRPr="00192837" w:rsidRDefault="00A70152" w:rsidP="00A70152">
            <w:pPr>
              <w:keepNext/>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634" w:type="pct"/>
          </w:tcPr>
          <w:p w14:paraId="308F3059" w14:textId="77777777" w:rsidR="00A70152" w:rsidRPr="00192837" w:rsidRDefault="00A70152" w:rsidP="00A70152">
            <w:pPr>
              <w:keepNext/>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032A83">
              <w:rPr>
                <w:rFonts w:eastAsia="Gill Sans MT" w:cs="Times New Roman"/>
                <w:color w:val="38383A"/>
                <w:sz w:val="18"/>
                <w:szCs w:val="20"/>
              </w:rPr>
              <w:sym w:font="Wingdings 2" w:char="F04F"/>
            </w:r>
          </w:p>
        </w:tc>
        <w:tc>
          <w:tcPr>
            <w:tcW w:w="914" w:type="pct"/>
          </w:tcPr>
          <w:p w14:paraId="567CD3B2" w14:textId="5AB0BD4E" w:rsidR="00A70152" w:rsidRPr="00032A83" w:rsidRDefault="00A70152" w:rsidP="00A70152">
            <w:pPr>
              <w:keepNext/>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_Ref499731410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9.7.3</w:t>
            </w:r>
            <w:r>
              <w:rPr>
                <w:rFonts w:eastAsia="Gill Sans MT" w:cs="Times New Roman"/>
                <w:color w:val="38383A"/>
                <w:sz w:val="18"/>
                <w:szCs w:val="20"/>
              </w:rPr>
              <w:fldChar w:fldCharType="end"/>
            </w:r>
          </w:p>
        </w:tc>
      </w:tr>
      <w:tr w:rsidR="00804578" w:rsidRPr="00192837" w14:paraId="77448B79" w14:textId="0DD23094" w:rsidTr="003B20E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pct"/>
          </w:tcPr>
          <w:p w14:paraId="79F3136D" w14:textId="77777777" w:rsidR="00804578" w:rsidRPr="00192837" w:rsidRDefault="00804578" w:rsidP="00297895">
            <w:pPr>
              <w:keepNext/>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000000"/>
                <w:sz w:val="18"/>
                <w:szCs w:val="20"/>
              </w:rPr>
            </w:pPr>
            <w:r w:rsidRPr="00192837">
              <w:rPr>
                <w:rFonts w:eastAsia="Gill Sans MT" w:cs="Times New Roman"/>
                <w:color w:val="000000"/>
                <w:sz w:val="18"/>
                <w:szCs w:val="20"/>
              </w:rPr>
              <w:t>Total</w:t>
            </w:r>
          </w:p>
        </w:tc>
        <w:tc>
          <w:tcPr>
            <w:tcW w:w="612" w:type="pct"/>
          </w:tcPr>
          <w:p w14:paraId="7D3D30BC" w14:textId="77777777" w:rsidR="00804578" w:rsidRPr="00192837" w:rsidRDefault="00804578" w:rsidP="00297895">
            <w:pPr>
              <w:keepNext/>
              <w:tabs>
                <w:tab w:val="clear" w:pos="280"/>
                <w:tab w:val="clear" w:pos="4800"/>
                <w:tab w:val="clear" w:pos="5780"/>
              </w:tabs>
              <w:suppressAutoHyphens w:val="0"/>
              <w:autoSpaceDE/>
              <w:autoSpaceDN/>
              <w:adjustRightInd/>
              <w:spacing w:line="264" w:lineRule="auto"/>
              <w:jc w:val="center"/>
              <w:textAlignment w:val="auto"/>
              <w:cnfStyle w:val="010000000000" w:firstRow="0" w:lastRow="1" w:firstColumn="0" w:lastColumn="0" w:oddVBand="0" w:evenVBand="0" w:oddHBand="0"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13</w:t>
            </w:r>
          </w:p>
        </w:tc>
        <w:tc>
          <w:tcPr>
            <w:tcW w:w="636" w:type="pct"/>
          </w:tcPr>
          <w:p w14:paraId="2F83995B" w14:textId="77777777" w:rsidR="00804578" w:rsidRPr="00192837" w:rsidRDefault="00804578" w:rsidP="00297895">
            <w:pPr>
              <w:keepNext/>
              <w:tabs>
                <w:tab w:val="clear" w:pos="280"/>
                <w:tab w:val="clear" w:pos="4800"/>
                <w:tab w:val="clear" w:pos="5780"/>
              </w:tabs>
              <w:suppressAutoHyphens w:val="0"/>
              <w:autoSpaceDE/>
              <w:autoSpaceDN/>
              <w:adjustRightInd/>
              <w:spacing w:line="264" w:lineRule="auto"/>
              <w:jc w:val="center"/>
              <w:textAlignment w:val="auto"/>
              <w:cnfStyle w:val="010000000000" w:firstRow="0" w:lastRow="1" w:firstColumn="0" w:lastColumn="0" w:oddVBand="0" w:evenVBand="0" w:oddHBand="0"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9</w:t>
            </w:r>
          </w:p>
        </w:tc>
        <w:tc>
          <w:tcPr>
            <w:tcW w:w="858" w:type="pct"/>
          </w:tcPr>
          <w:p w14:paraId="669EF1AD" w14:textId="77777777" w:rsidR="00804578" w:rsidRPr="00192837" w:rsidRDefault="00804578" w:rsidP="00297895">
            <w:pPr>
              <w:keepNext/>
              <w:tabs>
                <w:tab w:val="clear" w:pos="280"/>
                <w:tab w:val="clear" w:pos="4800"/>
                <w:tab w:val="clear" w:pos="5780"/>
              </w:tabs>
              <w:suppressAutoHyphens w:val="0"/>
              <w:autoSpaceDE/>
              <w:autoSpaceDN/>
              <w:adjustRightInd/>
              <w:spacing w:line="264" w:lineRule="auto"/>
              <w:jc w:val="center"/>
              <w:textAlignment w:val="auto"/>
              <w:cnfStyle w:val="010000000000" w:firstRow="0" w:lastRow="1" w:firstColumn="0" w:lastColumn="0" w:oddVBand="0" w:evenVBand="0" w:oddHBand="0"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7</w:t>
            </w:r>
          </w:p>
        </w:tc>
        <w:tc>
          <w:tcPr>
            <w:tcW w:w="634" w:type="pct"/>
          </w:tcPr>
          <w:p w14:paraId="7AAA6DD5" w14:textId="77777777" w:rsidR="00804578" w:rsidRPr="00192837" w:rsidRDefault="00804578" w:rsidP="00297895">
            <w:pPr>
              <w:keepNext/>
              <w:tabs>
                <w:tab w:val="clear" w:pos="280"/>
                <w:tab w:val="clear" w:pos="4800"/>
                <w:tab w:val="clear" w:pos="5780"/>
              </w:tabs>
              <w:suppressAutoHyphens w:val="0"/>
              <w:autoSpaceDE/>
              <w:autoSpaceDN/>
              <w:adjustRightInd/>
              <w:spacing w:line="264" w:lineRule="auto"/>
              <w:jc w:val="center"/>
              <w:textAlignment w:val="auto"/>
              <w:cnfStyle w:val="010000000000" w:firstRow="0" w:lastRow="1" w:firstColumn="0" w:lastColumn="0" w:oddVBand="0" w:evenVBand="0" w:oddHBand="0"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1</w:t>
            </w:r>
          </w:p>
        </w:tc>
        <w:tc>
          <w:tcPr>
            <w:tcW w:w="914" w:type="pct"/>
          </w:tcPr>
          <w:p w14:paraId="539E5A3B" w14:textId="77777777" w:rsidR="00804578" w:rsidRDefault="00804578" w:rsidP="00297895">
            <w:pPr>
              <w:keepNext/>
              <w:tabs>
                <w:tab w:val="clear" w:pos="280"/>
                <w:tab w:val="clear" w:pos="4800"/>
                <w:tab w:val="clear" w:pos="5780"/>
              </w:tabs>
              <w:suppressAutoHyphens w:val="0"/>
              <w:autoSpaceDE/>
              <w:autoSpaceDN/>
              <w:adjustRightInd/>
              <w:spacing w:line="264" w:lineRule="auto"/>
              <w:jc w:val="center"/>
              <w:textAlignment w:val="auto"/>
              <w:cnfStyle w:val="010000000000" w:firstRow="0" w:lastRow="1" w:firstColumn="0" w:lastColumn="0" w:oddVBand="0" w:evenVBand="0" w:oddHBand="0" w:evenHBand="0" w:firstRowFirstColumn="0" w:firstRowLastColumn="0" w:lastRowFirstColumn="0" w:lastRowLastColumn="0"/>
              <w:rPr>
                <w:rFonts w:eastAsia="Gill Sans MT" w:cs="Times New Roman"/>
                <w:color w:val="38383A"/>
                <w:sz w:val="18"/>
                <w:szCs w:val="20"/>
              </w:rPr>
            </w:pPr>
          </w:p>
        </w:tc>
      </w:tr>
    </w:tbl>
    <w:p w14:paraId="1BA78DFB" w14:textId="77777777" w:rsidR="00804578" w:rsidRDefault="00804578" w:rsidP="00804578">
      <w:pPr>
        <w:pStyle w:val="Tablenote"/>
      </w:pPr>
      <w:r>
        <w:t>Note: * Encouraged by a medical association, not the regulator.</w:t>
      </w:r>
    </w:p>
    <w:p w14:paraId="5A870D42" w14:textId="129D56EE" w:rsidR="00593E3B" w:rsidRDefault="00804578" w:rsidP="00804578">
      <w:pPr>
        <w:pStyle w:val="Tablelastnote"/>
      </w:pPr>
      <w:r>
        <w:t>Source: Europe Economics.</w:t>
      </w:r>
    </w:p>
    <w:p w14:paraId="0785A6B7" w14:textId="24908A51" w:rsidR="00593E3B" w:rsidRDefault="00593E3B" w:rsidP="00593E3B">
      <w:pPr>
        <w:pStyle w:val="Heading3Pink"/>
      </w:pPr>
      <w:r>
        <w:t>Procedural requirements</w:t>
      </w:r>
    </w:p>
    <w:p w14:paraId="141700FD" w14:textId="3DCD9C90" w:rsidR="00804578" w:rsidRPr="00192837" w:rsidRDefault="00804578" w:rsidP="00804578">
      <w:pPr>
        <w:keepNext/>
        <w:spacing w:after="200" w:line="240" w:lineRule="auto"/>
        <w:rPr>
          <w:b/>
          <w:bCs/>
          <w:sz w:val="20"/>
        </w:rPr>
      </w:pPr>
      <w:r w:rsidRPr="00192837">
        <w:rPr>
          <w:b/>
          <w:bCs/>
          <w:sz w:val="20"/>
        </w:rPr>
        <w:t xml:space="preserve">Table </w:t>
      </w:r>
      <w:r>
        <w:rPr>
          <w:b/>
          <w:bCs/>
          <w:sz w:val="20"/>
        </w:rPr>
        <w:fldChar w:fldCharType="begin"/>
      </w:r>
      <w:r>
        <w:rPr>
          <w:b/>
          <w:bCs/>
          <w:sz w:val="20"/>
        </w:rPr>
        <w:instrText xml:space="preserve"> STYLEREF 1 \s </w:instrText>
      </w:r>
      <w:r>
        <w:rPr>
          <w:b/>
          <w:bCs/>
          <w:sz w:val="20"/>
        </w:rPr>
        <w:fldChar w:fldCharType="separate"/>
      </w:r>
      <w:r w:rsidR="00B51130">
        <w:rPr>
          <w:b/>
          <w:bCs/>
          <w:noProof/>
          <w:sz w:val="20"/>
        </w:rPr>
        <w:t>11</w:t>
      </w:r>
      <w:r>
        <w:rPr>
          <w:b/>
          <w:bCs/>
          <w:sz w:val="20"/>
        </w:rPr>
        <w:fldChar w:fldCharType="end"/>
      </w:r>
      <w:r>
        <w:rPr>
          <w:b/>
          <w:bCs/>
          <w:sz w:val="20"/>
        </w:rPr>
        <w:t>.</w:t>
      </w:r>
      <w:r>
        <w:rPr>
          <w:b/>
          <w:bCs/>
          <w:sz w:val="20"/>
        </w:rPr>
        <w:fldChar w:fldCharType="begin"/>
      </w:r>
      <w:r>
        <w:rPr>
          <w:b/>
          <w:bCs/>
          <w:sz w:val="20"/>
        </w:rPr>
        <w:instrText xml:space="preserve"> SEQ Table \* ARABIC \s 1 </w:instrText>
      </w:r>
      <w:r>
        <w:rPr>
          <w:b/>
          <w:bCs/>
          <w:sz w:val="20"/>
        </w:rPr>
        <w:fldChar w:fldCharType="separate"/>
      </w:r>
      <w:r w:rsidR="00B51130">
        <w:rPr>
          <w:b/>
          <w:bCs/>
          <w:noProof/>
          <w:sz w:val="20"/>
        </w:rPr>
        <w:t>4</w:t>
      </w:r>
      <w:r>
        <w:rPr>
          <w:b/>
          <w:bCs/>
          <w:sz w:val="20"/>
        </w:rPr>
        <w:fldChar w:fldCharType="end"/>
      </w:r>
      <w:r w:rsidRPr="00192837">
        <w:rPr>
          <w:b/>
          <w:bCs/>
          <w:sz w:val="20"/>
        </w:rPr>
        <w:t xml:space="preserve">: Telemedicine </w:t>
      </w:r>
      <w:r>
        <w:rPr>
          <w:b/>
          <w:bCs/>
          <w:sz w:val="20"/>
        </w:rPr>
        <w:t xml:space="preserve">procedural </w:t>
      </w:r>
      <w:r w:rsidRPr="00192837">
        <w:rPr>
          <w:b/>
          <w:bCs/>
          <w:sz w:val="20"/>
        </w:rPr>
        <w:t>requirements — summary</w:t>
      </w:r>
    </w:p>
    <w:tbl>
      <w:tblPr>
        <w:tblStyle w:val="LightShading-Accent113"/>
        <w:tblW w:w="5090" w:type="pct"/>
        <w:tblLayout w:type="fixed"/>
        <w:tblLook w:val="04E0" w:firstRow="1" w:lastRow="1" w:firstColumn="1" w:lastColumn="0" w:noHBand="0" w:noVBand="1"/>
      </w:tblPr>
      <w:tblGrid>
        <w:gridCol w:w="1491"/>
        <w:gridCol w:w="1542"/>
        <w:gridCol w:w="942"/>
        <w:gridCol w:w="1128"/>
        <w:gridCol w:w="985"/>
        <w:gridCol w:w="1185"/>
        <w:gridCol w:w="1376"/>
        <w:gridCol w:w="1162"/>
      </w:tblGrid>
      <w:tr w:rsidR="00373F18" w:rsidRPr="00192837" w14:paraId="3E9AB463" w14:textId="1B22E919" w:rsidTr="00373F1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60" w:type="pct"/>
          </w:tcPr>
          <w:p w14:paraId="518D97C4"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p>
        </w:tc>
        <w:tc>
          <w:tcPr>
            <w:tcW w:w="786" w:type="pct"/>
          </w:tcPr>
          <w:p w14:paraId="40041A56"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100000000000" w:firstRow="1" w:lastRow="0" w:firstColumn="0" w:lastColumn="0" w:oddVBand="0" w:evenVBand="0" w:oddHBand="0"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Confidentiality, safety, security</w:t>
            </w:r>
          </w:p>
        </w:tc>
        <w:tc>
          <w:tcPr>
            <w:tcW w:w="480" w:type="pct"/>
          </w:tcPr>
          <w:p w14:paraId="787330CD"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100000000000" w:firstRow="1" w:lastRow="0" w:firstColumn="0" w:lastColumn="0" w:oddVBand="0" w:evenVBand="0" w:oddHBand="0"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Patient’s consent</w:t>
            </w:r>
          </w:p>
        </w:tc>
        <w:tc>
          <w:tcPr>
            <w:tcW w:w="575" w:type="pct"/>
          </w:tcPr>
          <w:p w14:paraId="76242753" w14:textId="77777777" w:rsidR="00804578"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100000000000" w:firstRow="1" w:lastRow="0" w:firstColumn="0" w:lastColumn="0" w:oddVBand="0" w:evenVBand="0" w:oddHBand="0"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Procedural information</w:t>
            </w:r>
          </w:p>
        </w:tc>
        <w:tc>
          <w:tcPr>
            <w:tcW w:w="502" w:type="pct"/>
          </w:tcPr>
          <w:p w14:paraId="640588EC"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100000000000" w:firstRow="1" w:lastRow="0" w:firstColumn="0" w:lastColumn="0" w:oddVBand="0" w:evenVBand="0" w:oddHBand="0"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Patient’s identity</w:t>
            </w:r>
          </w:p>
        </w:tc>
        <w:tc>
          <w:tcPr>
            <w:tcW w:w="604" w:type="pct"/>
          </w:tcPr>
          <w:p w14:paraId="4362A39F"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100000000000" w:firstRow="1" w:lastRow="0" w:firstColumn="0" w:lastColumn="0" w:oddVBand="0" w:evenVBand="0" w:oddHBand="0"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Maintaining medical records</w:t>
            </w:r>
          </w:p>
        </w:tc>
        <w:tc>
          <w:tcPr>
            <w:tcW w:w="701" w:type="pct"/>
          </w:tcPr>
          <w:p w14:paraId="3A2BD517"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100000000000" w:firstRow="1" w:lastRow="0" w:firstColumn="0" w:lastColumn="0" w:oddVBand="0" w:evenVBand="0" w:oddHBand="0"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Technical and equipment requirements</w:t>
            </w:r>
          </w:p>
        </w:tc>
        <w:tc>
          <w:tcPr>
            <w:tcW w:w="592" w:type="pct"/>
          </w:tcPr>
          <w:p w14:paraId="25551CBB" w14:textId="2EDEED42" w:rsidR="00804578" w:rsidRDefault="00D35FFB">
            <w:pPr>
              <w:tabs>
                <w:tab w:val="clear" w:pos="280"/>
                <w:tab w:val="clear" w:pos="4800"/>
                <w:tab w:val="clear" w:pos="5780"/>
              </w:tabs>
              <w:suppressAutoHyphens w:val="0"/>
              <w:autoSpaceDE/>
              <w:autoSpaceDN/>
              <w:adjustRightInd/>
              <w:spacing w:line="264" w:lineRule="auto"/>
              <w:jc w:val="center"/>
              <w:textAlignment w:val="auto"/>
              <w:cnfStyle w:val="100000000000" w:firstRow="1" w:lastRow="0" w:firstColumn="0" w:lastColumn="0" w:oddVBand="0" w:evenVBand="0" w:oddHBand="0"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Appendix 2 section reference</w:t>
            </w:r>
          </w:p>
        </w:tc>
      </w:tr>
      <w:tr w:rsidR="003B20EF" w:rsidRPr="00192837" w14:paraId="36AEED68" w14:textId="4D3BF1B2" w:rsidTr="003B2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pct"/>
          </w:tcPr>
          <w:p w14:paraId="50071C6C"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Australia</w:t>
            </w:r>
          </w:p>
        </w:tc>
        <w:tc>
          <w:tcPr>
            <w:tcW w:w="786" w:type="pct"/>
          </w:tcPr>
          <w:p w14:paraId="3BDA28A3"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480" w:type="pct"/>
          </w:tcPr>
          <w:p w14:paraId="3B55C10B"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575" w:type="pct"/>
          </w:tcPr>
          <w:p w14:paraId="63DB95F1"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502" w:type="pct"/>
          </w:tcPr>
          <w:p w14:paraId="7A141B4F"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604" w:type="pct"/>
          </w:tcPr>
          <w:p w14:paraId="7068A0F4"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701" w:type="pct"/>
          </w:tcPr>
          <w:p w14:paraId="78F3A932"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592" w:type="pct"/>
          </w:tcPr>
          <w:p w14:paraId="47D338ED" w14:textId="77777777" w:rsidR="00373F18"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_Ref499731076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1.2.2</w:t>
            </w:r>
            <w:r>
              <w:rPr>
                <w:rFonts w:eastAsia="Gill Sans MT" w:cs="Times New Roman"/>
                <w:color w:val="38383A"/>
                <w:sz w:val="18"/>
                <w:szCs w:val="20"/>
              </w:rPr>
              <w:fldChar w:fldCharType="end"/>
            </w:r>
          </w:p>
          <w:p w14:paraId="0FB4299C" w14:textId="0D3BAB27" w:rsidR="00373F18" w:rsidRPr="007331F1"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_Ref499731146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1.7.3</w:t>
            </w:r>
            <w:r>
              <w:rPr>
                <w:rFonts w:eastAsia="Gill Sans MT" w:cs="Times New Roman"/>
                <w:color w:val="38383A"/>
                <w:sz w:val="18"/>
                <w:szCs w:val="20"/>
              </w:rPr>
              <w:fldChar w:fldCharType="end"/>
            </w:r>
          </w:p>
        </w:tc>
      </w:tr>
      <w:tr w:rsidR="00373F18" w:rsidRPr="00192837" w14:paraId="61D5A8C7" w14:textId="0DAD0763" w:rsidTr="00373F18">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pct"/>
          </w:tcPr>
          <w:p w14:paraId="6FD68D90"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Denmark</w:t>
            </w:r>
          </w:p>
        </w:tc>
        <w:tc>
          <w:tcPr>
            <w:tcW w:w="786" w:type="pct"/>
          </w:tcPr>
          <w:p w14:paraId="1501C4E7"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480" w:type="pct"/>
          </w:tcPr>
          <w:p w14:paraId="7FEB817E"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575" w:type="pct"/>
          </w:tcPr>
          <w:p w14:paraId="08D3CC18"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502" w:type="pct"/>
          </w:tcPr>
          <w:p w14:paraId="40495803"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604" w:type="pct"/>
          </w:tcPr>
          <w:p w14:paraId="58C233C5"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701" w:type="pct"/>
          </w:tcPr>
          <w:p w14:paraId="2D48EDC0"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592" w:type="pct"/>
          </w:tcPr>
          <w:p w14:paraId="42011FE8" w14:textId="45219C7B"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_Ref499731207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3.2.2</w:t>
            </w:r>
            <w:r>
              <w:rPr>
                <w:rFonts w:eastAsia="Gill Sans MT" w:cs="Times New Roman"/>
                <w:color w:val="38383A"/>
                <w:sz w:val="18"/>
                <w:szCs w:val="20"/>
              </w:rPr>
              <w:fldChar w:fldCharType="end"/>
            </w:r>
          </w:p>
        </w:tc>
      </w:tr>
      <w:tr w:rsidR="003B20EF" w:rsidRPr="00192837" w14:paraId="2A20DC0D" w14:textId="4031D0F0" w:rsidTr="003B2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pct"/>
          </w:tcPr>
          <w:p w14:paraId="5CB8C5D0"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France</w:t>
            </w:r>
          </w:p>
        </w:tc>
        <w:tc>
          <w:tcPr>
            <w:tcW w:w="786" w:type="pct"/>
          </w:tcPr>
          <w:p w14:paraId="3789AF81"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480" w:type="pct"/>
          </w:tcPr>
          <w:p w14:paraId="381EB3C4"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575" w:type="pct"/>
          </w:tcPr>
          <w:p w14:paraId="0CE3401F"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502" w:type="pct"/>
          </w:tcPr>
          <w:p w14:paraId="051F978B"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604" w:type="pct"/>
          </w:tcPr>
          <w:p w14:paraId="28055E67"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701" w:type="pct"/>
          </w:tcPr>
          <w:p w14:paraId="71036404"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592" w:type="pct"/>
          </w:tcPr>
          <w:p w14:paraId="52294FDE" w14:textId="357D060F"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_Ref499731246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4.2.2</w:t>
            </w:r>
            <w:r>
              <w:rPr>
                <w:rFonts w:eastAsia="Gill Sans MT" w:cs="Times New Roman"/>
                <w:color w:val="38383A"/>
                <w:sz w:val="18"/>
                <w:szCs w:val="20"/>
              </w:rPr>
              <w:fldChar w:fldCharType="end"/>
            </w:r>
          </w:p>
        </w:tc>
      </w:tr>
      <w:tr w:rsidR="00373F18" w:rsidRPr="00192837" w14:paraId="3DAD727B" w14:textId="15E9D8D5" w:rsidTr="00373F18">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pct"/>
          </w:tcPr>
          <w:p w14:paraId="49A69618"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New Zealand</w:t>
            </w:r>
          </w:p>
        </w:tc>
        <w:tc>
          <w:tcPr>
            <w:tcW w:w="786" w:type="pct"/>
          </w:tcPr>
          <w:p w14:paraId="16D8F97A"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480" w:type="pct"/>
          </w:tcPr>
          <w:p w14:paraId="1CE7803C"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575" w:type="pct"/>
          </w:tcPr>
          <w:p w14:paraId="782F3923"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502" w:type="pct"/>
          </w:tcPr>
          <w:p w14:paraId="46AFEE86"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604" w:type="pct"/>
          </w:tcPr>
          <w:p w14:paraId="665E596D"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701" w:type="pct"/>
          </w:tcPr>
          <w:p w14:paraId="4C99A721"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592" w:type="pct"/>
          </w:tcPr>
          <w:p w14:paraId="47302D68" w14:textId="185E2C18"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_Ref499731258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5.1.3</w:t>
            </w:r>
            <w:r>
              <w:rPr>
                <w:rFonts w:eastAsia="Gill Sans MT" w:cs="Times New Roman"/>
                <w:color w:val="38383A"/>
                <w:sz w:val="18"/>
                <w:szCs w:val="20"/>
              </w:rPr>
              <w:fldChar w:fldCharType="end"/>
            </w:r>
          </w:p>
        </w:tc>
      </w:tr>
      <w:tr w:rsidR="003B20EF" w:rsidRPr="00192837" w14:paraId="0B0D4FA2" w14:textId="1E4ADA4E" w:rsidTr="003B2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pct"/>
          </w:tcPr>
          <w:p w14:paraId="420DBC30"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lastRenderedPageBreak/>
              <w:t>Portugal</w:t>
            </w:r>
          </w:p>
        </w:tc>
        <w:tc>
          <w:tcPr>
            <w:tcW w:w="786" w:type="pct"/>
          </w:tcPr>
          <w:p w14:paraId="23F95FAC"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480" w:type="pct"/>
          </w:tcPr>
          <w:p w14:paraId="30D801FB"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575" w:type="pct"/>
          </w:tcPr>
          <w:p w14:paraId="69D0D25F"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502" w:type="pct"/>
          </w:tcPr>
          <w:p w14:paraId="0B237EB3"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604" w:type="pct"/>
          </w:tcPr>
          <w:p w14:paraId="6BC059FD"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701" w:type="pct"/>
          </w:tcPr>
          <w:p w14:paraId="4D492B42"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592" w:type="pct"/>
          </w:tcPr>
          <w:p w14:paraId="38A5AEEA" w14:textId="6FCE427F" w:rsidR="00373F18" w:rsidRPr="007331F1"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_Ref499731312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6.3.2</w:t>
            </w:r>
            <w:r>
              <w:rPr>
                <w:rFonts w:eastAsia="Gill Sans MT" w:cs="Times New Roman"/>
                <w:color w:val="38383A"/>
                <w:sz w:val="18"/>
                <w:szCs w:val="20"/>
              </w:rPr>
              <w:fldChar w:fldCharType="end"/>
            </w:r>
          </w:p>
        </w:tc>
      </w:tr>
      <w:tr w:rsidR="00373F18" w:rsidRPr="00192837" w14:paraId="7B8D7F72" w14:textId="473412E9" w:rsidTr="00373F18">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pct"/>
          </w:tcPr>
          <w:p w14:paraId="18B4A65D"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Singapore</w:t>
            </w:r>
          </w:p>
        </w:tc>
        <w:tc>
          <w:tcPr>
            <w:tcW w:w="786" w:type="pct"/>
          </w:tcPr>
          <w:p w14:paraId="655EED36"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480" w:type="pct"/>
          </w:tcPr>
          <w:p w14:paraId="05BF3000"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575" w:type="pct"/>
          </w:tcPr>
          <w:p w14:paraId="12A11B63"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502" w:type="pct"/>
          </w:tcPr>
          <w:p w14:paraId="49A45EF6"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604" w:type="pct"/>
          </w:tcPr>
          <w:p w14:paraId="41DBCD79"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701" w:type="pct"/>
          </w:tcPr>
          <w:p w14:paraId="28666716"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592" w:type="pct"/>
          </w:tcPr>
          <w:p w14:paraId="33C64E8F" w14:textId="56DA01AA" w:rsidR="00373F18" w:rsidRPr="007331F1"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_Ref499731330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7.2.2</w:t>
            </w:r>
            <w:r>
              <w:rPr>
                <w:rFonts w:eastAsia="Gill Sans MT" w:cs="Times New Roman"/>
                <w:color w:val="38383A"/>
                <w:sz w:val="18"/>
                <w:szCs w:val="20"/>
              </w:rPr>
              <w:fldChar w:fldCharType="end"/>
            </w:r>
          </w:p>
        </w:tc>
      </w:tr>
      <w:tr w:rsidR="003B20EF" w:rsidRPr="00192837" w14:paraId="63B31480" w14:textId="59C09C97" w:rsidTr="003B2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pct"/>
          </w:tcPr>
          <w:p w14:paraId="7E5F2B0D"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Alberta</w:t>
            </w:r>
          </w:p>
        </w:tc>
        <w:tc>
          <w:tcPr>
            <w:tcW w:w="786" w:type="pct"/>
          </w:tcPr>
          <w:p w14:paraId="24038EA1"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480" w:type="pct"/>
          </w:tcPr>
          <w:p w14:paraId="37838889"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575" w:type="pct"/>
          </w:tcPr>
          <w:p w14:paraId="4C19C5A3"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502" w:type="pct"/>
          </w:tcPr>
          <w:p w14:paraId="13BFDE33"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604" w:type="pct"/>
          </w:tcPr>
          <w:p w14:paraId="42BC1827"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701" w:type="pct"/>
          </w:tcPr>
          <w:p w14:paraId="44F770E7"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592" w:type="pct"/>
          </w:tcPr>
          <w:p w14:paraId="4D442220" w14:textId="047EB698"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_Ref499731341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2.3.3</w:t>
            </w:r>
            <w:r>
              <w:rPr>
                <w:rFonts w:eastAsia="Gill Sans MT" w:cs="Times New Roman"/>
                <w:color w:val="38383A"/>
                <w:sz w:val="18"/>
                <w:szCs w:val="20"/>
              </w:rPr>
              <w:fldChar w:fldCharType="end"/>
            </w:r>
          </w:p>
        </w:tc>
      </w:tr>
      <w:tr w:rsidR="00373F18" w:rsidRPr="00192837" w14:paraId="14B82D49" w14:textId="49DDF439" w:rsidTr="00373F18">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pct"/>
          </w:tcPr>
          <w:p w14:paraId="68265062"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British Columbia</w:t>
            </w:r>
          </w:p>
        </w:tc>
        <w:tc>
          <w:tcPr>
            <w:tcW w:w="786" w:type="pct"/>
          </w:tcPr>
          <w:p w14:paraId="20E6B04C"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480" w:type="pct"/>
          </w:tcPr>
          <w:p w14:paraId="4D060E47"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575" w:type="pct"/>
          </w:tcPr>
          <w:p w14:paraId="7C5E9C3F"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502" w:type="pct"/>
          </w:tcPr>
          <w:p w14:paraId="549D10A6"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604" w:type="pct"/>
          </w:tcPr>
          <w:p w14:paraId="2894A292"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701" w:type="pct"/>
          </w:tcPr>
          <w:p w14:paraId="692D94F3"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592" w:type="pct"/>
          </w:tcPr>
          <w:p w14:paraId="62EF1D4D" w14:textId="0C2FA4E9"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_Ref499731348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2.4.3</w:t>
            </w:r>
            <w:r>
              <w:rPr>
                <w:rFonts w:eastAsia="Gill Sans MT" w:cs="Times New Roman"/>
                <w:color w:val="38383A"/>
                <w:sz w:val="18"/>
                <w:szCs w:val="20"/>
              </w:rPr>
              <w:fldChar w:fldCharType="end"/>
            </w:r>
          </w:p>
        </w:tc>
      </w:tr>
      <w:tr w:rsidR="003B20EF" w:rsidRPr="00192837" w14:paraId="1587F732" w14:textId="0A43F0B6" w:rsidTr="003B2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pct"/>
          </w:tcPr>
          <w:p w14:paraId="78ADF86C"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Newfoundland and Labrador</w:t>
            </w:r>
          </w:p>
        </w:tc>
        <w:tc>
          <w:tcPr>
            <w:tcW w:w="786" w:type="pct"/>
          </w:tcPr>
          <w:p w14:paraId="45203C33"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480" w:type="pct"/>
          </w:tcPr>
          <w:p w14:paraId="00B238D6"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575" w:type="pct"/>
          </w:tcPr>
          <w:p w14:paraId="503B2815"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502" w:type="pct"/>
          </w:tcPr>
          <w:p w14:paraId="087D8C45"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604" w:type="pct"/>
          </w:tcPr>
          <w:p w14:paraId="537ADB74"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701" w:type="pct"/>
          </w:tcPr>
          <w:p w14:paraId="2B41C74F"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592" w:type="pct"/>
          </w:tcPr>
          <w:p w14:paraId="6B763282" w14:textId="1AD64142"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_Ref499731356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2.5.3</w:t>
            </w:r>
            <w:r>
              <w:rPr>
                <w:rFonts w:eastAsia="Gill Sans MT" w:cs="Times New Roman"/>
                <w:color w:val="38383A"/>
                <w:sz w:val="18"/>
                <w:szCs w:val="20"/>
              </w:rPr>
              <w:fldChar w:fldCharType="end"/>
            </w:r>
          </w:p>
        </w:tc>
      </w:tr>
      <w:tr w:rsidR="00373F18" w:rsidRPr="00192837" w14:paraId="58BA55F0" w14:textId="307C8E81" w:rsidTr="00373F18">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pct"/>
          </w:tcPr>
          <w:p w14:paraId="1C22F64F"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Ontario</w:t>
            </w:r>
          </w:p>
        </w:tc>
        <w:tc>
          <w:tcPr>
            <w:tcW w:w="786" w:type="pct"/>
          </w:tcPr>
          <w:p w14:paraId="044FF092"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480" w:type="pct"/>
          </w:tcPr>
          <w:p w14:paraId="09CCC98A"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575" w:type="pct"/>
          </w:tcPr>
          <w:p w14:paraId="105C64F7"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502" w:type="pct"/>
          </w:tcPr>
          <w:p w14:paraId="439A0330"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604" w:type="pct"/>
          </w:tcPr>
          <w:p w14:paraId="06792FC4"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701" w:type="pct"/>
          </w:tcPr>
          <w:p w14:paraId="722A382F"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592" w:type="pct"/>
          </w:tcPr>
          <w:p w14:paraId="3573A648" w14:textId="289246D0" w:rsidR="00373F18" w:rsidRPr="007331F1"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_Ref499731365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2.6.3</w:t>
            </w:r>
            <w:r>
              <w:rPr>
                <w:rFonts w:eastAsia="Gill Sans MT" w:cs="Times New Roman"/>
                <w:color w:val="38383A"/>
                <w:sz w:val="18"/>
                <w:szCs w:val="20"/>
              </w:rPr>
              <w:fldChar w:fldCharType="end"/>
            </w:r>
          </w:p>
        </w:tc>
      </w:tr>
      <w:tr w:rsidR="003B20EF" w:rsidRPr="00192837" w14:paraId="7CC6A163" w14:textId="30BEF392" w:rsidTr="003B2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pct"/>
          </w:tcPr>
          <w:p w14:paraId="7F7FC38E"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Saskatchewan</w:t>
            </w:r>
          </w:p>
        </w:tc>
        <w:tc>
          <w:tcPr>
            <w:tcW w:w="786" w:type="pct"/>
          </w:tcPr>
          <w:p w14:paraId="637E29F3"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480" w:type="pct"/>
          </w:tcPr>
          <w:p w14:paraId="7A1C49C8"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575" w:type="pct"/>
          </w:tcPr>
          <w:p w14:paraId="2A477D30"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502" w:type="pct"/>
          </w:tcPr>
          <w:p w14:paraId="139A53E9"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604" w:type="pct"/>
          </w:tcPr>
          <w:p w14:paraId="2291D156"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701" w:type="pct"/>
          </w:tcPr>
          <w:p w14:paraId="4F1892DA"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592" w:type="pct"/>
          </w:tcPr>
          <w:p w14:paraId="2892F298" w14:textId="0EB35822"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_Ref499731370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2.7.3</w:t>
            </w:r>
            <w:r>
              <w:rPr>
                <w:rFonts w:eastAsia="Gill Sans MT" w:cs="Times New Roman"/>
                <w:color w:val="38383A"/>
                <w:sz w:val="18"/>
                <w:szCs w:val="20"/>
              </w:rPr>
              <w:fldChar w:fldCharType="end"/>
            </w:r>
          </w:p>
        </w:tc>
      </w:tr>
      <w:tr w:rsidR="00373F18" w:rsidRPr="00192837" w14:paraId="551E40B0" w14:textId="287180CB" w:rsidTr="00373F18">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pct"/>
          </w:tcPr>
          <w:p w14:paraId="6B2A5E41"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California</w:t>
            </w:r>
          </w:p>
        </w:tc>
        <w:tc>
          <w:tcPr>
            <w:tcW w:w="786" w:type="pct"/>
          </w:tcPr>
          <w:p w14:paraId="536ED73A"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480" w:type="pct"/>
          </w:tcPr>
          <w:p w14:paraId="5E43B066"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575" w:type="pct"/>
          </w:tcPr>
          <w:p w14:paraId="65D31B35"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502" w:type="pct"/>
          </w:tcPr>
          <w:p w14:paraId="6EC7BE81"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604" w:type="pct"/>
          </w:tcPr>
          <w:p w14:paraId="7FE45D89"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701" w:type="pct"/>
          </w:tcPr>
          <w:p w14:paraId="76E54894"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592" w:type="pct"/>
          </w:tcPr>
          <w:p w14:paraId="2566C1D7" w14:textId="1148B72B"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_Ref499731379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9.10.3</w:t>
            </w:r>
            <w:r>
              <w:rPr>
                <w:rFonts w:eastAsia="Gill Sans MT" w:cs="Times New Roman"/>
                <w:color w:val="38383A"/>
                <w:sz w:val="18"/>
                <w:szCs w:val="20"/>
              </w:rPr>
              <w:fldChar w:fldCharType="end"/>
            </w:r>
          </w:p>
        </w:tc>
      </w:tr>
      <w:tr w:rsidR="003B20EF" w:rsidRPr="00192837" w14:paraId="2C273DA0" w14:textId="722723A1" w:rsidTr="003B2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pct"/>
          </w:tcPr>
          <w:p w14:paraId="04A48193"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Maine</w:t>
            </w:r>
          </w:p>
        </w:tc>
        <w:tc>
          <w:tcPr>
            <w:tcW w:w="786" w:type="pct"/>
          </w:tcPr>
          <w:p w14:paraId="360B8B84"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480" w:type="pct"/>
          </w:tcPr>
          <w:p w14:paraId="73F419BF"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575" w:type="pct"/>
          </w:tcPr>
          <w:p w14:paraId="768CA992"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502" w:type="pct"/>
          </w:tcPr>
          <w:p w14:paraId="0D52498B"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604" w:type="pct"/>
          </w:tcPr>
          <w:p w14:paraId="28DC0495"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701" w:type="pct"/>
          </w:tcPr>
          <w:p w14:paraId="1BA88C9E"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592" w:type="pct"/>
          </w:tcPr>
          <w:p w14:paraId="628EBF1D" w14:textId="2DA7A38C" w:rsidR="00373F18" w:rsidRPr="007331F1"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_Ref499731832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9.4.3</w:t>
            </w:r>
            <w:r>
              <w:rPr>
                <w:rFonts w:eastAsia="Gill Sans MT" w:cs="Times New Roman"/>
                <w:color w:val="38383A"/>
                <w:sz w:val="18"/>
                <w:szCs w:val="20"/>
              </w:rPr>
              <w:fldChar w:fldCharType="end"/>
            </w:r>
          </w:p>
        </w:tc>
      </w:tr>
      <w:tr w:rsidR="00373F18" w:rsidRPr="00192837" w14:paraId="53FC4A2F" w14:textId="19469D78" w:rsidTr="00373F18">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pct"/>
          </w:tcPr>
          <w:p w14:paraId="7873EDC0"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North Carolina</w:t>
            </w:r>
          </w:p>
        </w:tc>
        <w:tc>
          <w:tcPr>
            <w:tcW w:w="786" w:type="pct"/>
          </w:tcPr>
          <w:p w14:paraId="1274DBA9"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480" w:type="pct"/>
          </w:tcPr>
          <w:p w14:paraId="281B8E14"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575" w:type="pct"/>
          </w:tcPr>
          <w:p w14:paraId="44266B22"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502" w:type="pct"/>
          </w:tcPr>
          <w:p w14:paraId="10E8D757"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604" w:type="pct"/>
          </w:tcPr>
          <w:p w14:paraId="4F99CBDE"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701" w:type="pct"/>
          </w:tcPr>
          <w:p w14:paraId="5A2EE461"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592" w:type="pct"/>
          </w:tcPr>
          <w:p w14:paraId="4513C794" w14:textId="1339EACF"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_Ref499731841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9.5.3</w:t>
            </w:r>
            <w:r>
              <w:rPr>
                <w:rFonts w:eastAsia="Gill Sans MT" w:cs="Times New Roman"/>
                <w:color w:val="38383A"/>
                <w:sz w:val="18"/>
                <w:szCs w:val="20"/>
              </w:rPr>
              <w:fldChar w:fldCharType="end"/>
            </w:r>
          </w:p>
        </w:tc>
      </w:tr>
      <w:tr w:rsidR="003B20EF" w:rsidRPr="00192837" w14:paraId="649F2E86" w14:textId="22DC6171" w:rsidTr="003B2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pct"/>
          </w:tcPr>
          <w:p w14:paraId="10B6CAF6"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Oklahoma</w:t>
            </w:r>
          </w:p>
        </w:tc>
        <w:tc>
          <w:tcPr>
            <w:tcW w:w="786" w:type="pct"/>
          </w:tcPr>
          <w:p w14:paraId="4F9509B2"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480" w:type="pct"/>
          </w:tcPr>
          <w:p w14:paraId="23A1D2B3"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575" w:type="pct"/>
          </w:tcPr>
          <w:p w14:paraId="121CD91F"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502" w:type="pct"/>
          </w:tcPr>
          <w:p w14:paraId="77C247A9"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604" w:type="pct"/>
          </w:tcPr>
          <w:p w14:paraId="73441095"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701" w:type="pct"/>
          </w:tcPr>
          <w:p w14:paraId="153D1D71"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592" w:type="pct"/>
          </w:tcPr>
          <w:p w14:paraId="7B92FC5F" w14:textId="2FF1BC79" w:rsidR="00373F18" w:rsidRPr="007331F1"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_Ref499731391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9.11.3</w:t>
            </w:r>
            <w:r>
              <w:rPr>
                <w:rFonts w:eastAsia="Gill Sans MT" w:cs="Times New Roman"/>
                <w:color w:val="38383A"/>
                <w:sz w:val="18"/>
                <w:szCs w:val="20"/>
              </w:rPr>
              <w:fldChar w:fldCharType="end"/>
            </w:r>
          </w:p>
        </w:tc>
      </w:tr>
      <w:tr w:rsidR="00373F18" w:rsidRPr="00192837" w14:paraId="4C51F43D" w14:textId="50E8BDEC" w:rsidTr="00373F18">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pct"/>
          </w:tcPr>
          <w:p w14:paraId="49C8A68B"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Oregon</w:t>
            </w:r>
          </w:p>
        </w:tc>
        <w:tc>
          <w:tcPr>
            <w:tcW w:w="786" w:type="pct"/>
          </w:tcPr>
          <w:p w14:paraId="31A9F07F"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480" w:type="pct"/>
          </w:tcPr>
          <w:p w14:paraId="5F7C1559"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575" w:type="pct"/>
          </w:tcPr>
          <w:p w14:paraId="364BCFAC"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502" w:type="pct"/>
          </w:tcPr>
          <w:p w14:paraId="156AD93F"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604" w:type="pct"/>
          </w:tcPr>
          <w:p w14:paraId="3F1CFE9C"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701" w:type="pct"/>
          </w:tcPr>
          <w:p w14:paraId="56606D67" w14:textId="77777777"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592" w:type="pct"/>
          </w:tcPr>
          <w:p w14:paraId="0BCAF8DB" w14:textId="67D84D6A" w:rsidR="00373F18" w:rsidRPr="00192837" w:rsidRDefault="00373F18" w:rsidP="00373F18">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_Ref499731897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9.6.3</w:t>
            </w:r>
            <w:r>
              <w:rPr>
                <w:rFonts w:eastAsia="Gill Sans MT" w:cs="Times New Roman"/>
                <w:color w:val="38383A"/>
                <w:sz w:val="18"/>
                <w:szCs w:val="20"/>
              </w:rPr>
              <w:fldChar w:fldCharType="end"/>
            </w:r>
          </w:p>
        </w:tc>
      </w:tr>
      <w:tr w:rsidR="003B20EF" w:rsidRPr="00192837" w14:paraId="4AE180B4" w14:textId="04B98F2D" w:rsidTr="003B2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pct"/>
          </w:tcPr>
          <w:p w14:paraId="7F13B09B" w14:textId="77777777" w:rsidR="00373F18" w:rsidRPr="00192837" w:rsidRDefault="00373F18" w:rsidP="00373F18">
            <w:pPr>
              <w:keepNext/>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Washington</w:t>
            </w:r>
          </w:p>
        </w:tc>
        <w:tc>
          <w:tcPr>
            <w:tcW w:w="786" w:type="pct"/>
          </w:tcPr>
          <w:p w14:paraId="316B3274" w14:textId="77777777" w:rsidR="00373F18" w:rsidRPr="00192837" w:rsidRDefault="00373F18" w:rsidP="00373F18">
            <w:pPr>
              <w:keepNext/>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480" w:type="pct"/>
          </w:tcPr>
          <w:p w14:paraId="787B67A0" w14:textId="77777777" w:rsidR="00373F18" w:rsidRPr="00192837" w:rsidRDefault="00373F18" w:rsidP="00373F18">
            <w:pPr>
              <w:keepNext/>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575" w:type="pct"/>
          </w:tcPr>
          <w:p w14:paraId="31435D03" w14:textId="77777777" w:rsidR="00373F18" w:rsidRPr="00192837" w:rsidRDefault="00373F18" w:rsidP="00373F18">
            <w:pPr>
              <w:keepNext/>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502" w:type="pct"/>
          </w:tcPr>
          <w:p w14:paraId="0054078C" w14:textId="77777777" w:rsidR="00373F18" w:rsidRPr="00192837" w:rsidRDefault="00373F18" w:rsidP="00373F18">
            <w:pPr>
              <w:keepNext/>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604" w:type="pct"/>
          </w:tcPr>
          <w:p w14:paraId="32B235F7" w14:textId="77777777" w:rsidR="00373F18" w:rsidRPr="00192837" w:rsidRDefault="00373F18" w:rsidP="00373F18">
            <w:pPr>
              <w:keepNext/>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701" w:type="pct"/>
          </w:tcPr>
          <w:p w14:paraId="79CD0FBB" w14:textId="77777777" w:rsidR="00373F18" w:rsidRPr="00192837" w:rsidRDefault="00373F18" w:rsidP="00373F18">
            <w:pPr>
              <w:keepNext/>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592" w:type="pct"/>
          </w:tcPr>
          <w:p w14:paraId="5DB66BDD" w14:textId="701EC514" w:rsidR="00373F18" w:rsidRPr="007331F1" w:rsidRDefault="00373F18" w:rsidP="00373F18">
            <w:pPr>
              <w:keepNext/>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_Ref499731410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9.7.3</w:t>
            </w:r>
            <w:r>
              <w:rPr>
                <w:rFonts w:eastAsia="Gill Sans MT" w:cs="Times New Roman"/>
                <w:color w:val="38383A"/>
                <w:sz w:val="18"/>
                <w:szCs w:val="20"/>
              </w:rPr>
              <w:fldChar w:fldCharType="end"/>
            </w:r>
          </w:p>
        </w:tc>
      </w:tr>
      <w:tr w:rsidR="00373F18" w:rsidRPr="00192837" w14:paraId="3ADF2504" w14:textId="3A54F82B" w:rsidTr="00373F1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pct"/>
          </w:tcPr>
          <w:p w14:paraId="48135853" w14:textId="77777777" w:rsidR="00804578" w:rsidRPr="00192837" w:rsidRDefault="00804578" w:rsidP="00297895">
            <w:pPr>
              <w:keepNext/>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000000"/>
                <w:sz w:val="18"/>
                <w:szCs w:val="20"/>
              </w:rPr>
            </w:pPr>
            <w:r w:rsidRPr="00192837">
              <w:rPr>
                <w:rFonts w:eastAsia="Gill Sans MT" w:cs="Times New Roman"/>
                <w:color w:val="000000"/>
                <w:sz w:val="18"/>
                <w:szCs w:val="20"/>
              </w:rPr>
              <w:t>Total</w:t>
            </w:r>
          </w:p>
        </w:tc>
        <w:tc>
          <w:tcPr>
            <w:tcW w:w="786" w:type="pct"/>
          </w:tcPr>
          <w:p w14:paraId="29304750" w14:textId="77777777" w:rsidR="00804578" w:rsidRPr="00192837" w:rsidRDefault="00804578" w:rsidP="00297895">
            <w:pPr>
              <w:keepNext/>
              <w:tabs>
                <w:tab w:val="clear" w:pos="280"/>
                <w:tab w:val="clear" w:pos="4800"/>
                <w:tab w:val="clear" w:pos="5780"/>
              </w:tabs>
              <w:suppressAutoHyphens w:val="0"/>
              <w:autoSpaceDE/>
              <w:autoSpaceDN/>
              <w:adjustRightInd/>
              <w:spacing w:line="264" w:lineRule="auto"/>
              <w:jc w:val="center"/>
              <w:textAlignment w:val="auto"/>
              <w:cnfStyle w:val="010000000000" w:firstRow="0" w:lastRow="1" w:firstColumn="0" w:lastColumn="0" w:oddVBand="0" w:evenVBand="0" w:oddHBand="0"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13</w:t>
            </w:r>
          </w:p>
        </w:tc>
        <w:tc>
          <w:tcPr>
            <w:tcW w:w="480" w:type="pct"/>
          </w:tcPr>
          <w:p w14:paraId="3C2C95C4" w14:textId="77777777" w:rsidR="00804578" w:rsidRPr="00192837" w:rsidRDefault="00804578" w:rsidP="00297895">
            <w:pPr>
              <w:keepNext/>
              <w:tabs>
                <w:tab w:val="clear" w:pos="280"/>
                <w:tab w:val="clear" w:pos="4800"/>
                <w:tab w:val="clear" w:pos="5780"/>
              </w:tabs>
              <w:suppressAutoHyphens w:val="0"/>
              <w:autoSpaceDE/>
              <w:autoSpaceDN/>
              <w:adjustRightInd/>
              <w:spacing w:line="264" w:lineRule="auto"/>
              <w:jc w:val="center"/>
              <w:textAlignment w:val="auto"/>
              <w:cnfStyle w:val="010000000000" w:firstRow="0" w:lastRow="1" w:firstColumn="0" w:lastColumn="0" w:oddVBand="0" w:evenVBand="0" w:oddHBand="0"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11</w:t>
            </w:r>
          </w:p>
        </w:tc>
        <w:tc>
          <w:tcPr>
            <w:tcW w:w="575" w:type="pct"/>
          </w:tcPr>
          <w:p w14:paraId="157A418B" w14:textId="77777777" w:rsidR="00804578" w:rsidRPr="00192837" w:rsidRDefault="00804578" w:rsidP="00297895">
            <w:pPr>
              <w:keepNext/>
              <w:tabs>
                <w:tab w:val="clear" w:pos="280"/>
                <w:tab w:val="clear" w:pos="4800"/>
                <w:tab w:val="clear" w:pos="5780"/>
              </w:tabs>
              <w:suppressAutoHyphens w:val="0"/>
              <w:autoSpaceDE/>
              <w:autoSpaceDN/>
              <w:adjustRightInd/>
              <w:spacing w:line="264" w:lineRule="auto"/>
              <w:jc w:val="center"/>
              <w:textAlignment w:val="auto"/>
              <w:cnfStyle w:val="010000000000" w:firstRow="0" w:lastRow="1" w:firstColumn="0" w:lastColumn="0" w:oddVBand="0" w:evenVBand="0" w:oddHBand="0"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5</w:t>
            </w:r>
          </w:p>
        </w:tc>
        <w:tc>
          <w:tcPr>
            <w:tcW w:w="502" w:type="pct"/>
          </w:tcPr>
          <w:p w14:paraId="0E3133F6" w14:textId="77777777" w:rsidR="00804578" w:rsidRPr="00192837" w:rsidRDefault="00804578" w:rsidP="00297895">
            <w:pPr>
              <w:keepNext/>
              <w:tabs>
                <w:tab w:val="clear" w:pos="280"/>
                <w:tab w:val="clear" w:pos="4800"/>
                <w:tab w:val="clear" w:pos="5780"/>
              </w:tabs>
              <w:suppressAutoHyphens w:val="0"/>
              <w:autoSpaceDE/>
              <w:autoSpaceDN/>
              <w:adjustRightInd/>
              <w:spacing w:line="264" w:lineRule="auto"/>
              <w:jc w:val="center"/>
              <w:textAlignment w:val="auto"/>
              <w:cnfStyle w:val="010000000000" w:firstRow="0" w:lastRow="1" w:firstColumn="0" w:lastColumn="0" w:oddVBand="0" w:evenVBand="0" w:oddHBand="0"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5</w:t>
            </w:r>
          </w:p>
        </w:tc>
        <w:tc>
          <w:tcPr>
            <w:tcW w:w="604" w:type="pct"/>
          </w:tcPr>
          <w:p w14:paraId="10A31C44" w14:textId="77777777" w:rsidR="00804578" w:rsidRPr="00192837" w:rsidRDefault="00804578" w:rsidP="00297895">
            <w:pPr>
              <w:keepNext/>
              <w:tabs>
                <w:tab w:val="clear" w:pos="280"/>
                <w:tab w:val="clear" w:pos="4800"/>
                <w:tab w:val="clear" w:pos="5780"/>
              </w:tabs>
              <w:suppressAutoHyphens w:val="0"/>
              <w:autoSpaceDE/>
              <w:autoSpaceDN/>
              <w:adjustRightInd/>
              <w:spacing w:line="264" w:lineRule="auto"/>
              <w:jc w:val="center"/>
              <w:textAlignment w:val="auto"/>
              <w:cnfStyle w:val="010000000000" w:firstRow="0" w:lastRow="1" w:firstColumn="0" w:lastColumn="0" w:oddVBand="0" w:evenVBand="0" w:oddHBand="0"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8</w:t>
            </w:r>
          </w:p>
        </w:tc>
        <w:tc>
          <w:tcPr>
            <w:tcW w:w="701" w:type="pct"/>
          </w:tcPr>
          <w:p w14:paraId="5C802382" w14:textId="77777777" w:rsidR="00804578" w:rsidRPr="00192837" w:rsidRDefault="00804578" w:rsidP="00297895">
            <w:pPr>
              <w:keepNext/>
              <w:tabs>
                <w:tab w:val="clear" w:pos="280"/>
                <w:tab w:val="clear" w:pos="4800"/>
                <w:tab w:val="clear" w:pos="5780"/>
              </w:tabs>
              <w:suppressAutoHyphens w:val="0"/>
              <w:autoSpaceDE/>
              <w:autoSpaceDN/>
              <w:adjustRightInd/>
              <w:spacing w:line="264" w:lineRule="auto"/>
              <w:jc w:val="center"/>
              <w:textAlignment w:val="auto"/>
              <w:cnfStyle w:val="010000000000" w:firstRow="0" w:lastRow="1" w:firstColumn="0" w:lastColumn="0" w:oddVBand="0" w:evenVBand="0" w:oddHBand="0"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7</w:t>
            </w:r>
          </w:p>
        </w:tc>
        <w:tc>
          <w:tcPr>
            <w:tcW w:w="592" w:type="pct"/>
          </w:tcPr>
          <w:p w14:paraId="68C15F43" w14:textId="77777777" w:rsidR="00804578" w:rsidRDefault="00804578" w:rsidP="00297895">
            <w:pPr>
              <w:keepNext/>
              <w:tabs>
                <w:tab w:val="clear" w:pos="280"/>
                <w:tab w:val="clear" w:pos="4800"/>
                <w:tab w:val="clear" w:pos="5780"/>
              </w:tabs>
              <w:suppressAutoHyphens w:val="0"/>
              <w:autoSpaceDE/>
              <w:autoSpaceDN/>
              <w:adjustRightInd/>
              <w:spacing w:line="264" w:lineRule="auto"/>
              <w:jc w:val="center"/>
              <w:textAlignment w:val="auto"/>
              <w:cnfStyle w:val="010000000000" w:firstRow="0" w:lastRow="1" w:firstColumn="0" w:lastColumn="0" w:oddVBand="0" w:evenVBand="0" w:oddHBand="0" w:evenHBand="0" w:firstRowFirstColumn="0" w:firstRowLastColumn="0" w:lastRowFirstColumn="0" w:lastRowLastColumn="0"/>
              <w:rPr>
                <w:rFonts w:eastAsia="Gill Sans MT" w:cs="Times New Roman"/>
                <w:color w:val="38383A"/>
                <w:sz w:val="18"/>
                <w:szCs w:val="20"/>
              </w:rPr>
            </w:pPr>
          </w:p>
        </w:tc>
      </w:tr>
    </w:tbl>
    <w:p w14:paraId="0A147DB6" w14:textId="463D1374" w:rsidR="00593E3B" w:rsidRDefault="00804578" w:rsidP="00804578">
      <w:pPr>
        <w:pStyle w:val="Tablelastnote"/>
      </w:pPr>
      <w:r>
        <w:t>Source: Europe Economics.</w:t>
      </w:r>
    </w:p>
    <w:p w14:paraId="58171C31" w14:textId="75FBDE2B" w:rsidR="00593E3B" w:rsidRDefault="00593E3B" w:rsidP="00593E3B">
      <w:pPr>
        <w:pStyle w:val="Heading3Pink"/>
      </w:pPr>
      <w:r>
        <w:t>Specific requirements</w:t>
      </w:r>
    </w:p>
    <w:p w14:paraId="1F537547" w14:textId="77777777" w:rsidR="00804578" w:rsidRPr="00192837" w:rsidRDefault="00804578" w:rsidP="00804578">
      <w:pPr>
        <w:keepNext/>
        <w:spacing w:after="200" w:line="240" w:lineRule="auto"/>
        <w:rPr>
          <w:b/>
          <w:bCs/>
          <w:sz w:val="20"/>
        </w:rPr>
      </w:pPr>
      <w:r w:rsidRPr="00192837">
        <w:rPr>
          <w:b/>
          <w:bCs/>
          <w:sz w:val="20"/>
        </w:rPr>
        <w:t xml:space="preserve">Table </w:t>
      </w:r>
      <w:r>
        <w:rPr>
          <w:b/>
          <w:bCs/>
          <w:sz w:val="20"/>
        </w:rPr>
        <w:fldChar w:fldCharType="begin"/>
      </w:r>
      <w:r>
        <w:rPr>
          <w:b/>
          <w:bCs/>
          <w:sz w:val="20"/>
        </w:rPr>
        <w:instrText xml:space="preserve"> STYLEREF 1 \s </w:instrText>
      </w:r>
      <w:r>
        <w:rPr>
          <w:b/>
          <w:bCs/>
          <w:sz w:val="20"/>
        </w:rPr>
        <w:fldChar w:fldCharType="separate"/>
      </w:r>
      <w:r w:rsidR="00B51130">
        <w:rPr>
          <w:b/>
          <w:bCs/>
          <w:noProof/>
          <w:sz w:val="20"/>
        </w:rPr>
        <w:t>11</w:t>
      </w:r>
      <w:r>
        <w:rPr>
          <w:b/>
          <w:bCs/>
          <w:sz w:val="20"/>
        </w:rPr>
        <w:fldChar w:fldCharType="end"/>
      </w:r>
      <w:r>
        <w:rPr>
          <w:b/>
          <w:bCs/>
          <w:sz w:val="20"/>
        </w:rPr>
        <w:t>.</w:t>
      </w:r>
      <w:r>
        <w:rPr>
          <w:b/>
          <w:bCs/>
          <w:sz w:val="20"/>
        </w:rPr>
        <w:fldChar w:fldCharType="begin"/>
      </w:r>
      <w:r>
        <w:rPr>
          <w:b/>
          <w:bCs/>
          <w:sz w:val="20"/>
        </w:rPr>
        <w:instrText xml:space="preserve"> SEQ Table \* ARABIC \s 1 </w:instrText>
      </w:r>
      <w:r>
        <w:rPr>
          <w:b/>
          <w:bCs/>
          <w:sz w:val="20"/>
        </w:rPr>
        <w:fldChar w:fldCharType="separate"/>
      </w:r>
      <w:r w:rsidR="00B51130">
        <w:rPr>
          <w:b/>
          <w:bCs/>
          <w:noProof/>
          <w:sz w:val="20"/>
        </w:rPr>
        <w:t>5</w:t>
      </w:r>
      <w:r>
        <w:rPr>
          <w:b/>
          <w:bCs/>
          <w:sz w:val="20"/>
        </w:rPr>
        <w:fldChar w:fldCharType="end"/>
      </w:r>
      <w:r w:rsidRPr="00192837">
        <w:rPr>
          <w:b/>
          <w:bCs/>
          <w:sz w:val="20"/>
        </w:rPr>
        <w:t xml:space="preserve">: Telemedicine </w:t>
      </w:r>
      <w:r>
        <w:rPr>
          <w:b/>
          <w:bCs/>
          <w:sz w:val="20"/>
        </w:rPr>
        <w:t xml:space="preserve">specific </w:t>
      </w:r>
      <w:r w:rsidRPr="00192837">
        <w:rPr>
          <w:b/>
          <w:bCs/>
          <w:sz w:val="20"/>
        </w:rPr>
        <w:t>requirements — summary</w:t>
      </w:r>
    </w:p>
    <w:tbl>
      <w:tblPr>
        <w:tblStyle w:val="LightShading-Accent113"/>
        <w:tblW w:w="5090" w:type="pct"/>
        <w:tblLook w:val="04E0" w:firstRow="1" w:lastRow="1" w:firstColumn="1" w:lastColumn="0" w:noHBand="0" w:noVBand="1"/>
      </w:tblPr>
      <w:tblGrid>
        <w:gridCol w:w="2813"/>
        <w:gridCol w:w="1368"/>
        <w:gridCol w:w="1629"/>
        <w:gridCol w:w="1913"/>
        <w:gridCol w:w="2088"/>
      </w:tblGrid>
      <w:tr w:rsidR="00804578" w:rsidRPr="00192837" w14:paraId="642014EE" w14:textId="414AA407" w:rsidTr="003B20E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34" w:type="pct"/>
          </w:tcPr>
          <w:p w14:paraId="5FC6EDC6"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38383A"/>
                <w:sz w:val="18"/>
                <w:szCs w:val="20"/>
              </w:rPr>
              <w:t>Jurisdiction</w:t>
            </w:r>
          </w:p>
        </w:tc>
        <w:tc>
          <w:tcPr>
            <w:tcW w:w="697" w:type="pct"/>
          </w:tcPr>
          <w:p w14:paraId="6D9C9B9F"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100000000000" w:firstRow="1" w:lastRow="0" w:firstColumn="0" w:lastColumn="0" w:oddVBand="0" w:evenVBand="0" w:oddHBand="0"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Prescribing</w:t>
            </w:r>
          </w:p>
        </w:tc>
        <w:tc>
          <w:tcPr>
            <w:tcW w:w="830" w:type="pct"/>
          </w:tcPr>
          <w:p w14:paraId="2C0B02AC"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100000000000" w:firstRow="1" w:lastRow="0" w:firstColumn="0" w:lastColumn="0" w:oddVBand="0" w:evenVBand="0" w:oddHBand="0"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Teleradiology, telepathology</w:t>
            </w:r>
          </w:p>
        </w:tc>
        <w:tc>
          <w:tcPr>
            <w:tcW w:w="975" w:type="pct"/>
          </w:tcPr>
          <w:p w14:paraId="3D724724"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100000000000" w:firstRow="1" w:lastRow="0" w:firstColumn="0" w:lastColumn="0" w:oddVBand="0" w:evenVBand="0" w:oddHBand="0" w:evenHBand="0" w:firstRowFirstColumn="0" w:firstRowLastColumn="0" w:lastRowFirstColumn="0" w:lastRowLastColumn="0"/>
              <w:rPr>
                <w:rFonts w:eastAsia="Gill Sans MT" w:cs="Times New Roman"/>
                <w:color w:val="38383A"/>
                <w:sz w:val="18"/>
                <w:szCs w:val="20"/>
              </w:rPr>
            </w:pPr>
            <w:proofErr w:type="spellStart"/>
            <w:r>
              <w:rPr>
                <w:rFonts w:eastAsia="Gill Sans MT" w:cs="Times New Roman"/>
                <w:color w:val="38383A"/>
                <w:sz w:val="18"/>
                <w:szCs w:val="20"/>
              </w:rPr>
              <w:t>Teledermatology</w:t>
            </w:r>
            <w:proofErr w:type="spellEnd"/>
          </w:p>
        </w:tc>
        <w:tc>
          <w:tcPr>
            <w:tcW w:w="1064" w:type="pct"/>
          </w:tcPr>
          <w:p w14:paraId="4D36C99D" w14:textId="77777777" w:rsidR="000942DF" w:rsidRDefault="00CE2DDD" w:rsidP="00297895">
            <w:pPr>
              <w:tabs>
                <w:tab w:val="clear" w:pos="280"/>
                <w:tab w:val="clear" w:pos="4800"/>
                <w:tab w:val="clear" w:pos="5780"/>
              </w:tabs>
              <w:suppressAutoHyphens w:val="0"/>
              <w:autoSpaceDE/>
              <w:autoSpaceDN/>
              <w:adjustRightInd/>
              <w:spacing w:line="264" w:lineRule="auto"/>
              <w:jc w:val="center"/>
              <w:textAlignment w:val="auto"/>
              <w:cnfStyle w:val="100000000000" w:firstRow="1" w:lastRow="0" w:firstColumn="0" w:lastColumn="0" w:oddVBand="0" w:evenVBand="0" w:oddHBand="0" w:evenHBand="0" w:firstRowFirstColumn="0" w:firstRowLastColumn="0" w:lastRowFirstColumn="0" w:lastRowLastColumn="0"/>
              <w:rPr>
                <w:rFonts w:eastAsia="Gill Sans MT" w:cs="Times New Roman"/>
                <w:b w:val="0"/>
                <w:bCs w:val="0"/>
                <w:color w:val="38383A"/>
                <w:sz w:val="18"/>
                <w:szCs w:val="20"/>
              </w:rPr>
            </w:pPr>
            <w:r>
              <w:rPr>
                <w:rFonts w:eastAsia="Gill Sans MT" w:cs="Times New Roman"/>
                <w:color w:val="38383A"/>
                <w:sz w:val="18"/>
                <w:szCs w:val="20"/>
              </w:rPr>
              <w:t>Appendix 2</w:t>
            </w:r>
          </w:p>
          <w:p w14:paraId="67837C1A" w14:textId="3940BA0B" w:rsidR="00804578" w:rsidRDefault="00CE2DDD" w:rsidP="00297895">
            <w:pPr>
              <w:tabs>
                <w:tab w:val="clear" w:pos="280"/>
                <w:tab w:val="clear" w:pos="4800"/>
                <w:tab w:val="clear" w:pos="5780"/>
              </w:tabs>
              <w:suppressAutoHyphens w:val="0"/>
              <w:autoSpaceDE/>
              <w:autoSpaceDN/>
              <w:adjustRightInd/>
              <w:spacing w:line="264" w:lineRule="auto"/>
              <w:jc w:val="center"/>
              <w:textAlignment w:val="auto"/>
              <w:cnfStyle w:val="100000000000" w:firstRow="1" w:lastRow="0" w:firstColumn="0" w:lastColumn="0" w:oddVBand="0" w:evenVBand="0" w:oddHBand="0"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section reference</w:t>
            </w:r>
          </w:p>
        </w:tc>
      </w:tr>
      <w:tr w:rsidR="00804578" w:rsidRPr="00192837" w14:paraId="11C022D0" w14:textId="3A3CF04D" w:rsidTr="003B2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pct"/>
          </w:tcPr>
          <w:p w14:paraId="3DCFDB08"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Australia</w:t>
            </w:r>
          </w:p>
        </w:tc>
        <w:tc>
          <w:tcPr>
            <w:tcW w:w="697" w:type="pct"/>
          </w:tcPr>
          <w:p w14:paraId="6A12A350"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830" w:type="pct"/>
          </w:tcPr>
          <w:p w14:paraId="681012FF"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975" w:type="pct"/>
          </w:tcPr>
          <w:p w14:paraId="4BB59FCC"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1064" w:type="pct"/>
          </w:tcPr>
          <w:p w14:paraId="4EDB814E"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r>
      <w:tr w:rsidR="00804578" w:rsidRPr="00192837" w14:paraId="3A358920" w14:textId="55FC642D" w:rsidTr="003B20EF">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pct"/>
          </w:tcPr>
          <w:p w14:paraId="130446E7"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Denmark</w:t>
            </w:r>
          </w:p>
        </w:tc>
        <w:tc>
          <w:tcPr>
            <w:tcW w:w="697" w:type="pct"/>
            <w:vAlign w:val="top"/>
          </w:tcPr>
          <w:p w14:paraId="2620CE62"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830" w:type="pct"/>
          </w:tcPr>
          <w:p w14:paraId="539A3D7F"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975" w:type="pct"/>
          </w:tcPr>
          <w:p w14:paraId="5F361E4E"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1064" w:type="pct"/>
          </w:tcPr>
          <w:p w14:paraId="4E9C0031"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r>
      <w:tr w:rsidR="00804578" w:rsidRPr="00192837" w14:paraId="57D0F983" w14:textId="51C03C94" w:rsidTr="003B2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pct"/>
          </w:tcPr>
          <w:p w14:paraId="32DA74F5"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France</w:t>
            </w:r>
          </w:p>
        </w:tc>
        <w:tc>
          <w:tcPr>
            <w:tcW w:w="697" w:type="pct"/>
          </w:tcPr>
          <w:p w14:paraId="01C596CD"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830" w:type="pct"/>
          </w:tcPr>
          <w:p w14:paraId="1436E801"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975" w:type="pct"/>
          </w:tcPr>
          <w:p w14:paraId="196F2451"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1064" w:type="pct"/>
          </w:tcPr>
          <w:p w14:paraId="56E0DF5E"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r>
      <w:tr w:rsidR="00804578" w:rsidRPr="00192837" w14:paraId="0C2E079F" w14:textId="0BE5FEAE" w:rsidTr="003B20EF">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pct"/>
          </w:tcPr>
          <w:p w14:paraId="0700F860"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New Zealand</w:t>
            </w:r>
          </w:p>
        </w:tc>
        <w:tc>
          <w:tcPr>
            <w:tcW w:w="697" w:type="pct"/>
          </w:tcPr>
          <w:p w14:paraId="4B452FED"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830" w:type="pct"/>
          </w:tcPr>
          <w:p w14:paraId="384C61A7"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975" w:type="pct"/>
          </w:tcPr>
          <w:p w14:paraId="654B133D"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1064" w:type="pct"/>
          </w:tcPr>
          <w:p w14:paraId="48DD308C" w14:textId="77777777" w:rsidR="00993258" w:rsidRDefault="00993258"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_Ref499738020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5.1.2</w:t>
            </w:r>
            <w:r>
              <w:rPr>
                <w:rFonts w:eastAsia="Gill Sans MT" w:cs="Times New Roman"/>
                <w:color w:val="38383A"/>
                <w:sz w:val="18"/>
                <w:szCs w:val="20"/>
              </w:rPr>
              <w:fldChar w:fldCharType="end"/>
            </w:r>
          </w:p>
          <w:p w14:paraId="11681169" w14:textId="689C33B0" w:rsidR="00804578" w:rsidRPr="00192837" w:rsidRDefault="00993258"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_Ref499732048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5.1.4</w:t>
            </w:r>
            <w:r>
              <w:rPr>
                <w:rFonts w:eastAsia="Gill Sans MT" w:cs="Times New Roman"/>
                <w:color w:val="38383A"/>
                <w:sz w:val="18"/>
                <w:szCs w:val="20"/>
              </w:rPr>
              <w:fldChar w:fldCharType="end"/>
            </w:r>
          </w:p>
        </w:tc>
      </w:tr>
      <w:tr w:rsidR="00804578" w:rsidRPr="00192837" w14:paraId="2691B4C8" w14:textId="6070A576" w:rsidTr="003B2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pct"/>
          </w:tcPr>
          <w:p w14:paraId="5CE706EC"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Portugal</w:t>
            </w:r>
          </w:p>
        </w:tc>
        <w:tc>
          <w:tcPr>
            <w:tcW w:w="697" w:type="pct"/>
          </w:tcPr>
          <w:p w14:paraId="2601735D"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830" w:type="pct"/>
          </w:tcPr>
          <w:p w14:paraId="20B37248"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975" w:type="pct"/>
          </w:tcPr>
          <w:p w14:paraId="1F33F02D"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1064" w:type="pct"/>
          </w:tcPr>
          <w:p w14:paraId="5C88822C" w14:textId="506E391F" w:rsidR="00804578" w:rsidRPr="007331F1" w:rsidRDefault="00ED2A41"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_Ref499732522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6.2.2</w:t>
            </w:r>
            <w:r>
              <w:rPr>
                <w:rFonts w:eastAsia="Gill Sans MT" w:cs="Times New Roman"/>
                <w:color w:val="38383A"/>
                <w:sz w:val="18"/>
                <w:szCs w:val="20"/>
              </w:rPr>
              <w:fldChar w:fldCharType="end"/>
            </w:r>
          </w:p>
        </w:tc>
      </w:tr>
      <w:tr w:rsidR="00804578" w:rsidRPr="00192837" w14:paraId="2282B88C" w14:textId="7BF6B7CF" w:rsidTr="003B20EF">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pct"/>
          </w:tcPr>
          <w:p w14:paraId="3ED12C9B"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Singapore</w:t>
            </w:r>
          </w:p>
        </w:tc>
        <w:tc>
          <w:tcPr>
            <w:tcW w:w="697" w:type="pct"/>
          </w:tcPr>
          <w:p w14:paraId="79A908E0"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830" w:type="pct"/>
          </w:tcPr>
          <w:p w14:paraId="64C68005"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975" w:type="pct"/>
          </w:tcPr>
          <w:p w14:paraId="2E2A2964"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1064" w:type="pct"/>
          </w:tcPr>
          <w:p w14:paraId="42F67AA2"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r>
      <w:tr w:rsidR="00804578" w:rsidRPr="00192837" w14:paraId="0E15AA17" w14:textId="04CB6B34" w:rsidTr="003B2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pct"/>
          </w:tcPr>
          <w:p w14:paraId="0BEE96D3"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Alberta</w:t>
            </w:r>
          </w:p>
        </w:tc>
        <w:tc>
          <w:tcPr>
            <w:tcW w:w="697" w:type="pct"/>
          </w:tcPr>
          <w:p w14:paraId="5B1CC676"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830" w:type="pct"/>
          </w:tcPr>
          <w:p w14:paraId="79F68457"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975" w:type="pct"/>
          </w:tcPr>
          <w:p w14:paraId="013FF7E5"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1064" w:type="pct"/>
          </w:tcPr>
          <w:p w14:paraId="0ADC4EE9" w14:textId="65B98F5A" w:rsidR="00804578" w:rsidRPr="00192837" w:rsidRDefault="00ED2A41"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_Ref499731341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2.3.3</w:t>
            </w:r>
            <w:r>
              <w:rPr>
                <w:rFonts w:eastAsia="Gill Sans MT" w:cs="Times New Roman"/>
                <w:color w:val="38383A"/>
                <w:sz w:val="18"/>
                <w:szCs w:val="20"/>
              </w:rPr>
              <w:fldChar w:fldCharType="end"/>
            </w:r>
          </w:p>
        </w:tc>
      </w:tr>
      <w:tr w:rsidR="00804578" w:rsidRPr="00192837" w14:paraId="7E1A6B37" w14:textId="40CBE9C8" w:rsidTr="003B20EF">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pct"/>
          </w:tcPr>
          <w:p w14:paraId="702AFA0A"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British Columbia</w:t>
            </w:r>
          </w:p>
        </w:tc>
        <w:tc>
          <w:tcPr>
            <w:tcW w:w="697" w:type="pct"/>
          </w:tcPr>
          <w:p w14:paraId="3BC73420"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830" w:type="pct"/>
          </w:tcPr>
          <w:p w14:paraId="642793CD"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975" w:type="pct"/>
          </w:tcPr>
          <w:p w14:paraId="5D5E1A0E"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1064" w:type="pct"/>
          </w:tcPr>
          <w:p w14:paraId="69D46CC7" w14:textId="1FAF63EB" w:rsidR="00804578" w:rsidRPr="00192837" w:rsidRDefault="00ED2A41"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_Ref499731348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2.4.3</w:t>
            </w:r>
            <w:r>
              <w:rPr>
                <w:rFonts w:eastAsia="Gill Sans MT" w:cs="Times New Roman"/>
                <w:color w:val="38383A"/>
                <w:sz w:val="18"/>
                <w:szCs w:val="20"/>
              </w:rPr>
              <w:fldChar w:fldCharType="end"/>
            </w:r>
          </w:p>
        </w:tc>
      </w:tr>
      <w:tr w:rsidR="00804578" w:rsidRPr="00192837" w14:paraId="0C2BC4B5" w14:textId="155E074E" w:rsidTr="003B2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pct"/>
          </w:tcPr>
          <w:p w14:paraId="56901EE8"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Newfoundland and Labrador</w:t>
            </w:r>
          </w:p>
        </w:tc>
        <w:tc>
          <w:tcPr>
            <w:tcW w:w="697" w:type="pct"/>
          </w:tcPr>
          <w:p w14:paraId="71FE82EB"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830" w:type="pct"/>
          </w:tcPr>
          <w:p w14:paraId="4BF16D01"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975" w:type="pct"/>
          </w:tcPr>
          <w:p w14:paraId="07EF8E1E"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1064" w:type="pct"/>
          </w:tcPr>
          <w:p w14:paraId="534AFC39" w14:textId="65E521E0" w:rsidR="00804578" w:rsidRPr="00192837" w:rsidRDefault="00ED2A41"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_Ref499731356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2.5.3</w:t>
            </w:r>
            <w:r>
              <w:rPr>
                <w:rFonts w:eastAsia="Gill Sans MT" w:cs="Times New Roman"/>
                <w:color w:val="38383A"/>
                <w:sz w:val="18"/>
                <w:szCs w:val="20"/>
              </w:rPr>
              <w:fldChar w:fldCharType="end"/>
            </w:r>
          </w:p>
        </w:tc>
      </w:tr>
      <w:tr w:rsidR="00804578" w:rsidRPr="00192837" w14:paraId="7EBB0755" w14:textId="7EBAFC15" w:rsidTr="003B20EF">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pct"/>
          </w:tcPr>
          <w:p w14:paraId="062602E3"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Ontario</w:t>
            </w:r>
          </w:p>
        </w:tc>
        <w:tc>
          <w:tcPr>
            <w:tcW w:w="697" w:type="pct"/>
          </w:tcPr>
          <w:p w14:paraId="7B497B9A" w14:textId="7B4786DF"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830" w:type="pct"/>
          </w:tcPr>
          <w:p w14:paraId="4D17CB8A"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975" w:type="pct"/>
          </w:tcPr>
          <w:p w14:paraId="24E84C12"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1064" w:type="pct"/>
          </w:tcPr>
          <w:p w14:paraId="6665A89D"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r>
      <w:tr w:rsidR="00804578" w:rsidRPr="00192837" w14:paraId="0058A146" w14:textId="650279F5" w:rsidTr="003B2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pct"/>
          </w:tcPr>
          <w:p w14:paraId="68153BF1"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Saskatchewan</w:t>
            </w:r>
          </w:p>
        </w:tc>
        <w:tc>
          <w:tcPr>
            <w:tcW w:w="697" w:type="pct"/>
          </w:tcPr>
          <w:p w14:paraId="11A97454"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830" w:type="pct"/>
          </w:tcPr>
          <w:p w14:paraId="2CE083F2"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975" w:type="pct"/>
          </w:tcPr>
          <w:p w14:paraId="3C32B50E"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1064" w:type="pct"/>
          </w:tcPr>
          <w:p w14:paraId="2B0D8D90" w14:textId="4B77D60E" w:rsidR="00804578" w:rsidRPr="00192837" w:rsidRDefault="00993258"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n/a</w:t>
            </w:r>
          </w:p>
        </w:tc>
      </w:tr>
      <w:tr w:rsidR="00804578" w:rsidRPr="00192837" w14:paraId="150AEAB9" w14:textId="41FC93D2" w:rsidTr="003B20EF">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pct"/>
          </w:tcPr>
          <w:p w14:paraId="632F9CF8"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California</w:t>
            </w:r>
          </w:p>
        </w:tc>
        <w:tc>
          <w:tcPr>
            <w:tcW w:w="697" w:type="pct"/>
          </w:tcPr>
          <w:p w14:paraId="34A5CC2F"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830" w:type="pct"/>
          </w:tcPr>
          <w:p w14:paraId="5796F320"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975" w:type="pct"/>
          </w:tcPr>
          <w:p w14:paraId="54F9FA7A"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1064" w:type="pct"/>
          </w:tcPr>
          <w:p w14:paraId="11BFB636"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r>
      <w:tr w:rsidR="00804578" w:rsidRPr="00192837" w14:paraId="1E572CC1" w14:textId="02BDDDB5" w:rsidTr="003B2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pct"/>
          </w:tcPr>
          <w:p w14:paraId="5EDB6ADC"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Maine</w:t>
            </w:r>
          </w:p>
        </w:tc>
        <w:tc>
          <w:tcPr>
            <w:tcW w:w="697" w:type="pct"/>
          </w:tcPr>
          <w:p w14:paraId="229F67D8"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830" w:type="pct"/>
          </w:tcPr>
          <w:p w14:paraId="585F8EDA"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975" w:type="pct"/>
          </w:tcPr>
          <w:p w14:paraId="64F822AD"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1064" w:type="pct"/>
          </w:tcPr>
          <w:p w14:paraId="48EF230C" w14:textId="4E404D17" w:rsidR="00804578" w:rsidRPr="00192837" w:rsidRDefault="00ED2A41"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_Ref499731832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9.4.3</w:t>
            </w:r>
            <w:r>
              <w:rPr>
                <w:rFonts w:eastAsia="Gill Sans MT" w:cs="Times New Roman"/>
                <w:color w:val="38383A"/>
                <w:sz w:val="18"/>
                <w:szCs w:val="20"/>
              </w:rPr>
              <w:fldChar w:fldCharType="end"/>
            </w:r>
          </w:p>
        </w:tc>
      </w:tr>
      <w:tr w:rsidR="00804578" w:rsidRPr="00192837" w14:paraId="5FF68BE1" w14:textId="19206958" w:rsidTr="003B20EF">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pct"/>
          </w:tcPr>
          <w:p w14:paraId="115C9CCB"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North Carolina</w:t>
            </w:r>
          </w:p>
        </w:tc>
        <w:tc>
          <w:tcPr>
            <w:tcW w:w="697" w:type="pct"/>
          </w:tcPr>
          <w:p w14:paraId="28F7BF76"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sidRPr="007331F1">
              <w:rPr>
                <w:rFonts w:eastAsia="Gill Sans MT" w:cs="Times New Roman"/>
                <w:color w:val="38383A"/>
                <w:sz w:val="18"/>
                <w:szCs w:val="20"/>
              </w:rPr>
              <w:sym w:font="Wingdings 2" w:char="F050"/>
            </w:r>
          </w:p>
        </w:tc>
        <w:tc>
          <w:tcPr>
            <w:tcW w:w="830" w:type="pct"/>
          </w:tcPr>
          <w:p w14:paraId="4378CFAF"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975" w:type="pct"/>
          </w:tcPr>
          <w:p w14:paraId="0CC440CC"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1064" w:type="pct"/>
          </w:tcPr>
          <w:p w14:paraId="0B760141" w14:textId="4471F565" w:rsidR="00804578" w:rsidRPr="00192837" w:rsidRDefault="00ED2A41"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fldChar w:fldCharType="begin"/>
            </w:r>
            <w:r>
              <w:rPr>
                <w:rFonts w:eastAsia="Gill Sans MT" w:cs="Times New Roman"/>
                <w:color w:val="38383A"/>
                <w:sz w:val="18"/>
                <w:szCs w:val="20"/>
              </w:rPr>
              <w:instrText xml:space="preserve"> REF _Ref499731841 \r \h </w:instrText>
            </w:r>
            <w:r>
              <w:rPr>
                <w:rFonts w:eastAsia="Gill Sans MT" w:cs="Times New Roman"/>
                <w:color w:val="38383A"/>
                <w:sz w:val="18"/>
                <w:szCs w:val="20"/>
              </w:rPr>
            </w:r>
            <w:r>
              <w:rPr>
                <w:rFonts w:eastAsia="Gill Sans MT" w:cs="Times New Roman"/>
                <w:color w:val="38383A"/>
                <w:sz w:val="18"/>
                <w:szCs w:val="20"/>
              </w:rPr>
              <w:fldChar w:fldCharType="separate"/>
            </w:r>
            <w:r w:rsidR="00B51130">
              <w:rPr>
                <w:rFonts w:eastAsia="Gill Sans MT" w:cs="Times New Roman"/>
                <w:color w:val="38383A"/>
                <w:sz w:val="18"/>
                <w:szCs w:val="20"/>
              </w:rPr>
              <w:t>9.5.3</w:t>
            </w:r>
            <w:r>
              <w:rPr>
                <w:rFonts w:eastAsia="Gill Sans MT" w:cs="Times New Roman"/>
                <w:color w:val="38383A"/>
                <w:sz w:val="18"/>
                <w:szCs w:val="20"/>
              </w:rPr>
              <w:fldChar w:fldCharType="end"/>
            </w:r>
          </w:p>
        </w:tc>
      </w:tr>
      <w:tr w:rsidR="00804578" w:rsidRPr="00192837" w14:paraId="6231BD03" w14:textId="491ADB80" w:rsidTr="003B2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pct"/>
          </w:tcPr>
          <w:p w14:paraId="1061124E"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Oklahoma</w:t>
            </w:r>
          </w:p>
        </w:tc>
        <w:tc>
          <w:tcPr>
            <w:tcW w:w="697" w:type="pct"/>
          </w:tcPr>
          <w:p w14:paraId="7707EC76"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830" w:type="pct"/>
          </w:tcPr>
          <w:p w14:paraId="06075891"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975" w:type="pct"/>
          </w:tcPr>
          <w:p w14:paraId="62DD6327"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1064" w:type="pct"/>
          </w:tcPr>
          <w:p w14:paraId="2663A2E1"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r>
      <w:tr w:rsidR="00804578" w:rsidRPr="00192837" w14:paraId="2176ABE1" w14:textId="576C625C" w:rsidTr="003B20EF">
        <w:tblPrEx>
          <w:tblCellMar>
            <w:left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pct"/>
          </w:tcPr>
          <w:p w14:paraId="292D00DF"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Oregon</w:t>
            </w:r>
          </w:p>
        </w:tc>
        <w:tc>
          <w:tcPr>
            <w:tcW w:w="697" w:type="pct"/>
          </w:tcPr>
          <w:p w14:paraId="3E872A40"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830" w:type="pct"/>
          </w:tcPr>
          <w:p w14:paraId="626CBEC7"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975" w:type="pct"/>
          </w:tcPr>
          <w:p w14:paraId="00DFB6DB"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c>
          <w:tcPr>
            <w:tcW w:w="1064" w:type="pct"/>
          </w:tcPr>
          <w:p w14:paraId="74064E57" w14:textId="77777777" w:rsidR="00804578" w:rsidRPr="00192837" w:rsidRDefault="00804578" w:rsidP="00297895">
            <w:pPr>
              <w:tabs>
                <w:tab w:val="clear" w:pos="280"/>
                <w:tab w:val="clear" w:pos="4800"/>
                <w:tab w:val="clear" w:pos="5780"/>
              </w:tabs>
              <w:suppressAutoHyphens w:val="0"/>
              <w:autoSpaceDE/>
              <w:autoSpaceDN/>
              <w:adjustRightInd/>
              <w:spacing w:line="264" w:lineRule="auto"/>
              <w:jc w:val="center"/>
              <w:textAlignment w:val="auto"/>
              <w:cnfStyle w:val="000000010000" w:firstRow="0" w:lastRow="0" w:firstColumn="0" w:lastColumn="0" w:oddVBand="0" w:evenVBand="0" w:oddHBand="0" w:evenHBand="1" w:firstRowFirstColumn="0" w:firstRowLastColumn="0" w:lastRowFirstColumn="0" w:lastRowLastColumn="0"/>
              <w:rPr>
                <w:rFonts w:eastAsia="Gill Sans MT" w:cs="Times New Roman"/>
                <w:color w:val="38383A"/>
                <w:sz w:val="18"/>
                <w:szCs w:val="20"/>
              </w:rPr>
            </w:pPr>
          </w:p>
        </w:tc>
      </w:tr>
      <w:tr w:rsidR="00804578" w:rsidRPr="00192837" w14:paraId="6191A35E" w14:textId="30F86787" w:rsidTr="003B2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pct"/>
          </w:tcPr>
          <w:p w14:paraId="60AC92AE" w14:textId="77777777" w:rsidR="00804578" w:rsidRPr="00192837" w:rsidRDefault="00804578" w:rsidP="00297895">
            <w:pPr>
              <w:keepNext/>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38383A"/>
                <w:sz w:val="18"/>
                <w:szCs w:val="20"/>
              </w:rPr>
            </w:pPr>
            <w:r w:rsidRPr="00192837">
              <w:rPr>
                <w:rFonts w:eastAsia="Gill Sans MT" w:cs="Times New Roman"/>
                <w:color w:val="000000"/>
                <w:sz w:val="18"/>
                <w:szCs w:val="20"/>
              </w:rPr>
              <w:t>Washington</w:t>
            </w:r>
          </w:p>
        </w:tc>
        <w:tc>
          <w:tcPr>
            <w:tcW w:w="697" w:type="pct"/>
          </w:tcPr>
          <w:p w14:paraId="57840E8A" w14:textId="77777777" w:rsidR="00804578" w:rsidRPr="00192837" w:rsidRDefault="00804578" w:rsidP="00297895">
            <w:pPr>
              <w:keepNext/>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830" w:type="pct"/>
          </w:tcPr>
          <w:p w14:paraId="002EA6E4" w14:textId="77777777" w:rsidR="00804578" w:rsidRPr="00192837" w:rsidRDefault="00804578" w:rsidP="00297895">
            <w:pPr>
              <w:keepNext/>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975" w:type="pct"/>
          </w:tcPr>
          <w:p w14:paraId="18C53BBE" w14:textId="77777777" w:rsidR="00804578" w:rsidRPr="00192837" w:rsidRDefault="00804578" w:rsidP="00297895">
            <w:pPr>
              <w:keepNext/>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c>
          <w:tcPr>
            <w:tcW w:w="1064" w:type="pct"/>
          </w:tcPr>
          <w:p w14:paraId="44A86CB3" w14:textId="77777777" w:rsidR="00804578" w:rsidRPr="00192837" w:rsidRDefault="00804578" w:rsidP="00297895">
            <w:pPr>
              <w:keepNext/>
              <w:tabs>
                <w:tab w:val="clear" w:pos="280"/>
                <w:tab w:val="clear" w:pos="4800"/>
                <w:tab w:val="clear" w:pos="5780"/>
              </w:tabs>
              <w:suppressAutoHyphens w:val="0"/>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eastAsia="Gill Sans MT" w:cs="Times New Roman"/>
                <w:color w:val="38383A"/>
                <w:sz w:val="18"/>
                <w:szCs w:val="20"/>
              </w:rPr>
            </w:pPr>
          </w:p>
        </w:tc>
      </w:tr>
      <w:tr w:rsidR="00804578" w:rsidRPr="00192837" w14:paraId="5A18C0BC" w14:textId="0C5EF3E2" w:rsidTr="003B20E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pct"/>
          </w:tcPr>
          <w:p w14:paraId="2B352FF6" w14:textId="77777777" w:rsidR="00804578" w:rsidRPr="00192837" w:rsidRDefault="00804578" w:rsidP="00297895">
            <w:pPr>
              <w:keepNext/>
              <w:tabs>
                <w:tab w:val="clear" w:pos="280"/>
                <w:tab w:val="clear" w:pos="4800"/>
                <w:tab w:val="clear" w:pos="5780"/>
              </w:tabs>
              <w:suppressAutoHyphens w:val="0"/>
              <w:autoSpaceDE/>
              <w:autoSpaceDN/>
              <w:adjustRightInd/>
              <w:spacing w:line="264" w:lineRule="auto"/>
              <w:jc w:val="left"/>
              <w:textAlignment w:val="auto"/>
              <w:rPr>
                <w:rFonts w:eastAsia="Gill Sans MT" w:cs="Times New Roman"/>
                <w:color w:val="000000"/>
                <w:sz w:val="18"/>
                <w:szCs w:val="20"/>
              </w:rPr>
            </w:pPr>
            <w:r w:rsidRPr="00192837">
              <w:rPr>
                <w:rFonts w:eastAsia="Gill Sans MT" w:cs="Times New Roman"/>
                <w:color w:val="000000"/>
                <w:sz w:val="18"/>
                <w:szCs w:val="20"/>
              </w:rPr>
              <w:t>Total</w:t>
            </w:r>
          </w:p>
        </w:tc>
        <w:tc>
          <w:tcPr>
            <w:tcW w:w="697" w:type="pct"/>
          </w:tcPr>
          <w:p w14:paraId="327DC21D" w14:textId="6F9FBF1B" w:rsidR="00804578" w:rsidRPr="00192837" w:rsidRDefault="00993258" w:rsidP="00297895">
            <w:pPr>
              <w:keepNext/>
              <w:tabs>
                <w:tab w:val="clear" w:pos="280"/>
                <w:tab w:val="clear" w:pos="4800"/>
                <w:tab w:val="clear" w:pos="5780"/>
              </w:tabs>
              <w:suppressAutoHyphens w:val="0"/>
              <w:autoSpaceDE/>
              <w:autoSpaceDN/>
              <w:adjustRightInd/>
              <w:spacing w:line="264" w:lineRule="auto"/>
              <w:jc w:val="center"/>
              <w:textAlignment w:val="auto"/>
              <w:cnfStyle w:val="010000000000" w:firstRow="0" w:lastRow="1" w:firstColumn="0" w:lastColumn="0" w:oddVBand="0" w:evenVBand="0" w:oddHBand="0"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6</w:t>
            </w:r>
          </w:p>
        </w:tc>
        <w:tc>
          <w:tcPr>
            <w:tcW w:w="830" w:type="pct"/>
          </w:tcPr>
          <w:p w14:paraId="1D8CB2E5" w14:textId="77777777" w:rsidR="00804578" w:rsidRPr="00192837" w:rsidRDefault="00804578" w:rsidP="00297895">
            <w:pPr>
              <w:keepNext/>
              <w:tabs>
                <w:tab w:val="clear" w:pos="280"/>
                <w:tab w:val="clear" w:pos="4800"/>
                <w:tab w:val="clear" w:pos="5780"/>
              </w:tabs>
              <w:suppressAutoHyphens w:val="0"/>
              <w:autoSpaceDE/>
              <w:autoSpaceDN/>
              <w:adjustRightInd/>
              <w:spacing w:line="264" w:lineRule="auto"/>
              <w:jc w:val="center"/>
              <w:textAlignment w:val="auto"/>
              <w:cnfStyle w:val="010000000000" w:firstRow="0" w:lastRow="1" w:firstColumn="0" w:lastColumn="0" w:oddVBand="0" w:evenVBand="0" w:oddHBand="0"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1</w:t>
            </w:r>
          </w:p>
        </w:tc>
        <w:tc>
          <w:tcPr>
            <w:tcW w:w="975" w:type="pct"/>
          </w:tcPr>
          <w:p w14:paraId="39B7C54C" w14:textId="77777777" w:rsidR="00804578" w:rsidRPr="00192837" w:rsidRDefault="00804578" w:rsidP="00297895">
            <w:pPr>
              <w:keepNext/>
              <w:tabs>
                <w:tab w:val="clear" w:pos="280"/>
                <w:tab w:val="clear" w:pos="4800"/>
                <w:tab w:val="clear" w:pos="5780"/>
              </w:tabs>
              <w:suppressAutoHyphens w:val="0"/>
              <w:autoSpaceDE/>
              <w:autoSpaceDN/>
              <w:adjustRightInd/>
              <w:spacing w:line="264" w:lineRule="auto"/>
              <w:jc w:val="center"/>
              <w:textAlignment w:val="auto"/>
              <w:cnfStyle w:val="010000000000" w:firstRow="0" w:lastRow="1" w:firstColumn="0" w:lastColumn="0" w:oddVBand="0" w:evenVBand="0" w:oddHBand="0" w:evenHBand="0" w:firstRowFirstColumn="0" w:firstRowLastColumn="0" w:lastRowFirstColumn="0" w:lastRowLastColumn="0"/>
              <w:rPr>
                <w:rFonts w:eastAsia="Gill Sans MT" w:cs="Times New Roman"/>
                <w:color w:val="38383A"/>
                <w:sz w:val="18"/>
                <w:szCs w:val="20"/>
              </w:rPr>
            </w:pPr>
            <w:r>
              <w:rPr>
                <w:rFonts w:eastAsia="Gill Sans MT" w:cs="Times New Roman"/>
                <w:color w:val="38383A"/>
                <w:sz w:val="18"/>
                <w:szCs w:val="20"/>
              </w:rPr>
              <w:t>1</w:t>
            </w:r>
          </w:p>
        </w:tc>
        <w:tc>
          <w:tcPr>
            <w:tcW w:w="1064" w:type="pct"/>
          </w:tcPr>
          <w:p w14:paraId="31BEEB50" w14:textId="77777777" w:rsidR="00804578" w:rsidRDefault="00804578" w:rsidP="00297895">
            <w:pPr>
              <w:keepNext/>
              <w:tabs>
                <w:tab w:val="clear" w:pos="280"/>
                <w:tab w:val="clear" w:pos="4800"/>
                <w:tab w:val="clear" w:pos="5780"/>
              </w:tabs>
              <w:suppressAutoHyphens w:val="0"/>
              <w:autoSpaceDE/>
              <w:autoSpaceDN/>
              <w:adjustRightInd/>
              <w:spacing w:line="264" w:lineRule="auto"/>
              <w:jc w:val="center"/>
              <w:textAlignment w:val="auto"/>
              <w:cnfStyle w:val="010000000000" w:firstRow="0" w:lastRow="1" w:firstColumn="0" w:lastColumn="0" w:oddVBand="0" w:evenVBand="0" w:oddHBand="0" w:evenHBand="0" w:firstRowFirstColumn="0" w:firstRowLastColumn="0" w:lastRowFirstColumn="0" w:lastRowLastColumn="0"/>
              <w:rPr>
                <w:rFonts w:eastAsia="Gill Sans MT" w:cs="Times New Roman"/>
                <w:color w:val="38383A"/>
                <w:sz w:val="18"/>
                <w:szCs w:val="20"/>
              </w:rPr>
            </w:pPr>
          </w:p>
        </w:tc>
      </w:tr>
    </w:tbl>
    <w:p w14:paraId="36F90823" w14:textId="23690BDB" w:rsidR="00593E3B" w:rsidRPr="003B20EF" w:rsidRDefault="00804578" w:rsidP="003B20EF">
      <w:pPr>
        <w:tabs>
          <w:tab w:val="clear" w:pos="280"/>
          <w:tab w:val="clear" w:pos="4800"/>
          <w:tab w:val="clear" w:pos="5780"/>
        </w:tabs>
        <w:suppressAutoHyphens w:val="0"/>
        <w:autoSpaceDE/>
        <w:autoSpaceDN/>
        <w:adjustRightInd/>
        <w:spacing w:after="120" w:line="264" w:lineRule="auto"/>
        <w:textAlignment w:val="auto"/>
        <w:rPr>
          <w:sz w:val="16"/>
          <w:szCs w:val="16"/>
        </w:rPr>
      </w:pPr>
      <w:r w:rsidRPr="00192837">
        <w:rPr>
          <w:sz w:val="16"/>
          <w:szCs w:val="16"/>
        </w:rPr>
        <w:t>Source: Europe Economics</w:t>
      </w:r>
      <w:r>
        <w:rPr>
          <w:sz w:val="16"/>
          <w:szCs w:val="16"/>
        </w:rPr>
        <w:t>.</w:t>
      </w:r>
    </w:p>
    <w:p w14:paraId="0ABA007C" w14:textId="77777777" w:rsidR="00593E3B" w:rsidRPr="00593E3B" w:rsidRDefault="00593E3B" w:rsidP="00593E3B">
      <w:pPr>
        <w:pStyle w:val="BodyEE"/>
      </w:pPr>
    </w:p>
    <w:p w14:paraId="4ABF363C" w14:textId="77777777" w:rsidR="00593E3B" w:rsidRPr="00D13AF1" w:rsidRDefault="00593E3B" w:rsidP="00593E3B">
      <w:pPr>
        <w:pStyle w:val="Heading3Pink"/>
        <w:sectPr w:rsidR="00593E3B" w:rsidRPr="00D13AF1" w:rsidSect="00547CDF">
          <w:pgSz w:w="11906" w:h="16838"/>
          <w:pgMar w:top="1701" w:right="1134" w:bottom="1134" w:left="1134" w:header="567" w:footer="397" w:gutter="0"/>
          <w:cols w:space="708"/>
          <w:titlePg/>
          <w:docGrid w:linePitch="360"/>
        </w:sectPr>
      </w:pPr>
    </w:p>
    <w:p w14:paraId="5025B7FA" w14:textId="77777777" w:rsidR="001C00D0" w:rsidRPr="00D13AF1" w:rsidRDefault="001C00D0" w:rsidP="001C00D0">
      <w:pPr>
        <w:pStyle w:val="BodyEE"/>
      </w:pPr>
    </w:p>
    <w:p w14:paraId="63DE49BA" w14:textId="77777777" w:rsidR="001C00D0" w:rsidRPr="00D13AF1" w:rsidRDefault="001C00D0" w:rsidP="001C00D0">
      <w:pPr>
        <w:pStyle w:val="Bulletlevel1"/>
        <w:numPr>
          <w:ilvl w:val="0"/>
          <w:numId w:val="0"/>
        </w:numPr>
      </w:pPr>
      <w:r w:rsidRPr="00D13AF1">
        <w:rPr>
          <w:rStyle w:val="SectionDividerChar"/>
          <w:noProof/>
          <w:color w:val="18416A" w:themeColor="accent5"/>
          <w:lang w:eastAsia="en-GB"/>
        </w:rPr>
        <w:drawing>
          <wp:anchor distT="0" distB="0" distL="114300" distR="114300" simplePos="0" relativeHeight="251664384" behindDoc="1" locked="0" layoutInCell="1" allowOverlap="1" wp14:anchorId="291E25CB" wp14:editId="049C9D6A">
            <wp:simplePos x="0" y="0"/>
            <wp:positionH relativeFrom="page">
              <wp:posOffset>163</wp:posOffset>
            </wp:positionH>
            <wp:positionV relativeFrom="page">
              <wp:posOffset>0</wp:posOffset>
            </wp:positionV>
            <wp:extent cx="7563159" cy="1068959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 - CL copy.jpg"/>
                    <pic:cNvPicPr/>
                  </pic:nvPicPr>
                  <pic:blipFill>
                    <a:blip r:embed="rId32">
                      <a:extLst>
                        <a:ext uri="{28A0092B-C50C-407E-A947-70E740481C1C}">
                          <a14:useLocalDpi xmlns:a14="http://schemas.microsoft.com/office/drawing/2010/main" val="0"/>
                        </a:ext>
                      </a:extLst>
                    </a:blip>
                    <a:stretch>
                      <a:fillRect/>
                    </a:stretch>
                  </pic:blipFill>
                  <pic:spPr>
                    <a:xfrm>
                      <a:off x="0" y="0"/>
                      <a:ext cx="7563159" cy="10689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BF4227" w14:textId="2476F147" w:rsidR="001C00D0" w:rsidRPr="00D13AF1" w:rsidRDefault="001C00D0" w:rsidP="001C00D0">
      <w:pPr>
        <w:pStyle w:val="Heading1"/>
        <w:pageBreakBefore w:val="0"/>
        <w:numPr>
          <w:ilvl w:val="0"/>
          <w:numId w:val="0"/>
        </w:numPr>
        <w:ind w:left="709" w:hanging="709"/>
        <w:rPr>
          <w:b/>
          <w:color w:val="C64187" w:themeColor="accent2"/>
        </w:rPr>
      </w:pPr>
      <w:bookmarkStart w:id="92" w:name="_Ref499307048"/>
      <w:bookmarkStart w:id="93" w:name="_Toc504484135"/>
      <w:r w:rsidRPr="00D13AF1">
        <w:rPr>
          <w:b/>
          <w:color w:val="C64187" w:themeColor="accent2"/>
        </w:rPr>
        <w:t xml:space="preserve">Appendix </w:t>
      </w:r>
      <w:r w:rsidR="00D02020" w:rsidRPr="00D13AF1">
        <w:rPr>
          <w:b/>
          <w:color w:val="C64187" w:themeColor="accent2"/>
        </w:rPr>
        <w:t xml:space="preserve">2 </w:t>
      </w:r>
      <w:r w:rsidRPr="00D13AF1">
        <w:rPr>
          <w:b/>
          <w:color w:val="C64187" w:themeColor="accent2"/>
        </w:rPr>
        <w:t>— core countries</w:t>
      </w:r>
      <w:bookmarkEnd w:id="92"/>
      <w:bookmarkEnd w:id="93"/>
    </w:p>
    <w:p w14:paraId="0159CD5B" w14:textId="77777777" w:rsidR="001C00D0" w:rsidRPr="00D13AF1" w:rsidRDefault="001C00D0" w:rsidP="001C00D0"/>
    <w:p w14:paraId="6D27C0D9" w14:textId="77777777" w:rsidR="001C00D0" w:rsidRPr="00D13AF1" w:rsidRDefault="001C00D0" w:rsidP="001C00D0">
      <w:pPr>
        <w:sectPr w:rsidR="001C00D0" w:rsidRPr="00D13AF1" w:rsidSect="002D7A15">
          <w:headerReference w:type="first" r:id="rId47"/>
          <w:footerReference w:type="first" r:id="rId48"/>
          <w:pgSz w:w="11906" w:h="16838"/>
          <w:pgMar w:top="9923" w:right="1134" w:bottom="1134" w:left="1134" w:header="567" w:footer="397" w:gutter="0"/>
          <w:cols w:space="708"/>
          <w:docGrid w:linePitch="360"/>
        </w:sectPr>
      </w:pPr>
    </w:p>
    <w:p w14:paraId="34C00C75" w14:textId="4D17E58D" w:rsidR="00255B2F" w:rsidRPr="00D13AF1" w:rsidRDefault="00255B2F" w:rsidP="00894E82">
      <w:pPr>
        <w:pStyle w:val="Heading1"/>
        <w:numPr>
          <w:ilvl w:val="0"/>
          <w:numId w:val="8"/>
        </w:numPr>
        <w:rPr>
          <w:color w:val="C64187" w:themeColor="accent2"/>
        </w:rPr>
      </w:pPr>
      <w:bookmarkStart w:id="94" w:name="_Toc504484136"/>
      <w:r w:rsidRPr="00D13AF1">
        <w:rPr>
          <w:color w:val="C64187" w:themeColor="accent2"/>
        </w:rPr>
        <w:lastRenderedPageBreak/>
        <w:t>Australia</w:t>
      </w:r>
      <w:bookmarkEnd w:id="83"/>
      <w:r w:rsidR="004D6104">
        <w:rPr>
          <w:rStyle w:val="FootnoteReference"/>
          <w:color w:val="C64187" w:themeColor="accent2"/>
        </w:rPr>
        <w:footnoteReference w:id="55"/>
      </w:r>
      <w:bookmarkEnd w:id="94"/>
    </w:p>
    <w:p w14:paraId="46AAA9D0" w14:textId="77777777" w:rsidR="00255B2F" w:rsidRPr="00D13AF1" w:rsidRDefault="00255B2F" w:rsidP="00255B2F">
      <w:pPr>
        <w:pStyle w:val="Heading2Pink"/>
      </w:pPr>
      <w:bookmarkStart w:id="95" w:name="_Ref494192261"/>
      <w:bookmarkStart w:id="96" w:name="_Toc504484137"/>
      <w:r w:rsidRPr="00D13AF1">
        <w:t>Country level overview</w:t>
      </w:r>
      <w:bookmarkEnd w:id="95"/>
      <w:bookmarkEnd w:id="96"/>
    </w:p>
    <w:p w14:paraId="1C416B14" w14:textId="77777777" w:rsidR="00255B2F" w:rsidRPr="00D13AF1" w:rsidRDefault="00255B2F" w:rsidP="00255B2F">
      <w:pPr>
        <w:pStyle w:val="Heading3Pink"/>
      </w:pPr>
      <w:r w:rsidRPr="00D13AF1">
        <w:t xml:space="preserve">Relevant organisations </w:t>
      </w:r>
    </w:p>
    <w:p w14:paraId="14B5A1EE" w14:textId="65A9D8DF" w:rsidR="00255B2F" w:rsidRPr="00D13AF1" w:rsidRDefault="00255B2F" w:rsidP="00255B2F">
      <w:pPr>
        <w:pStyle w:val="Bulletlevel1"/>
      </w:pPr>
      <w:r w:rsidRPr="00D13AF1">
        <w:t>Australian Health Practitioner Regulation Agency</w:t>
      </w:r>
      <w:r w:rsidR="000F3843" w:rsidRPr="00D13AF1">
        <w:t xml:space="preserve"> (AHPRA)</w:t>
      </w:r>
    </w:p>
    <w:p w14:paraId="1711DBC4" w14:textId="30E7DAF1" w:rsidR="00255B2F" w:rsidRPr="00D13AF1" w:rsidRDefault="00255B2F" w:rsidP="00255B2F">
      <w:pPr>
        <w:pStyle w:val="Bulletlevel2"/>
      </w:pPr>
      <w:r w:rsidRPr="00D13AF1">
        <w:t xml:space="preserve">governed by the Health Practitioner Regulation National Law, </w:t>
      </w:r>
      <w:r w:rsidR="00D61813">
        <w:t xml:space="preserve"> which is</w:t>
      </w:r>
      <w:r w:rsidR="002659CD">
        <w:t xml:space="preserve"> </w:t>
      </w:r>
      <w:r w:rsidRPr="00D13AF1">
        <w:t xml:space="preserve">in force in </w:t>
      </w:r>
      <w:r w:rsidR="00D61813">
        <w:t xml:space="preserve">all Australian </w:t>
      </w:r>
      <w:r w:rsidRPr="00D13AF1">
        <w:t>state</w:t>
      </w:r>
      <w:r w:rsidR="00D61813">
        <w:t>s</w:t>
      </w:r>
      <w:r w:rsidRPr="00D13AF1">
        <w:t xml:space="preserve"> and territor</w:t>
      </w:r>
      <w:r w:rsidR="00D61813">
        <w:t>ies</w:t>
      </w:r>
      <w:r w:rsidR="00BB76A6" w:rsidRPr="00D13AF1">
        <w:t>;</w:t>
      </w:r>
    </w:p>
    <w:p w14:paraId="23289970" w14:textId="3A1AF0DE" w:rsidR="00255B2F" w:rsidRPr="00D13AF1" w:rsidRDefault="00255B2F" w:rsidP="00255B2F">
      <w:pPr>
        <w:pStyle w:val="Bulletlevel2"/>
      </w:pPr>
      <w:r w:rsidRPr="00D13AF1">
        <w:t>regulates 14 health professions via nationally consistent legislation under the National Registration and Accreditation Scheme and supports the 14 National Boards that are responsible for regulating these professions</w:t>
      </w:r>
      <w:r w:rsidR="00BB76A6" w:rsidRPr="00D13AF1">
        <w:t>;</w:t>
      </w:r>
      <w:r w:rsidRPr="00D13AF1">
        <w:rPr>
          <w:rStyle w:val="FootnoteReference"/>
        </w:rPr>
        <w:footnoteReference w:id="56"/>
      </w:r>
    </w:p>
    <w:p w14:paraId="6793301B" w14:textId="36973B62" w:rsidR="00255B2F" w:rsidRPr="00D13AF1" w:rsidRDefault="00255B2F" w:rsidP="00255B2F">
      <w:pPr>
        <w:pStyle w:val="Bulletlevel2"/>
      </w:pPr>
      <w:r w:rsidRPr="00D13AF1">
        <w:t>publishes national registers of practitioners so important information about the registration of individual health practitioners is available to the public</w:t>
      </w:r>
      <w:r w:rsidR="00BB76A6" w:rsidRPr="00D13AF1">
        <w:t>;</w:t>
      </w:r>
    </w:p>
    <w:p w14:paraId="14A97485" w14:textId="0FB2FBE7" w:rsidR="00255B2F" w:rsidRPr="00D13AF1" w:rsidRDefault="00255B2F" w:rsidP="00255B2F">
      <w:pPr>
        <w:pStyle w:val="Bulletlevel2"/>
      </w:pPr>
      <w:r w:rsidRPr="00D13AF1">
        <w:t>manages the registration and renewal processes for health practitioners</w:t>
      </w:r>
      <w:r w:rsidR="00BB76A6" w:rsidRPr="00D13AF1">
        <w:t xml:space="preserve"> and students around Australia;</w:t>
      </w:r>
    </w:p>
    <w:p w14:paraId="43E7DDB2" w14:textId="60768856" w:rsidR="00255B2F" w:rsidRPr="00D13AF1" w:rsidRDefault="00255B2F" w:rsidP="00255B2F">
      <w:pPr>
        <w:pStyle w:val="Bulletlevel2"/>
      </w:pPr>
      <w:r w:rsidRPr="00D13AF1">
        <w:t>on behalf of the Boards, manages investigations into the professional conduct, performance or health of registered health practitioners, except in New South Wales and Queensland</w:t>
      </w:r>
      <w:r w:rsidR="00BB76A6" w:rsidRPr="00D13AF1">
        <w:t>;</w:t>
      </w:r>
    </w:p>
    <w:p w14:paraId="3130C52A" w14:textId="7D2CC595" w:rsidR="00255B2F" w:rsidRPr="00D13AF1" w:rsidRDefault="00255B2F" w:rsidP="00255B2F">
      <w:pPr>
        <w:pStyle w:val="Bulletlevel2"/>
      </w:pPr>
      <w:r w:rsidRPr="00D13AF1">
        <w:t>supports the Boards in the development of registration standa</w:t>
      </w:r>
      <w:r w:rsidR="00BB76A6" w:rsidRPr="00D13AF1">
        <w:t>rds, and codes and guidelines;</w:t>
      </w:r>
    </w:p>
    <w:p w14:paraId="3708AB62" w14:textId="77777777" w:rsidR="00255B2F" w:rsidRPr="00D13AF1" w:rsidRDefault="00255B2F" w:rsidP="00255B2F">
      <w:pPr>
        <w:pStyle w:val="Bulletlevel2"/>
      </w:pPr>
      <w:r w:rsidRPr="00D13AF1">
        <w:t>provides advice to the Ministerial Council about the administration of the National Registration and Accreditation Scheme.</w:t>
      </w:r>
      <w:r w:rsidRPr="00D13AF1">
        <w:rPr>
          <w:rStyle w:val="FootnoteReference"/>
        </w:rPr>
        <w:footnoteReference w:id="57"/>
      </w:r>
    </w:p>
    <w:p w14:paraId="62A3A13F" w14:textId="3FF1DFC5" w:rsidR="00255B2F" w:rsidRPr="00D13AF1" w:rsidRDefault="00255B2F" w:rsidP="00255B2F">
      <w:pPr>
        <w:pStyle w:val="Bulletlevel1"/>
      </w:pPr>
      <w:r w:rsidRPr="00D13AF1">
        <w:t>Medical Board of Australia</w:t>
      </w:r>
      <w:r w:rsidR="000F3843" w:rsidRPr="00D13AF1">
        <w:t xml:space="preserve"> (MBA)</w:t>
      </w:r>
    </w:p>
    <w:p w14:paraId="3A6DD523" w14:textId="0474F16C" w:rsidR="00255B2F" w:rsidRPr="00D13AF1" w:rsidRDefault="00255B2F" w:rsidP="00255B2F">
      <w:pPr>
        <w:pStyle w:val="Bulletlevel2"/>
        <w:rPr>
          <w:lang w:eastAsia="en-GB"/>
        </w:rPr>
      </w:pPr>
      <w:r w:rsidRPr="00D13AF1">
        <w:rPr>
          <w:lang w:eastAsia="en-GB"/>
        </w:rPr>
        <w:t>registers medical practitioners and</w:t>
      </w:r>
      <w:r w:rsidR="00BB76A6" w:rsidRPr="00D13AF1">
        <w:rPr>
          <w:lang w:eastAsia="en-GB"/>
        </w:rPr>
        <w:t xml:space="preserve"> medical students;</w:t>
      </w:r>
    </w:p>
    <w:p w14:paraId="22968518" w14:textId="155E7256" w:rsidR="00255B2F" w:rsidRPr="00D13AF1" w:rsidRDefault="00255B2F" w:rsidP="00255B2F">
      <w:pPr>
        <w:pStyle w:val="Bulletlevel2"/>
        <w:rPr>
          <w:lang w:eastAsia="en-GB"/>
        </w:rPr>
      </w:pPr>
      <w:r w:rsidRPr="00D13AF1">
        <w:rPr>
          <w:lang w:eastAsia="en-GB"/>
        </w:rPr>
        <w:t>develops standards, codes and guidelines for the medical profession</w:t>
      </w:r>
      <w:r w:rsidR="00BB76A6" w:rsidRPr="00D13AF1">
        <w:rPr>
          <w:lang w:eastAsia="en-GB"/>
        </w:rPr>
        <w:t>;</w:t>
      </w:r>
      <w:r w:rsidRPr="00D13AF1">
        <w:rPr>
          <w:lang w:eastAsia="en-GB"/>
        </w:rPr>
        <w:t> </w:t>
      </w:r>
    </w:p>
    <w:p w14:paraId="037CBA58" w14:textId="63550643" w:rsidR="00255B2F" w:rsidRPr="00D13AF1" w:rsidRDefault="00255B2F" w:rsidP="00255B2F">
      <w:pPr>
        <w:pStyle w:val="Bulletlevel2"/>
        <w:rPr>
          <w:lang w:eastAsia="en-GB"/>
        </w:rPr>
      </w:pPr>
      <w:r w:rsidRPr="00D13AF1">
        <w:rPr>
          <w:lang w:eastAsia="en-GB"/>
        </w:rPr>
        <w:t>investigates notifications and complaints about medical practitioners</w:t>
      </w:r>
      <w:r w:rsidR="00BB76A6" w:rsidRPr="00D13AF1">
        <w:rPr>
          <w:lang w:eastAsia="en-GB"/>
        </w:rPr>
        <w:t>;</w:t>
      </w:r>
      <w:r w:rsidRPr="00D13AF1">
        <w:rPr>
          <w:lang w:eastAsia="en-GB"/>
        </w:rPr>
        <w:t> </w:t>
      </w:r>
    </w:p>
    <w:p w14:paraId="63058687" w14:textId="4FDE1AF2" w:rsidR="00255B2F" w:rsidRPr="00D13AF1" w:rsidRDefault="00255B2F" w:rsidP="00255B2F">
      <w:pPr>
        <w:pStyle w:val="Bulletlevel2"/>
        <w:rPr>
          <w:lang w:eastAsia="en-GB"/>
        </w:rPr>
      </w:pPr>
      <w:r w:rsidRPr="00D13AF1">
        <w:rPr>
          <w:lang w:eastAsia="en-GB"/>
        </w:rPr>
        <w:t>where necessary, conducts panel hearings and refers serious matters to Tribunal hearings</w:t>
      </w:r>
      <w:r w:rsidR="00BB76A6" w:rsidRPr="00D13AF1">
        <w:rPr>
          <w:lang w:eastAsia="en-GB"/>
        </w:rPr>
        <w:t>;</w:t>
      </w:r>
      <w:r w:rsidRPr="00D13AF1">
        <w:rPr>
          <w:lang w:eastAsia="en-GB"/>
        </w:rPr>
        <w:t> </w:t>
      </w:r>
    </w:p>
    <w:p w14:paraId="6606CA99" w14:textId="16BC9141" w:rsidR="00255B2F" w:rsidRPr="00D13AF1" w:rsidRDefault="00255B2F" w:rsidP="00255B2F">
      <w:pPr>
        <w:pStyle w:val="Bulletlevel2"/>
        <w:rPr>
          <w:lang w:eastAsia="en-GB"/>
        </w:rPr>
      </w:pPr>
      <w:r w:rsidRPr="00D13AF1">
        <w:rPr>
          <w:lang w:eastAsia="en-GB"/>
        </w:rPr>
        <w:t>assesses international medical graduates who wish to practise in Australia</w:t>
      </w:r>
      <w:r w:rsidR="00BB76A6" w:rsidRPr="00D13AF1">
        <w:rPr>
          <w:lang w:eastAsia="en-GB"/>
        </w:rPr>
        <w:t>;</w:t>
      </w:r>
    </w:p>
    <w:p w14:paraId="2D973C74" w14:textId="09822E3A" w:rsidR="00255B2F" w:rsidRPr="00D13AF1" w:rsidRDefault="00255B2F" w:rsidP="00255B2F">
      <w:pPr>
        <w:pStyle w:val="Bulletlevel2"/>
        <w:rPr>
          <w:lang w:eastAsia="en-GB"/>
        </w:rPr>
      </w:pPr>
      <w:r w:rsidRPr="00D13AF1">
        <w:rPr>
          <w:lang w:eastAsia="en-GB"/>
        </w:rPr>
        <w:t xml:space="preserve">approves accreditation standards </w:t>
      </w:r>
      <w:r w:rsidR="00BB76A6" w:rsidRPr="00D13AF1">
        <w:rPr>
          <w:lang w:eastAsia="en-GB"/>
        </w:rPr>
        <w:t>and accredited courses of study;</w:t>
      </w:r>
    </w:p>
    <w:p w14:paraId="1DF7050F" w14:textId="6234166C" w:rsidR="00255B2F" w:rsidRPr="00D13AF1" w:rsidRDefault="00255B2F" w:rsidP="00255B2F">
      <w:pPr>
        <w:pStyle w:val="Bulletlevel2"/>
      </w:pPr>
      <w:r w:rsidRPr="00D13AF1">
        <w:t>supported by boards in each state and territory, which have the delegated powers to make individual</w:t>
      </w:r>
      <w:r w:rsidR="00BB76A6" w:rsidRPr="00D13AF1">
        <w:t>;</w:t>
      </w:r>
      <w:r w:rsidRPr="00D13AF1">
        <w:t xml:space="preserve"> registration and notification decisions, based on the national policies and standards.</w:t>
      </w:r>
      <w:r w:rsidRPr="00D13AF1">
        <w:rPr>
          <w:rStyle w:val="FootnoteReference"/>
        </w:rPr>
        <w:footnoteReference w:id="58"/>
      </w:r>
    </w:p>
    <w:p w14:paraId="2889DEE7" w14:textId="77777777" w:rsidR="00255B2F" w:rsidRPr="00D13AF1" w:rsidRDefault="00255B2F" w:rsidP="00255B2F">
      <w:pPr>
        <w:pStyle w:val="Bulletlevel1"/>
      </w:pPr>
      <w:r w:rsidRPr="00D13AF1">
        <w:t>RACGP (The Royal Australian College of General Practitioners)</w:t>
      </w:r>
    </w:p>
    <w:p w14:paraId="4C38FE36" w14:textId="034D25A6" w:rsidR="00255B2F" w:rsidRPr="00D13AF1" w:rsidRDefault="00255B2F" w:rsidP="00255B2F">
      <w:pPr>
        <w:pStyle w:val="Bulletlevel2"/>
      </w:pPr>
      <w:r w:rsidRPr="00D13AF1">
        <w:t>responsible for maintaining standards for quality clinical practice, education and training, and research in Australian general practice</w:t>
      </w:r>
      <w:r w:rsidR="00BB76A6" w:rsidRPr="00D13AF1">
        <w:t>;</w:t>
      </w:r>
    </w:p>
    <w:p w14:paraId="417D4398" w14:textId="41AA00CF" w:rsidR="00255B2F" w:rsidRPr="00D13AF1" w:rsidRDefault="00255B2F" w:rsidP="00255B2F">
      <w:pPr>
        <w:pStyle w:val="Bulletlevel2"/>
      </w:pPr>
      <w:r w:rsidRPr="00D13AF1">
        <w:t>supports GPs, general practice registrars and medical students</w:t>
      </w:r>
      <w:r w:rsidR="00BB76A6" w:rsidRPr="00D13AF1">
        <w:t>;</w:t>
      </w:r>
    </w:p>
    <w:p w14:paraId="7D970039" w14:textId="31EDE530" w:rsidR="00255B2F" w:rsidRPr="00D13AF1" w:rsidRDefault="00255B2F" w:rsidP="00255B2F">
      <w:pPr>
        <w:pStyle w:val="Bulletlevel2"/>
      </w:pPr>
      <w:r w:rsidRPr="00D13AF1">
        <w:t>activities of education, training and research</w:t>
      </w:r>
      <w:r w:rsidR="00BB76A6" w:rsidRPr="00D13AF1">
        <w:t>;</w:t>
      </w:r>
    </w:p>
    <w:p w14:paraId="24F07B07" w14:textId="0E7E20B5" w:rsidR="00255B2F" w:rsidRPr="00D13AF1" w:rsidRDefault="00255B2F" w:rsidP="00255B2F">
      <w:pPr>
        <w:pStyle w:val="Bulletlevel2"/>
      </w:pPr>
      <w:r w:rsidRPr="00D13AF1">
        <w:lastRenderedPageBreak/>
        <w:t>assesses doctors' skills and knowledge</w:t>
      </w:r>
      <w:r w:rsidR="00BB76A6" w:rsidRPr="00D13AF1">
        <w:t>;</w:t>
      </w:r>
    </w:p>
    <w:p w14:paraId="38AC79CF" w14:textId="17B9710F" w:rsidR="00255B2F" w:rsidRPr="00D13AF1" w:rsidRDefault="00255B2F" w:rsidP="00255B2F">
      <w:pPr>
        <w:pStyle w:val="Bulletlevel2"/>
      </w:pPr>
      <w:r w:rsidRPr="00D13AF1">
        <w:t>offers ongoing professional development activities</w:t>
      </w:r>
      <w:r w:rsidR="00BB76A6" w:rsidRPr="00D13AF1">
        <w:t>;</w:t>
      </w:r>
    </w:p>
    <w:p w14:paraId="4BC9D1DD" w14:textId="403313DB" w:rsidR="00255B2F" w:rsidRPr="00D13AF1" w:rsidRDefault="00255B2F" w:rsidP="00255B2F">
      <w:pPr>
        <w:pStyle w:val="Bulletlevel2"/>
      </w:pPr>
      <w:r w:rsidRPr="00D13AF1">
        <w:t>develops resources and guidelines</w:t>
      </w:r>
      <w:r w:rsidR="00BB76A6" w:rsidRPr="00D13AF1">
        <w:t>;</w:t>
      </w:r>
    </w:p>
    <w:p w14:paraId="1884F90F" w14:textId="028D965F" w:rsidR="00255B2F" w:rsidRPr="00D13AF1" w:rsidRDefault="00255B2F" w:rsidP="00255B2F">
      <w:pPr>
        <w:pStyle w:val="Bulletlevel2"/>
      </w:pPr>
      <w:r w:rsidRPr="00D13AF1">
        <w:t>advocates for GPs on issues that affect their practice</w:t>
      </w:r>
      <w:r w:rsidR="00BB76A6" w:rsidRPr="00D13AF1">
        <w:t>;</w:t>
      </w:r>
    </w:p>
    <w:p w14:paraId="40536BE5" w14:textId="763AC463" w:rsidR="00255B2F" w:rsidRPr="00D13AF1" w:rsidRDefault="00255B2F" w:rsidP="00255B2F">
      <w:pPr>
        <w:pStyle w:val="Bulletlevel2"/>
      </w:pPr>
      <w:r w:rsidRPr="00D13AF1">
        <w:t>develops standards that general practices use to ensure high quality healthcare</w:t>
      </w:r>
      <w:r w:rsidR="00FE3668" w:rsidRPr="00D13AF1">
        <w:t>.</w:t>
      </w:r>
      <w:r w:rsidRPr="00D13AF1">
        <w:rPr>
          <w:rStyle w:val="FootnoteReference"/>
        </w:rPr>
        <w:footnoteReference w:id="59"/>
      </w:r>
    </w:p>
    <w:p w14:paraId="5B5F19EA" w14:textId="77777777" w:rsidR="00255B2F" w:rsidRPr="00D13AF1" w:rsidRDefault="00255B2F" w:rsidP="00255B2F">
      <w:pPr>
        <w:pStyle w:val="Bulletlevel1"/>
      </w:pPr>
      <w:r w:rsidRPr="00D13AF1">
        <w:t>ACRRM (Australian College of Rural and Remote Medicine)</w:t>
      </w:r>
    </w:p>
    <w:p w14:paraId="6A720B29" w14:textId="0CCE7DE0" w:rsidR="00255B2F" w:rsidRPr="00D13AF1" w:rsidRDefault="00255B2F" w:rsidP="00255B2F">
      <w:pPr>
        <w:pStyle w:val="Bulletlevel2"/>
      </w:pPr>
      <w:r w:rsidRPr="00D13AF1">
        <w:t>setting professional medical standards for training, assessment, certification and continuing professional development in the specialty of general practice</w:t>
      </w:r>
      <w:r w:rsidR="00BB76A6" w:rsidRPr="00D13AF1">
        <w:t>;</w:t>
      </w:r>
    </w:p>
    <w:p w14:paraId="342305FA" w14:textId="478CF2A4" w:rsidR="00255B2F" w:rsidRPr="00D13AF1" w:rsidRDefault="00255B2F" w:rsidP="00255B2F">
      <w:pPr>
        <w:pStyle w:val="Bulletlevel2"/>
      </w:pPr>
      <w:r w:rsidRPr="00D13AF1">
        <w:t>instils professional values, skills and competencies necessary for providing high quality, safe and appropriate care to a rural or remote community</w:t>
      </w:r>
      <w:r w:rsidR="00FE3668" w:rsidRPr="00D13AF1">
        <w:t>.</w:t>
      </w:r>
      <w:r w:rsidRPr="00D13AF1">
        <w:rPr>
          <w:rStyle w:val="FootnoteReference"/>
        </w:rPr>
        <w:footnoteReference w:id="60"/>
      </w:r>
    </w:p>
    <w:p w14:paraId="3EA918BE" w14:textId="77777777" w:rsidR="00255B2F" w:rsidRPr="00D13AF1" w:rsidRDefault="00255B2F" w:rsidP="00255B2F">
      <w:pPr>
        <w:pStyle w:val="Bulletlevel1"/>
      </w:pPr>
      <w:r w:rsidRPr="00D13AF1">
        <w:t>AMA (Australian Medical Association)</w:t>
      </w:r>
    </w:p>
    <w:p w14:paraId="78271174" w14:textId="68BFB92A" w:rsidR="00255B2F" w:rsidRPr="00D13AF1" w:rsidRDefault="00255B2F" w:rsidP="00255B2F">
      <w:pPr>
        <w:pStyle w:val="Bulletlevel2"/>
      </w:pPr>
      <w:r w:rsidRPr="00D13AF1">
        <w:t>membership organisation representing registered medical practitioners and medical students of Australia</w:t>
      </w:r>
      <w:r w:rsidR="00BB76A6" w:rsidRPr="00D13AF1">
        <w:t>;</w:t>
      </w:r>
    </w:p>
    <w:p w14:paraId="0DD58694" w14:textId="1E2F7956" w:rsidR="00255B2F" w:rsidRPr="00D13AF1" w:rsidRDefault="00255B2F" w:rsidP="00255B2F">
      <w:pPr>
        <w:pStyle w:val="Bulletlevel2"/>
      </w:pPr>
      <w:r w:rsidRPr="00D13AF1">
        <w:t>advocates on behalf of its members at the Federal, and State and Territory levels</w:t>
      </w:r>
      <w:r w:rsidR="00BB76A6" w:rsidRPr="00D13AF1">
        <w:t>;</w:t>
      </w:r>
    </w:p>
    <w:p w14:paraId="5398A3EC" w14:textId="05454DFB" w:rsidR="00255B2F" w:rsidRPr="00D13AF1" w:rsidRDefault="00255B2F" w:rsidP="00255B2F">
      <w:pPr>
        <w:pStyle w:val="Bulletlevel2"/>
      </w:pPr>
      <w:r w:rsidRPr="00D13AF1">
        <w:t>improves patient care by supporting the medical profession through a range of essential services</w:t>
      </w:r>
      <w:r w:rsidR="00FE3668" w:rsidRPr="00D13AF1">
        <w:t>.</w:t>
      </w:r>
      <w:r w:rsidRPr="00D13AF1">
        <w:rPr>
          <w:rStyle w:val="FootnoteReference"/>
        </w:rPr>
        <w:footnoteReference w:id="61"/>
      </w:r>
    </w:p>
    <w:p w14:paraId="21D56B81" w14:textId="77777777" w:rsidR="00255B2F" w:rsidRPr="00D13AF1" w:rsidRDefault="00255B2F" w:rsidP="00255B2F">
      <w:pPr>
        <w:pStyle w:val="Bulletlevel1"/>
      </w:pPr>
      <w:r w:rsidRPr="00D13AF1">
        <w:t>The Royal Australasian College of Physicians</w:t>
      </w:r>
    </w:p>
    <w:p w14:paraId="1389F461" w14:textId="1E4E90D1" w:rsidR="00255B2F" w:rsidRPr="00D13AF1" w:rsidRDefault="00255B2F" w:rsidP="00255B2F">
      <w:pPr>
        <w:pStyle w:val="Bulletlevel2"/>
      </w:pPr>
      <w:r w:rsidRPr="00D13AF1">
        <w:t>professional medical College of physicians in Australia and New Zealand</w:t>
      </w:r>
      <w:r w:rsidR="00BB76A6" w:rsidRPr="00D13AF1">
        <w:t>;</w:t>
      </w:r>
    </w:p>
    <w:p w14:paraId="2E70EFC7" w14:textId="73CB03FB" w:rsidR="00255B2F" w:rsidRPr="00D13AF1" w:rsidRDefault="00255B2F" w:rsidP="00255B2F">
      <w:pPr>
        <w:pStyle w:val="Bulletlevel2"/>
      </w:pPr>
      <w:r w:rsidRPr="00D13AF1">
        <w:t>provides accredited specialist training and cont</w:t>
      </w:r>
      <w:r w:rsidR="00BB76A6" w:rsidRPr="00D13AF1">
        <w:t>inuing professional development;</w:t>
      </w:r>
    </w:p>
    <w:p w14:paraId="3DAB6429" w14:textId="4ECD45D6" w:rsidR="00255B2F" w:rsidRPr="00D13AF1" w:rsidRDefault="00255B2F" w:rsidP="00255B2F">
      <w:pPr>
        <w:pStyle w:val="Bulletlevel2"/>
      </w:pPr>
      <w:r w:rsidRPr="00D13AF1">
        <w:t>advocates for healthcare policies that promote the interests of the profession, patients and communities</w:t>
      </w:r>
      <w:r w:rsidR="00FE3668" w:rsidRPr="00D13AF1">
        <w:t>.</w:t>
      </w:r>
    </w:p>
    <w:p w14:paraId="732E3B94" w14:textId="77777777" w:rsidR="00255B2F" w:rsidRPr="00D13AF1" w:rsidRDefault="00255B2F" w:rsidP="00255B2F">
      <w:pPr>
        <w:pStyle w:val="Heading3Pink"/>
      </w:pPr>
      <w:r w:rsidRPr="00D13AF1">
        <w:t xml:space="preserve">Regulatory frameworks </w:t>
      </w:r>
    </w:p>
    <w:p w14:paraId="4FB08FEE" w14:textId="77777777" w:rsidR="00255B2F" w:rsidRPr="00D13AF1" w:rsidRDefault="00255B2F" w:rsidP="00255B2F">
      <w:pPr>
        <w:pStyle w:val="BodyEE"/>
      </w:pPr>
      <w:r w:rsidRPr="00D13AF1">
        <w:t>The healthcare system and institutional regulators play supplementary roles in health professional regulation.</w:t>
      </w:r>
    </w:p>
    <w:p w14:paraId="438E7E58" w14:textId="77777777" w:rsidR="00255B2F" w:rsidRPr="00D13AF1" w:rsidRDefault="00255B2F" w:rsidP="00255B2F">
      <w:pPr>
        <w:pStyle w:val="BodyEE"/>
      </w:pPr>
      <w:r w:rsidRPr="00D13AF1">
        <w:t xml:space="preserve">To ensure consistency in the regulation of medical professions, a single national scheme for accreditation and registration was established in 2010 to set out a common set of principles. An umbrella organisations (the Australian Health Practitioner Regulation Agency) and 14 National Boards, according to the regulated profession were created to bring commonality to values and processes between professions. </w:t>
      </w:r>
    </w:p>
    <w:p w14:paraId="4C91CA7D" w14:textId="1725D365" w:rsidR="00255B2F" w:rsidRPr="00D13AF1" w:rsidRDefault="00255B2F" w:rsidP="00255B2F">
      <w:pPr>
        <w:pStyle w:val="BodyEE"/>
      </w:pPr>
      <w:r w:rsidRPr="00D13AF1">
        <w:t>The same procedures for registration, administration of the governing body, and complaints resolution and professional discipline are followed by each Board. Australian medical professionals</w:t>
      </w:r>
      <w:r w:rsidR="00D61813">
        <w:t>’</w:t>
      </w:r>
      <w:r w:rsidRPr="00D13AF1">
        <w:t xml:space="preserve"> regulation is based on co-regulation in partnership with the government, public, and local community.</w:t>
      </w:r>
      <w:r w:rsidRPr="00D13AF1">
        <w:rPr>
          <w:rStyle w:val="FootnoteReference"/>
        </w:rPr>
        <w:footnoteReference w:id="62"/>
      </w:r>
      <w:r w:rsidRPr="00D13AF1">
        <w:t xml:space="preserve"> There is compulsory continued professional development for all healthcare professionals with the goal of maintaining professional competence.</w:t>
      </w:r>
    </w:p>
    <w:p w14:paraId="1011F30E" w14:textId="77777777" w:rsidR="00255B2F" w:rsidRPr="00D13AF1" w:rsidRDefault="00255B2F" w:rsidP="00255B2F">
      <w:pPr>
        <w:pStyle w:val="BodyEE"/>
      </w:pPr>
      <w:r w:rsidRPr="00D13AF1">
        <w:t>An independent body for receiving complaints, the National Health Practitioner Ombudsman and Privacy Commissioner provide ombudsman, privacy and freedom of information oversight of the national health practitioner regulation scheme, particularly in relation to the actions of AHPRA and the 14 National Health Practitioner Boards.</w:t>
      </w:r>
      <w:r w:rsidRPr="00D13AF1">
        <w:rPr>
          <w:rStyle w:val="FootnoteReference"/>
        </w:rPr>
        <w:footnoteReference w:id="63"/>
      </w:r>
    </w:p>
    <w:p w14:paraId="1BA62B2B" w14:textId="212B7CA5" w:rsidR="00255B2F" w:rsidRPr="00D13AF1" w:rsidRDefault="00255B2F" w:rsidP="00255B2F">
      <w:pPr>
        <w:pStyle w:val="BodyEE"/>
      </w:pPr>
      <w:r w:rsidRPr="00D13AF1">
        <w:t>Australia has been a successful adopter of telemedicine, and its capabilities in this area have grown rapidly. The country’s private healthcare industry successfully provides telemedicine to Australia’s remotest areas, such as the Northern Territory, where geographic isolation and sparse populations make accessing face-to-</w:t>
      </w:r>
      <w:r w:rsidRPr="00D13AF1">
        <w:lastRenderedPageBreak/>
        <w:t xml:space="preserve">face medical care difficult. Yet, a number of factors stand in the way of telemedicine becoming a common practice elsewhere. These include practitioner reimbursement and licensure laws, and concerns around legal liability, quality of care, and patient safety. There is, in addition, a limited pool of specialists </w:t>
      </w:r>
      <w:r w:rsidR="00FE3668" w:rsidRPr="00D13AF1">
        <w:t>or care providers to draw from.</w:t>
      </w:r>
      <w:r w:rsidRPr="00D13AF1">
        <w:rPr>
          <w:rStyle w:val="FootnoteReference"/>
        </w:rPr>
        <w:footnoteReference w:id="64"/>
      </w:r>
    </w:p>
    <w:p w14:paraId="50D2C43F" w14:textId="77777777" w:rsidR="00255B2F" w:rsidRPr="00D13AF1" w:rsidRDefault="00255B2F" w:rsidP="00255B2F">
      <w:pPr>
        <w:pStyle w:val="Heading2Pink"/>
      </w:pPr>
      <w:bookmarkStart w:id="97" w:name="_Ref494192000"/>
      <w:bookmarkStart w:id="98" w:name="_Toc504484138"/>
      <w:r w:rsidRPr="00D13AF1">
        <w:t>Medical Board of Australia</w:t>
      </w:r>
      <w:bookmarkEnd w:id="97"/>
      <w:bookmarkEnd w:id="98"/>
    </w:p>
    <w:p w14:paraId="40BF847F" w14:textId="77777777" w:rsidR="00255B2F" w:rsidRPr="00D13AF1" w:rsidRDefault="00255B2F" w:rsidP="00255B2F">
      <w:pPr>
        <w:pStyle w:val="Heading3Pink"/>
      </w:pPr>
      <w:bookmarkStart w:id="99" w:name="_Ref499730194"/>
      <w:r w:rsidRPr="00D13AF1">
        <w:t>Definition of telemedicine</w:t>
      </w:r>
      <w:bookmarkEnd w:id="99"/>
    </w:p>
    <w:p w14:paraId="0E4ACD4A" w14:textId="77777777" w:rsidR="00255B2F" w:rsidRPr="00D13AF1" w:rsidRDefault="00255B2F" w:rsidP="00255B2F">
      <w:pPr>
        <w:pStyle w:val="BodyEE"/>
      </w:pPr>
      <w:r w:rsidRPr="00D13AF1">
        <w:t xml:space="preserve">In 2012, the Medical Board of Australia published a set of Guidelines on technology-based patient consultations under s. 39 of the Health Practitioner Regulation National Law Act (the National Law), which are to be respected by MBA members in each state and territory. </w:t>
      </w:r>
    </w:p>
    <w:p w14:paraId="66B2387E" w14:textId="77777777" w:rsidR="00255B2F" w:rsidRPr="00D13AF1" w:rsidRDefault="00255B2F" w:rsidP="00255B2F">
      <w:pPr>
        <w:pStyle w:val="BodyEE"/>
      </w:pPr>
      <w:r w:rsidRPr="00D13AF1">
        <w:t>The Guidelines define technology-based patient consultations as:</w:t>
      </w:r>
    </w:p>
    <w:p w14:paraId="5E2E24D8" w14:textId="63F07393" w:rsidR="00255B2F" w:rsidRPr="00D13AF1" w:rsidRDefault="00255B2F" w:rsidP="00465295">
      <w:pPr>
        <w:pStyle w:val="LongQuotePurple"/>
      </w:pPr>
      <w:r w:rsidRPr="00D13AF1">
        <w:t>Patient consultations that use any form of technology, including, but not restricted to videoconferencing, internet and telephone, as an alternative to face-to-face consultations</w:t>
      </w:r>
      <w:r w:rsidR="006833E5" w:rsidRPr="00D13AF1">
        <w:t xml:space="preserve"> — </w:t>
      </w:r>
      <w:r w:rsidRPr="00D13AF1">
        <w:t>Medical Board of Australia</w:t>
      </w:r>
    </w:p>
    <w:p w14:paraId="2B4861F7" w14:textId="77777777" w:rsidR="00255B2F" w:rsidRPr="00D13AF1" w:rsidRDefault="00255B2F" w:rsidP="00255B2F">
      <w:pPr>
        <w:pStyle w:val="Heading3Pink"/>
      </w:pPr>
      <w:bookmarkStart w:id="100" w:name="_Ref499731076"/>
      <w:r w:rsidRPr="00D13AF1">
        <w:t>Regulation of individual doctors who provide telemedicine services</w:t>
      </w:r>
      <w:bookmarkEnd w:id="100"/>
    </w:p>
    <w:p w14:paraId="12E2FF00" w14:textId="77777777" w:rsidR="00255B2F" w:rsidRPr="00D13AF1" w:rsidRDefault="00255B2F" w:rsidP="00255B2F">
      <w:pPr>
        <w:pStyle w:val="BodyEE"/>
      </w:pPr>
      <w:r w:rsidRPr="00D13AF1">
        <w:t xml:space="preserve">The Guidelines complement “Good Medical Practice: A Code of Conduct for Doctors in Australia”, and state that medical practitioners who advise or treat patients in technology-based patient consultations should: </w:t>
      </w:r>
    </w:p>
    <w:p w14:paraId="295D544E" w14:textId="39DB42F5" w:rsidR="00255B2F" w:rsidRPr="00D13AF1" w:rsidRDefault="00FE3668" w:rsidP="00255B2F">
      <w:pPr>
        <w:pStyle w:val="Bulletlevel1"/>
      </w:pPr>
      <w:r w:rsidRPr="00D13AF1">
        <w:t>a</w:t>
      </w:r>
      <w:r w:rsidR="00255B2F" w:rsidRPr="00D13AF1">
        <w:t>pply the usual principles for obtaining their patient’s informed consent, protecting their patient’s privacy and protecting their patient’s rights to confidentially</w:t>
      </w:r>
      <w:r w:rsidRPr="00D13AF1">
        <w:t>;</w:t>
      </w:r>
    </w:p>
    <w:p w14:paraId="7C77FBBD" w14:textId="2BA4805B" w:rsidR="00255B2F" w:rsidRPr="00D13AF1" w:rsidRDefault="00FE3668" w:rsidP="00255B2F">
      <w:pPr>
        <w:pStyle w:val="Bulletlevel1"/>
      </w:pPr>
      <w:r w:rsidRPr="00D13AF1">
        <w:t>m</w:t>
      </w:r>
      <w:r w:rsidR="00255B2F" w:rsidRPr="00D13AF1">
        <w:t>ake a judgement about the appropriateness of a technology-based patient consultation and in particular, whether a direct physical examination is necessary</w:t>
      </w:r>
      <w:r w:rsidRPr="00D13AF1">
        <w:t>;</w:t>
      </w:r>
    </w:p>
    <w:p w14:paraId="220185D6" w14:textId="60DCE43F" w:rsidR="00255B2F" w:rsidRPr="00D13AF1" w:rsidRDefault="00FE3668" w:rsidP="00255B2F">
      <w:pPr>
        <w:pStyle w:val="Bulletlevel1"/>
      </w:pPr>
      <w:r w:rsidRPr="00D13AF1">
        <w:t>m</w:t>
      </w:r>
      <w:r w:rsidR="00255B2F" w:rsidRPr="00D13AF1">
        <w:t>ake their identity known to the patient</w:t>
      </w:r>
      <w:r w:rsidRPr="00D13AF1">
        <w:t>;</w:t>
      </w:r>
    </w:p>
    <w:p w14:paraId="2F78261B" w14:textId="5294983B" w:rsidR="00255B2F" w:rsidRPr="00D13AF1" w:rsidRDefault="00FE3668" w:rsidP="00255B2F">
      <w:pPr>
        <w:pStyle w:val="Bulletlevel1"/>
      </w:pPr>
      <w:r w:rsidRPr="00D13AF1">
        <w:t>c</w:t>
      </w:r>
      <w:r w:rsidR="00255B2F" w:rsidRPr="00D13AF1">
        <w:t>onfirm to their satisfaction the identity of the</w:t>
      </w:r>
      <w:r w:rsidR="00FA60B8" w:rsidRPr="00D13AF1">
        <w:t xml:space="preserve"> patient at each consultation — d</w:t>
      </w:r>
      <w:r w:rsidR="00255B2F" w:rsidRPr="00D13AF1">
        <w:t>octors should be aware that it may be difficult to ensure unequivocal verification of the identity of the patient in these circumstances</w:t>
      </w:r>
      <w:r w:rsidRPr="00D13AF1">
        <w:t>;</w:t>
      </w:r>
    </w:p>
    <w:p w14:paraId="2F5A989A" w14:textId="7F28D56E" w:rsidR="00255B2F" w:rsidRPr="00D13AF1" w:rsidRDefault="00FE3668" w:rsidP="00255B2F">
      <w:pPr>
        <w:pStyle w:val="Bulletlevel1"/>
      </w:pPr>
      <w:r w:rsidRPr="00D13AF1">
        <w:t>p</w:t>
      </w:r>
      <w:r w:rsidR="00255B2F" w:rsidRPr="00D13AF1">
        <w:t>rovide an explanation to the patient of the particular process involved in the technology-based patient consultation</w:t>
      </w:r>
      <w:r w:rsidRPr="00D13AF1">
        <w:t>;</w:t>
      </w:r>
    </w:p>
    <w:p w14:paraId="419D07AA" w14:textId="4D2087BC" w:rsidR="00255B2F" w:rsidRPr="00D13AF1" w:rsidRDefault="00FE3668" w:rsidP="00255B2F">
      <w:pPr>
        <w:pStyle w:val="Bulletlevel1"/>
      </w:pPr>
      <w:r w:rsidRPr="00D13AF1">
        <w:t>a</w:t>
      </w:r>
      <w:r w:rsidR="00255B2F" w:rsidRPr="00D13AF1">
        <w:t>ssess the patient’s condition, based on the history and clinical signs and appropriate examination</w:t>
      </w:r>
    </w:p>
    <w:p w14:paraId="403BD5AE" w14:textId="5DAD1F62" w:rsidR="00255B2F" w:rsidRPr="00D13AF1" w:rsidRDefault="00FE3668" w:rsidP="00255B2F">
      <w:pPr>
        <w:pStyle w:val="Bulletlevel1"/>
      </w:pPr>
      <w:r w:rsidRPr="00D13AF1">
        <w:t>e</w:t>
      </w:r>
      <w:r w:rsidR="00255B2F" w:rsidRPr="00D13AF1">
        <w:t>nsure they communicate with the patient to:</w:t>
      </w:r>
    </w:p>
    <w:p w14:paraId="528154A5" w14:textId="5C90C961" w:rsidR="00255B2F" w:rsidRPr="00D13AF1" w:rsidRDefault="00255B2F" w:rsidP="00255B2F">
      <w:pPr>
        <w:pStyle w:val="Bulletlevel2"/>
      </w:pPr>
      <w:r w:rsidRPr="00D13AF1">
        <w:t>establish the patient’s current medical condition and past medical history, and current or recent use of medications, including non-prescription medications</w:t>
      </w:r>
      <w:r w:rsidR="00FE3668" w:rsidRPr="00D13AF1">
        <w:t>,</w:t>
      </w:r>
    </w:p>
    <w:p w14:paraId="46990F04" w14:textId="398A8826" w:rsidR="00255B2F" w:rsidRPr="00D13AF1" w:rsidRDefault="00255B2F" w:rsidP="00255B2F">
      <w:pPr>
        <w:pStyle w:val="Bulletlevel2"/>
      </w:pPr>
      <w:r w:rsidRPr="00D13AF1">
        <w:t>identify the likely cause of the patient’s condition</w:t>
      </w:r>
      <w:r w:rsidR="00FE3668" w:rsidRPr="00D13AF1">
        <w:t>,</w:t>
      </w:r>
    </w:p>
    <w:p w14:paraId="78E1D475" w14:textId="68D163A0" w:rsidR="00255B2F" w:rsidRPr="00D13AF1" w:rsidRDefault="00255B2F" w:rsidP="00255B2F">
      <w:pPr>
        <w:pStyle w:val="Bulletlevel2"/>
      </w:pPr>
      <w:r w:rsidRPr="00D13AF1">
        <w:t xml:space="preserve">ensure that there is sufficient clinical justification for the proposed treatment </w:t>
      </w:r>
      <w:r w:rsidR="00796390" w:rsidRPr="00D13AF1">
        <w:t>an</w:t>
      </w:r>
      <w:r w:rsidRPr="00D13AF1">
        <w:t xml:space="preserve">d. ensure that the proposed treatment is </w:t>
      </w:r>
      <w:r w:rsidR="00FE3668" w:rsidRPr="00D13AF1">
        <w:t>not contra-indicated</w:t>
      </w:r>
      <w:r w:rsidRPr="00D13AF1">
        <w:t xml:space="preserve"> </w:t>
      </w:r>
      <w:r w:rsidR="00FE3668" w:rsidRPr="00D13AF1">
        <w:t>(t</w:t>
      </w:r>
      <w:r w:rsidRPr="00D13AF1">
        <w:t>his particularly applies to technology-based consultations when the practitioner has no prior knowledge or understanding of the patient’s condition(s) and medical history or access to their medical records</w:t>
      </w:r>
      <w:r w:rsidR="00FE3668" w:rsidRPr="00D13AF1">
        <w:t>);</w:t>
      </w:r>
    </w:p>
    <w:p w14:paraId="0AA07BB3" w14:textId="7CDCF201" w:rsidR="00255B2F" w:rsidRPr="00D13AF1" w:rsidRDefault="00FE3668" w:rsidP="00255B2F">
      <w:pPr>
        <w:pStyle w:val="Bulletlevel1"/>
      </w:pPr>
      <w:r w:rsidRPr="00D13AF1">
        <w:t>a</w:t>
      </w:r>
      <w:r w:rsidR="00255B2F" w:rsidRPr="00D13AF1">
        <w:t>ccept ultimate responsibility for evaluating information used in assessment and treatment, irrespective of its source</w:t>
      </w:r>
      <w:r w:rsidR="00953934" w:rsidRPr="00D13AF1">
        <w:t xml:space="preserve"> — t</w:t>
      </w:r>
      <w:r w:rsidR="00255B2F" w:rsidRPr="00D13AF1">
        <w:t>his applies to information gathered by a third party who may have taken a history from, or examined, the patient</w:t>
      </w:r>
      <w:r w:rsidRPr="00D13AF1">
        <w:t>;</w:t>
      </w:r>
    </w:p>
    <w:p w14:paraId="49B64AC8" w14:textId="62E9E242" w:rsidR="00255B2F" w:rsidRPr="00D13AF1" w:rsidRDefault="00FE3668" w:rsidP="00255B2F">
      <w:pPr>
        <w:pStyle w:val="Bulletlevel1"/>
      </w:pPr>
      <w:r w:rsidRPr="00D13AF1">
        <w:lastRenderedPageBreak/>
        <w:t>m</w:t>
      </w:r>
      <w:r w:rsidR="00255B2F" w:rsidRPr="00D13AF1">
        <w:t>ake appropriate arrangements to follow the progress of the patient and inform the patient’s general practitioner or other relevant practitioners</w:t>
      </w:r>
      <w:r w:rsidRPr="00D13AF1">
        <w:t>;</w:t>
      </w:r>
    </w:p>
    <w:p w14:paraId="715FC2CE" w14:textId="3EBEBA52" w:rsidR="00255B2F" w:rsidRPr="00D13AF1" w:rsidRDefault="00FE3668" w:rsidP="00BB76A6">
      <w:pPr>
        <w:pStyle w:val="Bulletlevel1"/>
        <w:keepNext/>
      </w:pPr>
      <w:r w:rsidRPr="00D13AF1">
        <w:t>k</w:t>
      </w:r>
      <w:r w:rsidR="00255B2F" w:rsidRPr="00D13AF1">
        <w:t>eep an appropriate record of the consultation</w:t>
      </w:r>
      <w:r w:rsidRPr="00D13AF1">
        <w:t>;</w:t>
      </w:r>
      <w:r w:rsidR="00255B2F" w:rsidRPr="00D13AF1">
        <w:t xml:space="preserve"> </w:t>
      </w:r>
    </w:p>
    <w:p w14:paraId="01C1451D" w14:textId="079352C7" w:rsidR="00255B2F" w:rsidRPr="00D13AF1" w:rsidRDefault="00FE3668" w:rsidP="00255B2F">
      <w:pPr>
        <w:pStyle w:val="Bulletlevel1"/>
      </w:pPr>
      <w:r w:rsidRPr="00D13AF1">
        <w:t>k</w:t>
      </w:r>
      <w:r w:rsidR="00255B2F" w:rsidRPr="00D13AF1">
        <w:t>eep colleagues well informed when sharing the care of patients.</w:t>
      </w:r>
    </w:p>
    <w:p w14:paraId="6E8508C7" w14:textId="77777777" w:rsidR="00255B2F" w:rsidRPr="00D13AF1" w:rsidRDefault="00255B2F" w:rsidP="00255B2F">
      <w:pPr>
        <w:pStyle w:val="BodyEE"/>
      </w:pPr>
      <w:r w:rsidRPr="00D13AF1">
        <w:t>Moreover, the document mentions that in an emergency situation, it may not be possible to practise according to the guidelines. If an alternative is not available, a technology-based patient consultation should be as thorough as possible and lead to more suitable arrangements for the continuing care and follow up of the patient.</w:t>
      </w:r>
      <w:r w:rsidRPr="00D13AF1">
        <w:rPr>
          <w:rStyle w:val="FootnoteReference"/>
        </w:rPr>
        <w:footnoteReference w:id="65"/>
      </w:r>
    </w:p>
    <w:p w14:paraId="00AEB0B0" w14:textId="77777777" w:rsidR="00255B2F" w:rsidRPr="00D13AF1" w:rsidRDefault="00255B2F" w:rsidP="00255B2F">
      <w:pPr>
        <w:pStyle w:val="Heading3Pink"/>
      </w:pPr>
      <w:bookmarkStart w:id="101" w:name="_Ref499731953"/>
      <w:r w:rsidRPr="00D13AF1">
        <w:t>Cross-jurisdiction issues in telemedicine</w:t>
      </w:r>
      <w:bookmarkEnd w:id="101"/>
    </w:p>
    <w:p w14:paraId="48BCF3D4" w14:textId="77777777" w:rsidR="00255B2F" w:rsidRPr="00D13AF1" w:rsidRDefault="00255B2F" w:rsidP="00255B2F">
      <w:pPr>
        <w:pStyle w:val="BodyEE"/>
      </w:pPr>
      <w:r w:rsidRPr="00D13AF1">
        <w:t xml:space="preserve">The MBA has also issued in 2013 a document on inter-jurisdictional technology based patient consultations, which provides additional information for medical practitioners who conduct inter-jurisdictional technology based patient consultations. In the context of the document, jurisdiction refers to countries or regions outside Australia (i.e. consultations which are conducted when the patient or the practitioner is outside Australia). </w:t>
      </w:r>
    </w:p>
    <w:p w14:paraId="13E2E615" w14:textId="77777777" w:rsidR="00255B2F" w:rsidRPr="00D13AF1" w:rsidRDefault="00255B2F" w:rsidP="00255B2F">
      <w:pPr>
        <w:pStyle w:val="BodyEE"/>
      </w:pPr>
      <w:r w:rsidRPr="00D13AF1">
        <w:t>Specifically, the document states that medical practitioners, providing medical services to patients in Australia:</w:t>
      </w:r>
    </w:p>
    <w:p w14:paraId="02A17F50" w14:textId="1295E197" w:rsidR="00255B2F" w:rsidRPr="00D13AF1" w:rsidRDefault="00255B2F" w:rsidP="00255B2F">
      <w:pPr>
        <w:pStyle w:val="Bulletlevel1"/>
      </w:pPr>
      <w:r w:rsidRPr="00D13AF1">
        <w:t>will be registered with the Board regardless of where the practitioner is located</w:t>
      </w:r>
      <w:r w:rsidR="00FE3668" w:rsidRPr="00D13AF1">
        <w:t>;</w:t>
      </w:r>
    </w:p>
    <w:p w14:paraId="089DBEB6" w14:textId="1AFC11C9" w:rsidR="00255B2F" w:rsidRPr="00D13AF1" w:rsidRDefault="00255B2F" w:rsidP="00255B2F">
      <w:pPr>
        <w:pStyle w:val="Bulletlevel1"/>
      </w:pPr>
      <w:r w:rsidRPr="00D13AF1">
        <w:t>consider the appropriateness of a technology based consultation for each patient’s circumstances</w:t>
      </w:r>
      <w:r w:rsidR="00FE3668" w:rsidRPr="00D13AF1">
        <w:t>;</w:t>
      </w:r>
    </w:p>
    <w:p w14:paraId="26AA0AC3" w14:textId="7B0F501B" w:rsidR="00255B2F" w:rsidRPr="00D13AF1" w:rsidRDefault="00255B2F" w:rsidP="00255B2F">
      <w:pPr>
        <w:pStyle w:val="Bulletlevel1"/>
      </w:pPr>
      <w:r w:rsidRPr="00D13AF1">
        <w:t>comply with the requirements of the Health Practitioner Regulation National Law as in force in each state and territory (the National Law) and the Board’s registration standards, codes and guidelines including the Professional Indemnity Insurance Registration Standard which requires that a medical practitioner is covered for all as</w:t>
      </w:r>
      <w:r w:rsidR="00FE3668" w:rsidRPr="00D13AF1">
        <w:t>pects of their me</w:t>
      </w:r>
      <w:r w:rsidR="00953934" w:rsidRPr="00D13AF1">
        <w:t>dical practice.</w:t>
      </w:r>
    </w:p>
    <w:p w14:paraId="2AACD301" w14:textId="600A6CCF" w:rsidR="00953934" w:rsidRPr="00D13AF1" w:rsidRDefault="00953934" w:rsidP="00953934">
      <w:pPr>
        <w:pStyle w:val="BodyEE"/>
      </w:pPr>
      <w:r w:rsidRPr="00D13AF1">
        <w:t>Those</w:t>
      </w:r>
      <w:r w:rsidR="00255B2F" w:rsidRPr="00D13AF1">
        <w:t xml:space="preserve"> who conduct technology based consultations with a patient who is outside Australia</w:t>
      </w:r>
      <w:r w:rsidRPr="00D13AF1">
        <w:t>:</w:t>
      </w:r>
      <w:r w:rsidR="00255B2F" w:rsidRPr="00D13AF1">
        <w:t xml:space="preserve"> </w:t>
      </w:r>
    </w:p>
    <w:p w14:paraId="646B9F9D" w14:textId="432791A0" w:rsidR="00255B2F" w:rsidRPr="00D13AF1" w:rsidRDefault="00255B2F" w:rsidP="00953934">
      <w:pPr>
        <w:pStyle w:val="Bulletlevel1"/>
      </w:pPr>
      <w:r w:rsidRPr="00D13AF1">
        <w:t>establish whether they are required to be registered by the medical regulator in that jurisdiction (for example, the General Medical Council for a</w:t>
      </w:r>
      <w:r w:rsidR="00FE3668" w:rsidRPr="00D13AF1">
        <w:t xml:space="preserve"> patient in the United Kingdom);</w:t>
      </w:r>
    </w:p>
    <w:p w14:paraId="0FD73141" w14:textId="77777777" w:rsidR="00255B2F" w:rsidRPr="00D13AF1" w:rsidRDefault="00255B2F" w:rsidP="00255B2F">
      <w:pPr>
        <w:pStyle w:val="Bulletlevel1"/>
      </w:pPr>
      <w:r w:rsidRPr="00D13AF1">
        <w:t>ensure that their patients are informed in relation to billing arrangements for consultations and whether the patient will be able to access Medicare or private health insurance rebates.</w:t>
      </w:r>
      <w:r w:rsidRPr="00D13AF1">
        <w:rPr>
          <w:rStyle w:val="FootnoteReference"/>
        </w:rPr>
        <w:footnoteReference w:id="66"/>
      </w:r>
    </w:p>
    <w:p w14:paraId="4D8932ED" w14:textId="77777777" w:rsidR="00255B2F" w:rsidRPr="00D13AF1" w:rsidRDefault="00255B2F" w:rsidP="00255B2F">
      <w:pPr>
        <w:pStyle w:val="Heading2Pink"/>
      </w:pPr>
      <w:bookmarkStart w:id="102" w:name="_Toc504484139"/>
      <w:r w:rsidRPr="00D13AF1">
        <w:t>ACRRM (Australian College of Rural and Remote Medicine)</w:t>
      </w:r>
      <w:bookmarkEnd w:id="102"/>
    </w:p>
    <w:p w14:paraId="23737D4D" w14:textId="77777777" w:rsidR="00255B2F" w:rsidRPr="00D13AF1" w:rsidRDefault="00255B2F" w:rsidP="00255B2F">
      <w:pPr>
        <w:pStyle w:val="Heading3Pink"/>
      </w:pPr>
      <w:r w:rsidRPr="00D13AF1">
        <w:t>Definition of telemedicine</w:t>
      </w:r>
    </w:p>
    <w:p w14:paraId="209AA63A" w14:textId="77777777" w:rsidR="00255B2F" w:rsidRPr="00D13AF1" w:rsidRDefault="00255B2F" w:rsidP="00BB76A6">
      <w:pPr>
        <w:pStyle w:val="BodyEE"/>
        <w:keepNext/>
      </w:pPr>
      <w:r w:rsidRPr="00D13AF1">
        <w:t xml:space="preserve">In its ACRRM </w:t>
      </w:r>
      <w:proofErr w:type="spellStart"/>
      <w:r w:rsidRPr="00D13AF1">
        <w:t>TeleHealth</w:t>
      </w:r>
      <w:proofErr w:type="spellEnd"/>
      <w:r w:rsidRPr="00D13AF1">
        <w:t xml:space="preserve"> Advisory Committee Standards Framework, the College defines telehealth as:</w:t>
      </w:r>
    </w:p>
    <w:p w14:paraId="63D4E1EA" w14:textId="7558175F" w:rsidR="00FE3668" w:rsidRPr="00D13AF1" w:rsidRDefault="00255B2F" w:rsidP="003404FE">
      <w:pPr>
        <w:pStyle w:val="LongQuotePurple"/>
      </w:pPr>
      <w:r w:rsidRPr="00D13AF1">
        <w:t>A means of delivering healthcare across many different clinical settings</w:t>
      </w:r>
      <w:r w:rsidR="00972C51" w:rsidRPr="00D13AF1">
        <w:t>.</w:t>
      </w:r>
      <w:r w:rsidRPr="00D13AF1">
        <w:t xml:space="preserve"> </w:t>
      </w:r>
    </w:p>
    <w:p w14:paraId="67E7BBD6" w14:textId="78EBC5AA" w:rsidR="00255B2F" w:rsidRPr="00D13AF1" w:rsidRDefault="00255B2F" w:rsidP="003404FE">
      <w:pPr>
        <w:pStyle w:val="LongQuotePurple"/>
      </w:pPr>
      <w:r w:rsidRPr="00D13AF1">
        <w:t>- ACRRM</w:t>
      </w:r>
    </w:p>
    <w:p w14:paraId="401DE67F" w14:textId="77777777" w:rsidR="00255B2F" w:rsidRPr="00D13AF1" w:rsidRDefault="00255B2F" w:rsidP="00BB76A6">
      <w:pPr>
        <w:pStyle w:val="BodyEE"/>
        <w:keepNext/>
      </w:pPr>
      <w:r w:rsidRPr="00D13AF1">
        <w:t>The Guidelines</w:t>
      </w:r>
      <w:r w:rsidRPr="00D13AF1">
        <w:rPr>
          <w:rStyle w:val="FootnoteReference"/>
        </w:rPr>
        <w:footnoteReference w:id="67"/>
      </w:r>
      <w:r w:rsidRPr="00D13AF1">
        <w:t xml:space="preserve"> published are meant to be applied by:</w:t>
      </w:r>
    </w:p>
    <w:p w14:paraId="5620633D" w14:textId="29197218" w:rsidR="00255B2F" w:rsidRPr="00D13AF1" w:rsidRDefault="00FE3668" w:rsidP="00255B2F">
      <w:pPr>
        <w:pStyle w:val="Bulletlevel1"/>
      </w:pPr>
      <w:r w:rsidRPr="00D13AF1">
        <w:t>d</w:t>
      </w:r>
      <w:r w:rsidR="00255B2F" w:rsidRPr="00D13AF1">
        <w:t>octors conducting synchronous (real time) video consultations between a patient, a health care provider from the referring organisation, and a specialist medical practitioner to who</w:t>
      </w:r>
      <w:r w:rsidRPr="00D13AF1">
        <w:t>m the patient has been referred;</w:t>
      </w:r>
    </w:p>
    <w:p w14:paraId="338BF17B" w14:textId="53E503CE" w:rsidR="00255B2F" w:rsidRPr="00D13AF1" w:rsidRDefault="00FE3668" w:rsidP="00255B2F">
      <w:pPr>
        <w:pStyle w:val="Bulletlevel1"/>
      </w:pPr>
      <w:r w:rsidRPr="00D13AF1">
        <w:t>g</w:t>
      </w:r>
      <w:r w:rsidR="00255B2F" w:rsidRPr="00D13AF1">
        <w:t>eneral practices, Aboriginal medical services, primary care providers, specialist medical practitioners.</w:t>
      </w:r>
    </w:p>
    <w:p w14:paraId="1ABBB8C1" w14:textId="77777777" w:rsidR="00255B2F" w:rsidRPr="00D13AF1" w:rsidRDefault="00255B2F" w:rsidP="00BB76A6">
      <w:pPr>
        <w:pStyle w:val="BodyEE"/>
        <w:keepNext/>
      </w:pPr>
      <w:r w:rsidRPr="00D13AF1">
        <w:lastRenderedPageBreak/>
        <w:t>These guidelines do not:</w:t>
      </w:r>
    </w:p>
    <w:p w14:paraId="2EAB7904" w14:textId="1EE9C695" w:rsidR="00255B2F" w:rsidRPr="00D13AF1" w:rsidRDefault="00FE3668" w:rsidP="00255B2F">
      <w:pPr>
        <w:pStyle w:val="Bulletlevel1"/>
      </w:pPr>
      <w:r w:rsidRPr="00D13AF1">
        <w:t>a</w:t>
      </w:r>
      <w:r w:rsidR="00255B2F" w:rsidRPr="00D13AF1">
        <w:t>pply to direct specialist to patient video consultations, with no involvement of the referring cl</w:t>
      </w:r>
      <w:r w:rsidRPr="00D13AF1">
        <w:t>inician or their practice staff;</w:t>
      </w:r>
    </w:p>
    <w:p w14:paraId="034E4B13" w14:textId="430091B1" w:rsidR="00255B2F" w:rsidRPr="00D13AF1" w:rsidRDefault="00FE3668" w:rsidP="00255B2F">
      <w:pPr>
        <w:pStyle w:val="Bulletlevel1"/>
      </w:pPr>
      <w:r w:rsidRPr="00D13AF1">
        <w:t>c</w:t>
      </w:r>
      <w:r w:rsidR="00255B2F" w:rsidRPr="00D13AF1">
        <w:t>ontain clinical advice on the effectiveness of telehealth for different medical conditions.</w:t>
      </w:r>
    </w:p>
    <w:p w14:paraId="6DA2C95A" w14:textId="594A1E55" w:rsidR="00255B2F" w:rsidRPr="00D13AF1" w:rsidRDefault="00255B2F" w:rsidP="00255B2F">
      <w:pPr>
        <w:pStyle w:val="BodyEE"/>
      </w:pPr>
      <w:r w:rsidRPr="00D13AF1">
        <w:t xml:space="preserve">The published document acknowledges that one set of standards or guidelines cannot cover all of these in detail, therefore the ACRRM has chosen to establish a framework which relevant </w:t>
      </w:r>
      <w:r w:rsidR="00D61813">
        <w:t xml:space="preserve">groups of specialists </w:t>
      </w:r>
      <w:r w:rsidRPr="00D13AF1">
        <w:t>in Australia can use to develop profession and health-organisation specific telehealth guidelines. This approach was endorsed by the ACRRM Telehealth Advisory Committee (ATHAC) which includes representatives from medical specialist and nursing colleges and organisations, peak Aboriginal health organisations, consumer organisations, the National Rural Health Alliance, the Rural Doctors Association of Australia, Standards Australia, the Australasian Telehealth Society, and the Royal Flying Doctor Service.</w:t>
      </w:r>
    </w:p>
    <w:p w14:paraId="19137D68" w14:textId="77777777" w:rsidR="00255B2F" w:rsidRPr="00D13AF1" w:rsidRDefault="00255B2F" w:rsidP="00255B2F">
      <w:pPr>
        <w:pStyle w:val="BodyEE"/>
      </w:pPr>
      <w:r w:rsidRPr="00D13AF1">
        <w:t>The ACRRM undertook a scan of Australian guidelines and standards, which were also considered in the design of the Framework.</w:t>
      </w:r>
    </w:p>
    <w:p w14:paraId="1BBEC4FE" w14:textId="77777777" w:rsidR="00255B2F" w:rsidRPr="00D13AF1" w:rsidRDefault="00255B2F" w:rsidP="00BB76A6">
      <w:pPr>
        <w:pStyle w:val="Heading3Pink"/>
      </w:pPr>
      <w:r w:rsidRPr="00D13AF1">
        <w:lastRenderedPageBreak/>
        <w:t>Specific requirements for individual doctors</w:t>
      </w:r>
    </w:p>
    <w:p w14:paraId="0097FF52" w14:textId="11606BA2" w:rsidR="00255B2F" w:rsidRPr="00D13AF1" w:rsidRDefault="00255B2F" w:rsidP="00BB76A6">
      <w:pPr>
        <w:pStyle w:val="BodyEE"/>
        <w:keepNext/>
      </w:pPr>
      <w:r w:rsidRPr="00D13AF1">
        <w:fldChar w:fldCharType="begin"/>
      </w:r>
      <w:r w:rsidRPr="00D13AF1">
        <w:instrText xml:space="preserve"> REF _Ref492630650 \h </w:instrText>
      </w:r>
      <w:r w:rsidR="00BB76A6" w:rsidRPr="00D13AF1">
        <w:instrText xml:space="preserve"> \* MERGEFORMAT </w:instrText>
      </w:r>
      <w:r w:rsidRPr="00D13AF1">
        <w:fldChar w:fldCharType="separate"/>
      </w:r>
      <w:r w:rsidR="00B51130" w:rsidRPr="00D13AF1">
        <w:t xml:space="preserve">Figure </w:t>
      </w:r>
      <w:r w:rsidR="00B51130">
        <w:t>1.1</w:t>
      </w:r>
      <w:r w:rsidRPr="00D13AF1">
        <w:fldChar w:fldCharType="end"/>
      </w:r>
      <w:r w:rsidRPr="00D13AF1">
        <w:t xml:space="preserve">, </w:t>
      </w:r>
      <w:r w:rsidRPr="00D13AF1">
        <w:fldChar w:fldCharType="begin"/>
      </w:r>
      <w:r w:rsidRPr="00D13AF1">
        <w:instrText xml:space="preserve"> REF _Ref492630651 \h </w:instrText>
      </w:r>
      <w:r w:rsidR="00BB76A6" w:rsidRPr="00D13AF1">
        <w:instrText xml:space="preserve"> \* MERGEFORMAT </w:instrText>
      </w:r>
      <w:r w:rsidRPr="00D13AF1">
        <w:fldChar w:fldCharType="separate"/>
      </w:r>
      <w:r w:rsidR="00B51130" w:rsidRPr="00D13AF1">
        <w:t xml:space="preserve">Figure </w:t>
      </w:r>
      <w:r w:rsidR="00B51130">
        <w:t>1.2</w:t>
      </w:r>
      <w:r w:rsidRPr="00D13AF1">
        <w:fldChar w:fldCharType="end"/>
      </w:r>
      <w:r w:rsidRPr="00D13AF1">
        <w:t xml:space="preserve"> and </w:t>
      </w:r>
      <w:r w:rsidRPr="00D13AF1">
        <w:fldChar w:fldCharType="begin"/>
      </w:r>
      <w:r w:rsidRPr="00D13AF1">
        <w:instrText xml:space="preserve"> REF _Ref492630691 \h </w:instrText>
      </w:r>
      <w:r w:rsidRPr="00D13AF1">
        <w:fldChar w:fldCharType="separate"/>
      </w:r>
      <w:r w:rsidR="00B51130" w:rsidRPr="00D13AF1">
        <w:t xml:space="preserve">Figure </w:t>
      </w:r>
      <w:r w:rsidR="00B51130">
        <w:rPr>
          <w:noProof/>
        </w:rPr>
        <w:t>1</w:t>
      </w:r>
      <w:r w:rsidR="00B51130">
        <w:t>.</w:t>
      </w:r>
      <w:r w:rsidR="00B51130">
        <w:rPr>
          <w:noProof/>
        </w:rPr>
        <w:t>3</w:t>
      </w:r>
      <w:r w:rsidRPr="00D13AF1">
        <w:fldChar w:fldCharType="end"/>
      </w:r>
      <w:r w:rsidRPr="00D13AF1">
        <w:t xml:space="preserve"> present the Framework that was subsequently transformed into ACRRM’s telehealth guidelines. </w:t>
      </w:r>
    </w:p>
    <w:p w14:paraId="622AA55C" w14:textId="12D3B65E" w:rsidR="00255B2F" w:rsidRPr="00D13AF1" w:rsidRDefault="00255B2F" w:rsidP="00255B2F">
      <w:pPr>
        <w:pStyle w:val="Caption"/>
      </w:pPr>
      <w:bookmarkStart w:id="103" w:name="_Ref492630650"/>
      <w:r w:rsidRPr="00D13AF1">
        <w:t xml:space="preserve">Figure </w:t>
      </w:r>
      <w:r w:rsidR="00000000">
        <w:fldChar w:fldCharType="begin"/>
      </w:r>
      <w:r w:rsidR="00000000">
        <w:instrText xml:space="preserve"> STYLEREF 1 \s </w:instrText>
      </w:r>
      <w:r w:rsidR="00000000">
        <w:fldChar w:fldCharType="separate"/>
      </w:r>
      <w:r w:rsidR="00B51130">
        <w:rPr>
          <w:noProof/>
        </w:rPr>
        <w:t>1</w:t>
      </w:r>
      <w:r w:rsidR="00000000">
        <w:rPr>
          <w:noProof/>
        </w:rPr>
        <w:fldChar w:fldCharType="end"/>
      </w:r>
      <w:r w:rsidR="00D0462D">
        <w:t>.</w:t>
      </w:r>
      <w:r w:rsidR="00000000">
        <w:fldChar w:fldCharType="begin"/>
      </w:r>
      <w:r w:rsidR="00000000">
        <w:instrText xml:space="preserve"> SEQ Figure \* ARABIC \s 1 </w:instrText>
      </w:r>
      <w:r w:rsidR="00000000">
        <w:fldChar w:fldCharType="separate"/>
      </w:r>
      <w:r w:rsidR="00B51130">
        <w:rPr>
          <w:noProof/>
        </w:rPr>
        <w:t>1</w:t>
      </w:r>
      <w:r w:rsidR="00000000">
        <w:rPr>
          <w:noProof/>
        </w:rPr>
        <w:fldChar w:fldCharType="end"/>
      </w:r>
      <w:bookmarkEnd w:id="103"/>
      <w:r w:rsidRPr="00D13AF1">
        <w:t>: Clinical aspects of telehealth</w:t>
      </w:r>
    </w:p>
    <w:p w14:paraId="19169996" w14:textId="77777777" w:rsidR="00255B2F" w:rsidRPr="00D13AF1" w:rsidRDefault="00255B2F" w:rsidP="00255B2F">
      <w:pPr>
        <w:pStyle w:val="BodyEE"/>
      </w:pPr>
      <w:r w:rsidRPr="00D13AF1">
        <w:rPr>
          <w:noProof/>
          <w:lang w:eastAsia="en-GB"/>
        </w:rPr>
        <w:drawing>
          <wp:inline distT="0" distB="0" distL="0" distR="0" wp14:anchorId="548865D2" wp14:editId="0FB71F3B">
            <wp:extent cx="5040000" cy="5947522"/>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inical aspects.png"/>
                    <pic:cNvPicPr/>
                  </pic:nvPicPr>
                  <pic:blipFill rotWithShape="1">
                    <a:blip r:embed="rId49">
                      <a:extLst>
                        <a:ext uri="{28A0092B-C50C-407E-A947-70E740481C1C}">
                          <a14:useLocalDpi xmlns:a14="http://schemas.microsoft.com/office/drawing/2010/main" val="0"/>
                        </a:ext>
                      </a:extLst>
                    </a:blip>
                    <a:srcRect r="53992" b="32140"/>
                    <a:stretch/>
                  </pic:blipFill>
                  <pic:spPr bwMode="auto">
                    <a:xfrm>
                      <a:off x="0" y="0"/>
                      <a:ext cx="5040000" cy="5947522"/>
                    </a:xfrm>
                    <a:prstGeom prst="rect">
                      <a:avLst/>
                    </a:prstGeom>
                    <a:ln>
                      <a:noFill/>
                    </a:ln>
                    <a:extLst>
                      <a:ext uri="{53640926-AAD7-44D8-BBD7-CCE9431645EC}">
                        <a14:shadowObscured xmlns:a14="http://schemas.microsoft.com/office/drawing/2010/main"/>
                      </a:ext>
                    </a:extLst>
                  </pic:spPr>
                </pic:pic>
              </a:graphicData>
            </a:graphic>
          </wp:inline>
        </w:drawing>
      </w:r>
    </w:p>
    <w:p w14:paraId="130EC24C" w14:textId="77777777" w:rsidR="00255B2F" w:rsidRPr="00D13AF1" w:rsidRDefault="00255B2F" w:rsidP="00255B2F">
      <w:pPr>
        <w:pStyle w:val="BodyEE"/>
      </w:pPr>
      <w:r w:rsidRPr="00D13AF1">
        <w:rPr>
          <w:noProof/>
          <w:lang w:eastAsia="en-GB"/>
        </w:rPr>
        <w:lastRenderedPageBreak/>
        <w:drawing>
          <wp:inline distT="0" distB="0" distL="0" distR="0" wp14:anchorId="7F35CA29" wp14:editId="4D997BC8">
            <wp:extent cx="5040000" cy="6360410"/>
            <wp:effectExtent l="0" t="0" r="825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50">
                      <a:extLst>
                        <a:ext uri="{28A0092B-C50C-407E-A947-70E740481C1C}">
                          <a14:useLocalDpi xmlns:a14="http://schemas.microsoft.com/office/drawing/2010/main" val="0"/>
                        </a:ext>
                      </a:extLst>
                    </a:blip>
                    <a:stretch>
                      <a:fillRect/>
                    </a:stretch>
                  </pic:blipFill>
                  <pic:spPr>
                    <a:xfrm>
                      <a:off x="0" y="0"/>
                      <a:ext cx="5040000" cy="6360410"/>
                    </a:xfrm>
                    <a:prstGeom prst="rect">
                      <a:avLst/>
                    </a:prstGeom>
                  </pic:spPr>
                </pic:pic>
              </a:graphicData>
            </a:graphic>
          </wp:inline>
        </w:drawing>
      </w:r>
    </w:p>
    <w:p w14:paraId="384096EE" w14:textId="77777777" w:rsidR="00255B2F" w:rsidRPr="00D13AF1" w:rsidRDefault="00255B2F" w:rsidP="00255B2F">
      <w:pPr>
        <w:pStyle w:val="Tablenote"/>
      </w:pPr>
      <w:r w:rsidRPr="00D13AF1">
        <w:t>Source: ACRRM</w:t>
      </w:r>
    </w:p>
    <w:p w14:paraId="20EB0094" w14:textId="77777777" w:rsidR="00255B2F" w:rsidRPr="00D13AF1" w:rsidRDefault="00255B2F" w:rsidP="00255B2F">
      <w:pPr>
        <w:pStyle w:val="Tablenote"/>
      </w:pPr>
    </w:p>
    <w:p w14:paraId="7281F89E" w14:textId="77777777" w:rsidR="00255B2F" w:rsidRPr="00D13AF1" w:rsidRDefault="00255B2F" w:rsidP="00255B2F">
      <w:pPr>
        <w:pStyle w:val="Caption"/>
        <w:rPr>
          <w:rFonts w:ascii="Gill Sans MT" w:eastAsia="Gill Sans MT" w:hAnsi="Gill Sans MT" w:cs="Times New Roman"/>
          <w:b w:val="0"/>
          <w:bCs w:val="0"/>
          <w:color w:val="38383A"/>
          <w:sz w:val="22"/>
          <w:szCs w:val="60"/>
        </w:rPr>
      </w:pPr>
    </w:p>
    <w:p w14:paraId="7F2BB0D8" w14:textId="77777777" w:rsidR="00255B2F" w:rsidRPr="00D13AF1" w:rsidRDefault="00255B2F" w:rsidP="00255B2F">
      <w:pPr>
        <w:pStyle w:val="BodyEE"/>
      </w:pPr>
    </w:p>
    <w:p w14:paraId="4A2C3A97" w14:textId="066DE7A1" w:rsidR="00255B2F" w:rsidRPr="00D13AF1" w:rsidRDefault="00255B2F" w:rsidP="00255B2F">
      <w:pPr>
        <w:pStyle w:val="Caption"/>
      </w:pPr>
      <w:bookmarkStart w:id="104" w:name="_Ref492630651"/>
      <w:r w:rsidRPr="00D13AF1">
        <w:lastRenderedPageBreak/>
        <w:t xml:space="preserve">Figure </w:t>
      </w:r>
      <w:r w:rsidR="00000000">
        <w:fldChar w:fldCharType="begin"/>
      </w:r>
      <w:r w:rsidR="00000000">
        <w:instrText xml:space="preserve"> STYLEREF 1 \s </w:instrText>
      </w:r>
      <w:r w:rsidR="00000000">
        <w:fldChar w:fldCharType="separate"/>
      </w:r>
      <w:r w:rsidR="00B51130">
        <w:rPr>
          <w:noProof/>
        </w:rPr>
        <w:t>1</w:t>
      </w:r>
      <w:r w:rsidR="00000000">
        <w:rPr>
          <w:noProof/>
        </w:rPr>
        <w:fldChar w:fldCharType="end"/>
      </w:r>
      <w:r w:rsidR="00D0462D">
        <w:t>.</w:t>
      </w:r>
      <w:r w:rsidR="00000000">
        <w:fldChar w:fldCharType="begin"/>
      </w:r>
      <w:r w:rsidR="00000000">
        <w:instrText xml:space="preserve"> SEQ Figure \* ARABIC \s 1 </w:instrText>
      </w:r>
      <w:r w:rsidR="00000000">
        <w:fldChar w:fldCharType="separate"/>
      </w:r>
      <w:r w:rsidR="00B51130">
        <w:rPr>
          <w:noProof/>
        </w:rPr>
        <w:t>2</w:t>
      </w:r>
      <w:r w:rsidR="00000000">
        <w:rPr>
          <w:noProof/>
        </w:rPr>
        <w:fldChar w:fldCharType="end"/>
      </w:r>
      <w:bookmarkEnd w:id="104"/>
      <w:r w:rsidRPr="00D13AF1">
        <w:t>: Technical aspects of telehealth</w:t>
      </w:r>
    </w:p>
    <w:p w14:paraId="1DD090E5" w14:textId="77777777" w:rsidR="00255B2F" w:rsidRPr="00D13AF1" w:rsidRDefault="00255B2F" w:rsidP="00255B2F">
      <w:pPr>
        <w:pStyle w:val="BodyEE"/>
      </w:pPr>
      <w:r w:rsidRPr="00D13AF1">
        <w:rPr>
          <w:noProof/>
          <w:lang w:eastAsia="en-GB"/>
        </w:rPr>
        <w:drawing>
          <wp:inline distT="0" distB="0" distL="0" distR="0" wp14:anchorId="142E8F49" wp14:editId="593B9F03">
            <wp:extent cx="5040000" cy="4676912"/>
            <wp:effectExtent l="0" t="0" r="825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png"/>
                    <pic:cNvPicPr/>
                  </pic:nvPicPr>
                  <pic:blipFill>
                    <a:blip r:embed="rId51">
                      <a:extLst>
                        <a:ext uri="{28A0092B-C50C-407E-A947-70E740481C1C}">
                          <a14:useLocalDpi xmlns:a14="http://schemas.microsoft.com/office/drawing/2010/main" val="0"/>
                        </a:ext>
                      </a:extLst>
                    </a:blip>
                    <a:stretch>
                      <a:fillRect/>
                    </a:stretch>
                  </pic:blipFill>
                  <pic:spPr>
                    <a:xfrm>
                      <a:off x="0" y="0"/>
                      <a:ext cx="5040000" cy="4676912"/>
                    </a:xfrm>
                    <a:prstGeom prst="rect">
                      <a:avLst/>
                    </a:prstGeom>
                  </pic:spPr>
                </pic:pic>
              </a:graphicData>
            </a:graphic>
          </wp:inline>
        </w:drawing>
      </w:r>
    </w:p>
    <w:p w14:paraId="65535317" w14:textId="77777777" w:rsidR="00255B2F" w:rsidRPr="00D13AF1" w:rsidRDefault="00255B2F" w:rsidP="00255B2F">
      <w:pPr>
        <w:pStyle w:val="Tablelastnote"/>
      </w:pPr>
      <w:r w:rsidRPr="00D13AF1">
        <w:t>Source: ACRRM</w:t>
      </w:r>
    </w:p>
    <w:p w14:paraId="48A79882" w14:textId="06F70956" w:rsidR="00255B2F" w:rsidRPr="00D13AF1" w:rsidRDefault="00255B2F" w:rsidP="00255B2F">
      <w:pPr>
        <w:pStyle w:val="Caption"/>
      </w:pPr>
      <w:bookmarkStart w:id="105" w:name="_Ref492630691"/>
      <w:r w:rsidRPr="00D13AF1">
        <w:lastRenderedPageBreak/>
        <w:t xml:space="preserve">Figure </w:t>
      </w:r>
      <w:r w:rsidR="00000000">
        <w:fldChar w:fldCharType="begin"/>
      </w:r>
      <w:r w:rsidR="00000000">
        <w:instrText xml:space="preserve"> STYLEREF 1 \s </w:instrText>
      </w:r>
      <w:r w:rsidR="00000000">
        <w:fldChar w:fldCharType="separate"/>
      </w:r>
      <w:r w:rsidR="00B51130">
        <w:rPr>
          <w:noProof/>
        </w:rPr>
        <w:t>1</w:t>
      </w:r>
      <w:r w:rsidR="00000000">
        <w:rPr>
          <w:noProof/>
        </w:rPr>
        <w:fldChar w:fldCharType="end"/>
      </w:r>
      <w:r w:rsidR="00D0462D">
        <w:t>.</w:t>
      </w:r>
      <w:r w:rsidR="00000000">
        <w:fldChar w:fldCharType="begin"/>
      </w:r>
      <w:r w:rsidR="00000000">
        <w:instrText xml:space="preserve"> SEQ Figure \* ARABIC \s 1 </w:instrText>
      </w:r>
      <w:r w:rsidR="00000000">
        <w:fldChar w:fldCharType="separate"/>
      </w:r>
      <w:r w:rsidR="00B51130">
        <w:rPr>
          <w:noProof/>
        </w:rPr>
        <w:t>3</w:t>
      </w:r>
      <w:r w:rsidR="00000000">
        <w:rPr>
          <w:noProof/>
        </w:rPr>
        <w:fldChar w:fldCharType="end"/>
      </w:r>
      <w:bookmarkEnd w:id="105"/>
      <w:r w:rsidRPr="00D13AF1">
        <w:t>: Contextual aspects of telehealth</w:t>
      </w:r>
    </w:p>
    <w:p w14:paraId="6092966E" w14:textId="77777777" w:rsidR="00255B2F" w:rsidRPr="00D13AF1" w:rsidRDefault="00255B2F" w:rsidP="00255B2F">
      <w:pPr>
        <w:pStyle w:val="BodyEE"/>
      </w:pPr>
      <w:r w:rsidRPr="00D13AF1">
        <w:rPr>
          <w:noProof/>
          <w:lang w:eastAsia="en-GB"/>
        </w:rPr>
        <w:drawing>
          <wp:inline distT="0" distB="0" distL="0" distR="0" wp14:anchorId="5F501878" wp14:editId="1EC7A064">
            <wp:extent cx="5040000" cy="4583385"/>
            <wp:effectExtent l="0" t="0"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png"/>
                    <pic:cNvPicPr/>
                  </pic:nvPicPr>
                  <pic:blipFill>
                    <a:blip r:embed="rId52">
                      <a:extLst>
                        <a:ext uri="{28A0092B-C50C-407E-A947-70E740481C1C}">
                          <a14:useLocalDpi xmlns:a14="http://schemas.microsoft.com/office/drawing/2010/main" val="0"/>
                        </a:ext>
                      </a:extLst>
                    </a:blip>
                    <a:stretch>
                      <a:fillRect/>
                    </a:stretch>
                  </pic:blipFill>
                  <pic:spPr>
                    <a:xfrm>
                      <a:off x="0" y="0"/>
                      <a:ext cx="5040000" cy="4583385"/>
                    </a:xfrm>
                    <a:prstGeom prst="rect">
                      <a:avLst/>
                    </a:prstGeom>
                  </pic:spPr>
                </pic:pic>
              </a:graphicData>
            </a:graphic>
          </wp:inline>
        </w:drawing>
      </w:r>
    </w:p>
    <w:p w14:paraId="72A1E6AE" w14:textId="77777777" w:rsidR="00255B2F" w:rsidRPr="00D13AF1" w:rsidRDefault="00255B2F" w:rsidP="00255B2F">
      <w:pPr>
        <w:pStyle w:val="Tablelastnote"/>
      </w:pPr>
      <w:r w:rsidRPr="00D13AF1">
        <w:t>Source: ACRRM</w:t>
      </w:r>
    </w:p>
    <w:p w14:paraId="481B908E" w14:textId="77777777" w:rsidR="00255B2F" w:rsidRPr="00D13AF1" w:rsidRDefault="00255B2F" w:rsidP="00255B2F">
      <w:pPr>
        <w:pStyle w:val="Heading3Pink"/>
      </w:pPr>
      <w:r w:rsidRPr="00D13AF1">
        <w:t>Cross-jurisdiction issues in telemedicine</w:t>
      </w:r>
    </w:p>
    <w:p w14:paraId="64856E6D" w14:textId="77777777" w:rsidR="00255B2F" w:rsidRPr="00D13AF1" w:rsidRDefault="00255B2F" w:rsidP="00255B2F">
      <w:pPr>
        <w:pStyle w:val="BodyEE"/>
      </w:pPr>
      <w:r w:rsidRPr="00D13AF1">
        <w:t xml:space="preserve">The ACRRM has not made a statement on the issue of cross-jurisdiction in telemedicine. </w:t>
      </w:r>
    </w:p>
    <w:p w14:paraId="6DEA3971" w14:textId="77777777" w:rsidR="00255B2F" w:rsidRPr="00D13AF1" w:rsidRDefault="00255B2F" w:rsidP="00255B2F">
      <w:pPr>
        <w:pStyle w:val="Heading2Pink"/>
      </w:pPr>
      <w:bookmarkStart w:id="106" w:name="_Toc504484140"/>
      <w:r w:rsidRPr="00D13AF1">
        <w:t>RACGP (The Royal Australian College of General Practitioners)</w:t>
      </w:r>
      <w:bookmarkEnd w:id="106"/>
    </w:p>
    <w:p w14:paraId="4DAA88D4" w14:textId="77777777" w:rsidR="00255B2F" w:rsidRPr="00D13AF1" w:rsidRDefault="00255B2F" w:rsidP="00255B2F">
      <w:pPr>
        <w:pStyle w:val="Heading3Pink"/>
      </w:pPr>
      <w:r w:rsidRPr="00D13AF1">
        <w:t>Definition of telemedicine</w:t>
      </w:r>
    </w:p>
    <w:p w14:paraId="3F237C94" w14:textId="45EFC429" w:rsidR="00FE3668" w:rsidRPr="00D13AF1" w:rsidRDefault="00255B2F" w:rsidP="00255B2F">
      <w:pPr>
        <w:pStyle w:val="LongQuotePink"/>
      </w:pPr>
      <w:r w:rsidRPr="00D13AF1">
        <w:t>The College defines telehealth as “video consultations”</w:t>
      </w:r>
      <w:r w:rsidR="00BB76A6" w:rsidRPr="00D13AF1">
        <w:t>.</w:t>
      </w:r>
      <w:r w:rsidRPr="00D13AF1">
        <w:t xml:space="preserve"> </w:t>
      </w:r>
    </w:p>
    <w:p w14:paraId="225012B2" w14:textId="4F6F0CC9" w:rsidR="00255B2F" w:rsidRPr="00D13AF1" w:rsidRDefault="00255B2F" w:rsidP="00255B2F">
      <w:pPr>
        <w:pStyle w:val="LongQuotePink"/>
      </w:pPr>
      <w:r w:rsidRPr="00D13AF1">
        <w:t>- RACGP</w:t>
      </w:r>
    </w:p>
    <w:p w14:paraId="74E9FCCB" w14:textId="77777777" w:rsidR="00255B2F" w:rsidRPr="00D13AF1" w:rsidRDefault="00255B2F" w:rsidP="00255B2F">
      <w:pPr>
        <w:pStyle w:val="BodyEE"/>
      </w:pPr>
      <w:r w:rsidRPr="00D13AF1">
        <w:t>RACGP, with support from the Australian Government Department of Health, has developed a number of resources to help general practices get familiar with video consultations.</w:t>
      </w:r>
      <w:r w:rsidRPr="00D13AF1">
        <w:rPr>
          <w:rStyle w:val="FootnoteReference"/>
        </w:rPr>
        <w:footnoteReference w:id="68"/>
      </w:r>
    </w:p>
    <w:p w14:paraId="4F93F88C" w14:textId="77777777" w:rsidR="00255B2F" w:rsidRPr="00D13AF1" w:rsidRDefault="00255B2F" w:rsidP="00255B2F">
      <w:pPr>
        <w:pStyle w:val="Heading3Pink"/>
      </w:pPr>
      <w:r w:rsidRPr="00D13AF1">
        <w:t>Regulation of individual doctors who provide telemedicine services</w:t>
      </w:r>
    </w:p>
    <w:p w14:paraId="3E93D0AA" w14:textId="02038530" w:rsidR="00255B2F" w:rsidRPr="00D13AF1" w:rsidRDefault="00255B2F" w:rsidP="00AF67DA">
      <w:pPr>
        <w:pStyle w:val="BodyEE"/>
      </w:pPr>
      <w:r w:rsidRPr="00D13AF1">
        <w:t xml:space="preserve">There are two main documents addressing doctors and telemedicine. These are one set of guidelines for inter-professional collaboration between general practitioners and other medical specialists providing video </w:t>
      </w:r>
      <w:r w:rsidRPr="00D13AF1">
        <w:lastRenderedPageBreak/>
        <w:t>consultations; and a set of standards for general practices offering video consultations. We will focus here on the published Standards</w:t>
      </w:r>
      <w:r w:rsidR="004E3054" w:rsidRPr="00D13AF1">
        <w:t xml:space="preserve"> for</w:t>
      </w:r>
      <w:r w:rsidR="00B82C0F" w:rsidRPr="00D13AF1">
        <w:t xml:space="preserve"> general practices</w:t>
      </w:r>
      <w:r w:rsidR="00AF67DA" w:rsidRPr="00D13AF1">
        <w:t>.</w:t>
      </w:r>
      <w:r w:rsidRPr="00D13AF1">
        <w:rPr>
          <w:rStyle w:val="FootnoteReference"/>
          <w:b/>
        </w:rPr>
        <w:footnoteReference w:id="69"/>
      </w:r>
    </w:p>
    <w:p w14:paraId="14A0ED85" w14:textId="77777777" w:rsidR="00AD4CAF" w:rsidRPr="00D13AF1" w:rsidRDefault="00255B2F" w:rsidP="00AF67DA">
      <w:pPr>
        <w:pStyle w:val="EmphasisPink"/>
        <w:keepNext/>
        <w:rPr>
          <w:i/>
        </w:rPr>
      </w:pPr>
      <w:r w:rsidRPr="00D13AF1">
        <w:rPr>
          <w:i/>
        </w:rPr>
        <w:t xml:space="preserve">Choosing to offer video consultations: </w:t>
      </w:r>
    </w:p>
    <w:p w14:paraId="47B8D702" w14:textId="7CC4BD1D" w:rsidR="00255B2F" w:rsidRPr="00D13AF1" w:rsidRDefault="00255B2F" w:rsidP="00AD4CAF">
      <w:pPr>
        <w:pStyle w:val="Bulletlevel1"/>
      </w:pPr>
      <w:r w:rsidRPr="00D13AF1">
        <w:t>Decisions about whether or not the practice will offer video consultation services, as an alternative to face-to-face consultations should be made by the GPs in the general practice team and careful consideration should be given to issues such as:</w:t>
      </w:r>
    </w:p>
    <w:p w14:paraId="191D4BFC" w14:textId="1FB35786" w:rsidR="00255B2F" w:rsidRPr="00D13AF1" w:rsidRDefault="00255B2F" w:rsidP="00255B2F">
      <w:pPr>
        <w:pStyle w:val="Bulletlevel2"/>
      </w:pPr>
      <w:r w:rsidRPr="00D13AF1">
        <w:t>patient safety</w:t>
      </w:r>
      <w:r w:rsidR="00FE3668" w:rsidRPr="00D13AF1">
        <w:t>,</w:t>
      </w:r>
    </w:p>
    <w:p w14:paraId="13F8B760" w14:textId="3E316F25" w:rsidR="00255B2F" w:rsidRPr="00D13AF1" w:rsidRDefault="00255B2F" w:rsidP="00255B2F">
      <w:pPr>
        <w:pStyle w:val="Bulletlevel2"/>
      </w:pPr>
      <w:r w:rsidRPr="00D13AF1">
        <w:t>clinical needs of patients</w:t>
      </w:r>
      <w:r w:rsidR="00FE3668" w:rsidRPr="00D13AF1">
        <w:t>,</w:t>
      </w:r>
    </w:p>
    <w:p w14:paraId="479F9386" w14:textId="0981BE04" w:rsidR="00255B2F" w:rsidRPr="00D13AF1" w:rsidRDefault="00255B2F" w:rsidP="00255B2F">
      <w:pPr>
        <w:pStyle w:val="Bulletlevel2"/>
      </w:pPr>
      <w:r w:rsidRPr="00D13AF1">
        <w:t>clinical effectiveness</w:t>
      </w:r>
      <w:r w:rsidR="00FE3668" w:rsidRPr="00D13AF1">
        <w:t>,</w:t>
      </w:r>
    </w:p>
    <w:p w14:paraId="4FEB579E" w14:textId="516359E5" w:rsidR="00255B2F" w:rsidRPr="00D13AF1" w:rsidRDefault="00255B2F" w:rsidP="00255B2F">
      <w:pPr>
        <w:pStyle w:val="Bulletlevel2"/>
      </w:pPr>
      <w:r w:rsidRPr="00D13AF1">
        <w:t>patient preference</w:t>
      </w:r>
      <w:r w:rsidR="00FE3668" w:rsidRPr="00D13AF1">
        <w:t>,</w:t>
      </w:r>
    </w:p>
    <w:p w14:paraId="128D1D5F" w14:textId="6B7C9A1A" w:rsidR="00255B2F" w:rsidRPr="00D13AF1" w:rsidRDefault="00255B2F" w:rsidP="00255B2F">
      <w:pPr>
        <w:pStyle w:val="Bulletlevel2"/>
      </w:pPr>
      <w:r w:rsidRPr="00D13AF1">
        <w:t>location of the practice</w:t>
      </w:r>
      <w:r w:rsidR="00FE3668" w:rsidRPr="00D13AF1">
        <w:t>,</w:t>
      </w:r>
    </w:p>
    <w:p w14:paraId="4AAC783D" w14:textId="2630D793" w:rsidR="00255B2F" w:rsidRPr="00D13AF1" w:rsidRDefault="00255B2F" w:rsidP="00255B2F">
      <w:pPr>
        <w:pStyle w:val="Bulletlevel2"/>
      </w:pPr>
      <w:r w:rsidRPr="00D13AF1">
        <w:t>location of telehealth facilities</w:t>
      </w:r>
      <w:r w:rsidR="00FE3668" w:rsidRPr="00D13AF1">
        <w:t>,</w:t>
      </w:r>
    </w:p>
    <w:p w14:paraId="558D94E0" w14:textId="3ACAED42" w:rsidR="00255B2F" w:rsidRPr="00D13AF1" w:rsidRDefault="00255B2F" w:rsidP="00255B2F">
      <w:pPr>
        <w:pStyle w:val="Bulletlevel2"/>
      </w:pPr>
      <w:r w:rsidRPr="00D13AF1">
        <w:t>availability of Australian registered participating specialists</w:t>
      </w:r>
      <w:r w:rsidR="00FE3668" w:rsidRPr="00D13AF1">
        <w:t>,</w:t>
      </w:r>
    </w:p>
    <w:p w14:paraId="3395319D" w14:textId="15FCC210" w:rsidR="00255B2F" w:rsidRPr="00D13AF1" w:rsidRDefault="00255B2F" w:rsidP="00255B2F">
      <w:pPr>
        <w:pStyle w:val="Bulletlevel2"/>
      </w:pPr>
      <w:r w:rsidRPr="00D13AF1">
        <w:t>access to appropriate training</w:t>
      </w:r>
      <w:r w:rsidR="00FE3668" w:rsidRPr="00D13AF1">
        <w:t>,</w:t>
      </w:r>
    </w:p>
    <w:p w14:paraId="7D9D1E83" w14:textId="77777777" w:rsidR="00255B2F" w:rsidRPr="00D13AF1" w:rsidRDefault="00255B2F" w:rsidP="00255B2F">
      <w:pPr>
        <w:pStyle w:val="Bulletlevel2"/>
      </w:pPr>
      <w:r w:rsidRPr="00D13AF1">
        <w:t>professional indemnity insurance as provided by a medical defence organisation, employer or commercial insurer.</w:t>
      </w:r>
    </w:p>
    <w:p w14:paraId="0FA87690" w14:textId="2297EB69" w:rsidR="00255B2F" w:rsidRPr="00D13AF1" w:rsidRDefault="00255B2F" w:rsidP="00255B2F">
      <w:pPr>
        <w:pStyle w:val="Bulletlevel1"/>
      </w:pPr>
      <w:r w:rsidRPr="00D13AF1">
        <w:t>Update your practice information sheet</w:t>
      </w:r>
      <w:r w:rsidR="00AD4CAF" w:rsidRPr="00D13AF1">
        <w:t>.</w:t>
      </w:r>
    </w:p>
    <w:p w14:paraId="4CD9263D" w14:textId="77777777" w:rsidR="00255B2F" w:rsidRPr="00D13AF1" w:rsidRDefault="00255B2F" w:rsidP="00255B2F">
      <w:pPr>
        <w:pStyle w:val="Bulletlevel1"/>
      </w:pPr>
      <w:r w:rsidRPr="00D13AF1">
        <w:t>Patient information about video consultations. Such information would generally include:</w:t>
      </w:r>
    </w:p>
    <w:p w14:paraId="419CC747" w14:textId="392EE7F2" w:rsidR="00255B2F" w:rsidRPr="00D13AF1" w:rsidRDefault="00255B2F" w:rsidP="00B82C0F">
      <w:pPr>
        <w:pStyle w:val="Bulletlevel2"/>
        <w:rPr>
          <w:rStyle w:val="Bulletlevel1Char"/>
        </w:rPr>
      </w:pPr>
      <w:r w:rsidRPr="00D13AF1">
        <w:rPr>
          <w:rStyle w:val="Bulletlevel1Char"/>
        </w:rPr>
        <w:t xml:space="preserve">the rationale for a video consultation </w:t>
      </w:r>
      <w:r w:rsidR="00AD4CAF" w:rsidRPr="00D13AF1">
        <w:rPr>
          <w:rStyle w:val="Bulletlevel1Char"/>
        </w:rPr>
        <w:t>,</w:t>
      </w:r>
    </w:p>
    <w:p w14:paraId="3695D5D2" w14:textId="57850FB8" w:rsidR="00255B2F" w:rsidRPr="00D13AF1" w:rsidRDefault="00255B2F" w:rsidP="00B82C0F">
      <w:pPr>
        <w:pStyle w:val="Bulletlevel2"/>
      </w:pPr>
      <w:r w:rsidRPr="00D13AF1">
        <w:rPr>
          <w:rStyle w:val="Bulletlevel1Char"/>
        </w:rPr>
        <w:t>whether a support clinician is</w:t>
      </w:r>
      <w:r w:rsidRPr="00D13AF1">
        <w:t xml:space="preserve"> likely to be present at the patient-end of the video consultation and the clinical support role they may perform on behalf of the distant specialist</w:t>
      </w:r>
      <w:r w:rsidR="00AD4CAF" w:rsidRPr="00D13AF1">
        <w:t>,</w:t>
      </w:r>
    </w:p>
    <w:p w14:paraId="2D38A9C3" w14:textId="26B8F9C2" w:rsidR="00255B2F" w:rsidRPr="00D13AF1" w:rsidRDefault="00255B2F" w:rsidP="00B82C0F">
      <w:pPr>
        <w:pStyle w:val="Bulletlevel2"/>
      </w:pPr>
      <w:r w:rsidRPr="00D13AF1">
        <w:t>confirmation that the patient may have their own support person present</w:t>
      </w:r>
      <w:r w:rsidR="00AD4CAF" w:rsidRPr="00D13AF1">
        <w:t>,</w:t>
      </w:r>
    </w:p>
    <w:p w14:paraId="71D57AD3" w14:textId="70695239" w:rsidR="00255B2F" w:rsidRPr="00D13AF1" w:rsidRDefault="00255B2F" w:rsidP="00B82C0F">
      <w:pPr>
        <w:pStyle w:val="Bulletlevel2"/>
      </w:pPr>
      <w:r w:rsidRPr="00D13AF1">
        <w:t>confirmation that other parties will only be present if the patient agrees to this in advance (i</w:t>
      </w:r>
      <w:r w:rsidR="00AD4CAF" w:rsidRPr="00D13AF1">
        <w:t>.</w:t>
      </w:r>
      <w:r w:rsidRPr="00D13AF1">
        <w:t>e. parties other than their own support person, the GP or another support clinician at the patient-end and distant specialist)</w:t>
      </w:r>
      <w:r w:rsidR="00AD4CAF" w:rsidRPr="00D13AF1">
        <w:t>,</w:t>
      </w:r>
    </w:p>
    <w:p w14:paraId="25D5DA74" w14:textId="13845895" w:rsidR="00255B2F" w:rsidRPr="00D13AF1" w:rsidRDefault="00255B2F" w:rsidP="00B82C0F">
      <w:pPr>
        <w:pStyle w:val="Bulletlevel2"/>
      </w:pPr>
      <w:r w:rsidRPr="00D13AF1">
        <w:t>advice that the patient will be asked to provide their name, address and date of birth at the commencement of a video consultation as a means of confirming their identity and ensuring that any patient-end clinician and the distant specialist are both consulting with the right patient for the right reason and are using the right patient health record</w:t>
      </w:r>
      <w:r w:rsidR="00AD4CAF" w:rsidRPr="00D13AF1">
        <w:t>,</w:t>
      </w:r>
    </w:p>
    <w:p w14:paraId="182A59E7" w14:textId="574719FA" w:rsidR="00255B2F" w:rsidRPr="00D13AF1" w:rsidRDefault="00255B2F" w:rsidP="00255B2F">
      <w:pPr>
        <w:pStyle w:val="Bulletlevel2"/>
      </w:pPr>
      <w:r w:rsidRPr="00D13AF1">
        <w:t>confirmation that the patient can ask any support clinician to step out of the video consultation at any time if they wish to have a private discussion with the specialist, provided the support clinician deems it safe for this to occur</w:t>
      </w:r>
      <w:r w:rsidR="00AD4CAF" w:rsidRPr="00D13AF1">
        <w:t>,</w:t>
      </w:r>
    </w:p>
    <w:p w14:paraId="2BC7AA84" w14:textId="5DBC8175" w:rsidR="00255B2F" w:rsidRPr="00D13AF1" w:rsidRDefault="00255B2F" w:rsidP="00255B2F">
      <w:pPr>
        <w:pStyle w:val="Bulletlevel2"/>
      </w:pPr>
      <w:r w:rsidRPr="00D13AF1">
        <w:t>confirmation that the practice makes every effort to protect patient privacy by using secure video conference systems and by not recording video consultations unless exceptional clinical circumstances apply, and the patient gives explicit prior consent and repeats this consent on camera</w:t>
      </w:r>
      <w:r w:rsidR="00AD4CAF" w:rsidRPr="00D13AF1">
        <w:t>,</w:t>
      </w:r>
    </w:p>
    <w:p w14:paraId="25E55B41" w14:textId="23BF4617" w:rsidR="00255B2F" w:rsidRPr="00D13AF1" w:rsidRDefault="00255B2F" w:rsidP="00255B2F">
      <w:pPr>
        <w:pStyle w:val="Bulletlevel2"/>
      </w:pPr>
      <w:r w:rsidRPr="00D13AF1">
        <w:t>an explanation that exceptional clinical circumstances for making a recording during a video consultation may include still images (e.g. a wound or skin lesion) or moving images (e.g. a tremor, gait abnormality, unusual movement or range of movement) where such images are deemed to have clinical value</w:t>
      </w:r>
      <w:r w:rsidR="00AD4CAF" w:rsidRPr="00D13AF1">
        <w:t>,</w:t>
      </w:r>
    </w:p>
    <w:p w14:paraId="6AEA8329" w14:textId="7BF098FF" w:rsidR="00255B2F" w:rsidRPr="00D13AF1" w:rsidRDefault="00255B2F" w:rsidP="00255B2F">
      <w:pPr>
        <w:pStyle w:val="Bulletlevel2"/>
      </w:pPr>
      <w:r w:rsidRPr="00D13AF1">
        <w:t>advice that patients are not authorised to make their own recording of a video consultation</w:t>
      </w:r>
      <w:r w:rsidR="00AD4CAF" w:rsidRPr="00D13AF1">
        <w:t>,</w:t>
      </w:r>
    </w:p>
    <w:p w14:paraId="41B69EBA" w14:textId="582A7B20" w:rsidR="00255B2F" w:rsidRPr="00D13AF1" w:rsidRDefault="00255B2F" w:rsidP="00255B2F">
      <w:pPr>
        <w:pStyle w:val="Bulletlevel2"/>
      </w:pPr>
      <w:r w:rsidRPr="00D13AF1">
        <w:t>information about how video recordings (including discrete still images) would be managed, stored and accessed if they are made</w:t>
      </w:r>
      <w:r w:rsidR="00AD4CAF" w:rsidRPr="00D13AF1">
        <w:t>,</w:t>
      </w:r>
    </w:p>
    <w:p w14:paraId="15F40F87" w14:textId="70C26AA4" w:rsidR="00255B2F" w:rsidRPr="00D13AF1" w:rsidRDefault="00255B2F" w:rsidP="00AF67DA">
      <w:pPr>
        <w:pStyle w:val="Bulletlevel2"/>
        <w:keepNext/>
      </w:pPr>
      <w:r w:rsidRPr="00D13AF1">
        <w:lastRenderedPageBreak/>
        <w:t>acknowledgment that in the unlikely event that the patient felt unable to continue with a video consultation they could end the consultation, and that consultation fees may still apply</w:t>
      </w:r>
      <w:r w:rsidR="00AD4CAF" w:rsidRPr="00D13AF1">
        <w:t>,</w:t>
      </w:r>
    </w:p>
    <w:p w14:paraId="4F046C3C" w14:textId="77777777" w:rsidR="00255B2F" w:rsidRPr="00D13AF1" w:rsidRDefault="00255B2F" w:rsidP="00255B2F">
      <w:pPr>
        <w:pStyle w:val="Bulletlevel2"/>
      </w:pPr>
      <w:r w:rsidRPr="00D13AF1">
        <w:t>a patient information brochure containing standard information about video consultations.</w:t>
      </w:r>
    </w:p>
    <w:p w14:paraId="77B90A7E" w14:textId="77777777" w:rsidR="00255B2F" w:rsidRPr="00D13AF1" w:rsidRDefault="00255B2F" w:rsidP="00205DCE">
      <w:pPr>
        <w:pStyle w:val="Bulletlevel1"/>
      </w:pPr>
      <w:r w:rsidRPr="00D13AF1">
        <w:rPr>
          <w:rStyle w:val="Bulletlevel1Char"/>
        </w:rPr>
        <w:t>Where a video consultation with a specialist in a distant location is agreed, and where there will be a clinician present at the patient-end of the video consultation, the practice should inform patients that two professional fees will normally apply and that</w:t>
      </w:r>
      <w:r w:rsidRPr="00D13AF1">
        <w:t xml:space="preserve"> out-of-pocket expenses may apply for:</w:t>
      </w:r>
    </w:p>
    <w:p w14:paraId="10D475AB" w14:textId="4249F1C7" w:rsidR="00255B2F" w:rsidRPr="00D13AF1" w:rsidRDefault="00255B2F" w:rsidP="00255B2F">
      <w:pPr>
        <w:pStyle w:val="Bulletlevel2"/>
      </w:pPr>
      <w:r w:rsidRPr="00D13AF1">
        <w:t>a professional fee for the GP (or another support clinician) providing clinical support at the patient-end of the video consultation where the fee will be billed by the general practice</w:t>
      </w:r>
      <w:r w:rsidR="00AD4CAF" w:rsidRPr="00D13AF1">
        <w:t>,</w:t>
      </w:r>
    </w:p>
    <w:p w14:paraId="41B2D832" w14:textId="77777777" w:rsidR="00255B2F" w:rsidRPr="00D13AF1" w:rsidRDefault="00255B2F" w:rsidP="00255B2F">
      <w:pPr>
        <w:pStyle w:val="Bulletlevel2"/>
      </w:pPr>
      <w:r w:rsidRPr="00D13AF1">
        <w:t xml:space="preserve">a professional fee for the specialist where the fee will be billed by the specialist. </w:t>
      </w:r>
    </w:p>
    <w:p w14:paraId="051CBD0D" w14:textId="77777777" w:rsidR="00255B2F" w:rsidRPr="00D13AF1" w:rsidRDefault="00255B2F" w:rsidP="006B11E7">
      <w:pPr>
        <w:pStyle w:val="EmphasisPink"/>
        <w:keepNext/>
        <w:rPr>
          <w:i/>
        </w:rPr>
      </w:pPr>
      <w:r w:rsidRPr="00D13AF1">
        <w:rPr>
          <w:i/>
        </w:rPr>
        <w:t xml:space="preserve">Managing risk </w:t>
      </w:r>
    </w:p>
    <w:p w14:paraId="3A8D48C1" w14:textId="77777777" w:rsidR="00255B2F" w:rsidRPr="00D13AF1" w:rsidRDefault="00255B2F" w:rsidP="00AD4CAF">
      <w:pPr>
        <w:pStyle w:val="BodyEE"/>
      </w:pPr>
      <w:r w:rsidRPr="00D13AF1">
        <w:t xml:space="preserve">General practices are encouraged to reach written prior agreement with participating specialists on relevant key risk management protocols. </w:t>
      </w:r>
    </w:p>
    <w:p w14:paraId="592CF452" w14:textId="77777777" w:rsidR="00255B2F" w:rsidRPr="00D13AF1" w:rsidRDefault="00255B2F" w:rsidP="00AD4CAF">
      <w:pPr>
        <w:pStyle w:val="BodyEE"/>
      </w:pPr>
      <w:r w:rsidRPr="00D13AF1">
        <w:t xml:space="preserve">Where a GP delegates another clinician to provide clinical support at the patient-end of a video consultation with a distant specialist, the GP should nominate a colleague with the requisite knowledge, skills and experience to act on their behalf. GPs need to be aware that the choice of support clinician may influence decisions about the clinical appropriateness of a video consultation. </w:t>
      </w:r>
    </w:p>
    <w:p w14:paraId="2CA5D052" w14:textId="77777777" w:rsidR="00255B2F" w:rsidRPr="00D13AF1" w:rsidRDefault="00255B2F" w:rsidP="006B11E7">
      <w:pPr>
        <w:pStyle w:val="EmphasisPink"/>
        <w:keepNext/>
        <w:rPr>
          <w:i/>
        </w:rPr>
      </w:pPr>
      <w:r w:rsidRPr="00D13AF1">
        <w:rPr>
          <w:i/>
        </w:rPr>
        <w:t>Establishing a practice directory of participating specialists</w:t>
      </w:r>
    </w:p>
    <w:p w14:paraId="7035AE28" w14:textId="1955470F" w:rsidR="00255B2F" w:rsidRPr="00D13AF1" w:rsidRDefault="00255B2F" w:rsidP="00255B2F">
      <w:pPr>
        <w:pStyle w:val="BodyEE"/>
      </w:pPr>
      <w:r w:rsidRPr="00D13AF1">
        <w:t xml:space="preserve">To maintain the continuity of safe and high quality healthcare, general practices are encouraged to keep working with specialists who are already known to the practice or who are already involved in a patient’s care. Where a general practice decides to refer patients to specialists who have video conference facilities but are not already known to clinicians or patients of the practice, the practice should confirm that such specialists are listed on the relevant Australian register of medical practitioners. </w:t>
      </w:r>
    </w:p>
    <w:p w14:paraId="5667229A" w14:textId="77777777" w:rsidR="00255B2F" w:rsidRPr="00D13AF1" w:rsidRDefault="00255B2F" w:rsidP="006B11E7">
      <w:pPr>
        <w:pStyle w:val="EmphasisPink"/>
        <w:keepNext/>
        <w:rPr>
          <w:i/>
        </w:rPr>
      </w:pPr>
      <w:r w:rsidRPr="00D13AF1">
        <w:rPr>
          <w:i/>
        </w:rPr>
        <w:t xml:space="preserve">Professional indemnity </w:t>
      </w:r>
    </w:p>
    <w:p w14:paraId="4DA74157" w14:textId="77777777" w:rsidR="00255B2F" w:rsidRPr="00D13AF1" w:rsidRDefault="00255B2F" w:rsidP="00255B2F">
      <w:pPr>
        <w:pStyle w:val="BodyEE"/>
      </w:pPr>
      <w:r w:rsidRPr="00D13AF1">
        <w:t xml:space="preserve">The general practice should confirm that GPs, practice nurses and registered Aboriginal health workers have suitable professional indemnity for video consultations (whether provided by a medical defence organisation, employer or commercial insurer) and whether any exclusions such as initial consultations may apply. </w:t>
      </w:r>
    </w:p>
    <w:p w14:paraId="248286D1" w14:textId="77777777" w:rsidR="00255B2F" w:rsidRPr="00D13AF1" w:rsidRDefault="00255B2F" w:rsidP="006B11E7">
      <w:pPr>
        <w:pStyle w:val="EmphasisPink"/>
        <w:rPr>
          <w:i/>
        </w:rPr>
      </w:pPr>
      <w:r w:rsidRPr="00D13AF1">
        <w:rPr>
          <w:i/>
        </w:rPr>
        <w:t>Additional information for referral letters</w:t>
      </w:r>
    </w:p>
    <w:p w14:paraId="3E7ABC18" w14:textId="77777777" w:rsidR="00255B2F" w:rsidRPr="00D13AF1" w:rsidRDefault="00255B2F" w:rsidP="00255B2F">
      <w:pPr>
        <w:pStyle w:val="BodyEE"/>
      </w:pPr>
      <w:r w:rsidRPr="00D13AF1">
        <w:t>General practices offering video consultation services should follow their standard protocols for referral letters to specialists and include additional key information such as:</w:t>
      </w:r>
    </w:p>
    <w:p w14:paraId="058EB918" w14:textId="5DC11078" w:rsidR="00255B2F" w:rsidRPr="00D13AF1" w:rsidRDefault="00255B2F" w:rsidP="00AD4CAF">
      <w:pPr>
        <w:pStyle w:val="Bulletlevel1"/>
      </w:pPr>
      <w:r w:rsidRPr="00D13AF1">
        <w:t>the rationale for a proposed video consultation</w:t>
      </w:r>
      <w:r w:rsidR="00AD4CAF" w:rsidRPr="00D13AF1">
        <w:t>,</w:t>
      </w:r>
    </w:p>
    <w:p w14:paraId="4F5F6F10" w14:textId="233F6C5A" w:rsidR="00255B2F" w:rsidRPr="00D13AF1" w:rsidRDefault="00255B2F" w:rsidP="00AD4CAF">
      <w:pPr>
        <w:pStyle w:val="Bulletlevel1"/>
      </w:pPr>
      <w:r w:rsidRPr="00D13AF1">
        <w:t>any extra clinical information that may assist a distant specialist to confirm whether a video consultation would be safe and clinically appropriate (e</w:t>
      </w:r>
      <w:r w:rsidR="00AD4CAF" w:rsidRPr="00D13AF1">
        <w:t>.</w:t>
      </w:r>
      <w:r w:rsidRPr="00D13AF1">
        <w:t>g. still images of a wound or skin lesion)</w:t>
      </w:r>
      <w:r w:rsidR="00AD4CAF" w:rsidRPr="00D13AF1">
        <w:t>,</w:t>
      </w:r>
    </w:p>
    <w:p w14:paraId="1B348C23" w14:textId="77777777" w:rsidR="00255B2F" w:rsidRPr="00D13AF1" w:rsidRDefault="00255B2F" w:rsidP="00AD4CAF">
      <w:pPr>
        <w:pStyle w:val="Bulletlevel1"/>
      </w:pPr>
      <w:r w:rsidRPr="00D13AF1">
        <w:t xml:space="preserve">the proposed clinical support person if patient-end clinical support is indicated. </w:t>
      </w:r>
    </w:p>
    <w:p w14:paraId="49F0CD97" w14:textId="77777777" w:rsidR="00255B2F" w:rsidRPr="00D13AF1" w:rsidRDefault="00255B2F" w:rsidP="00255B2F">
      <w:pPr>
        <w:pStyle w:val="BodyEE"/>
      </w:pPr>
      <w:r w:rsidRPr="00D13AF1">
        <w:t>In addition to the referral letter, practices are encouraged to send specialists a separate video consultation booking checklist covering standard information about the practical aspects of the video consultation.</w:t>
      </w:r>
    </w:p>
    <w:p w14:paraId="360C0082" w14:textId="77777777" w:rsidR="00255B2F" w:rsidRPr="00D13AF1" w:rsidRDefault="00255B2F" w:rsidP="006B11E7">
      <w:pPr>
        <w:pStyle w:val="EmphasisPink"/>
        <w:keepNext/>
        <w:rPr>
          <w:i/>
        </w:rPr>
      </w:pPr>
      <w:r w:rsidRPr="00D13AF1">
        <w:rPr>
          <w:i/>
        </w:rPr>
        <w:t xml:space="preserve">Culturally appropriate care </w:t>
      </w:r>
    </w:p>
    <w:p w14:paraId="057C4F3A" w14:textId="77777777" w:rsidR="00255B2F" w:rsidRPr="00D13AF1" w:rsidRDefault="00255B2F" w:rsidP="00255B2F">
      <w:pPr>
        <w:pStyle w:val="BodyEE"/>
      </w:pPr>
      <w:r w:rsidRPr="00D13AF1">
        <w:t>General practices should be mindful of cultural sensitivities about personal images and the recording of personal images. Where an interpreter is required, qualified medical interpreters are recommended and the practice should make technical provision for a separate audio lead where the interpreter is not present in person.</w:t>
      </w:r>
    </w:p>
    <w:p w14:paraId="0CF808F0" w14:textId="77777777" w:rsidR="00255B2F" w:rsidRPr="00D13AF1" w:rsidRDefault="00255B2F" w:rsidP="006B11E7">
      <w:pPr>
        <w:pStyle w:val="EmphasisPink"/>
        <w:keepNext/>
        <w:rPr>
          <w:i/>
        </w:rPr>
      </w:pPr>
      <w:r w:rsidRPr="00D13AF1">
        <w:rPr>
          <w:i/>
        </w:rPr>
        <w:lastRenderedPageBreak/>
        <w:t xml:space="preserve">Patient consent </w:t>
      </w:r>
    </w:p>
    <w:p w14:paraId="227BA0C0" w14:textId="77777777" w:rsidR="00255B2F" w:rsidRPr="00D13AF1" w:rsidRDefault="00255B2F" w:rsidP="00255B2F">
      <w:pPr>
        <w:pStyle w:val="BodyEE"/>
      </w:pPr>
      <w:r w:rsidRPr="00D13AF1">
        <w:t>For a video consultation with a specialist at a distant location, it remains the patient’s prerogative to consent/not consent in advance to parties other than the patient, a support clinician (if indicated) and specialist being present during the consultation.</w:t>
      </w:r>
    </w:p>
    <w:p w14:paraId="7BD2BD1D" w14:textId="77777777" w:rsidR="00255B2F" w:rsidRPr="00D13AF1" w:rsidRDefault="00255B2F" w:rsidP="006B11E7">
      <w:pPr>
        <w:pStyle w:val="EmphasisPink"/>
        <w:keepNext/>
        <w:rPr>
          <w:i/>
        </w:rPr>
      </w:pPr>
      <w:r w:rsidRPr="00D13AF1">
        <w:rPr>
          <w:i/>
        </w:rPr>
        <w:t>Additional training for video consultations</w:t>
      </w:r>
    </w:p>
    <w:p w14:paraId="5EADF9CB" w14:textId="77777777" w:rsidR="00255B2F" w:rsidRPr="00D13AF1" w:rsidRDefault="00255B2F" w:rsidP="00255B2F">
      <w:pPr>
        <w:pStyle w:val="BodyEE"/>
        <w:rPr>
          <w:rFonts w:asciiTheme="minorHAnsi" w:eastAsiaTheme="minorHAnsi" w:hAnsiTheme="minorHAnsi" w:cs="Calibri"/>
          <w:color w:val="38383A" w:themeColor="text2"/>
          <w:szCs w:val="18"/>
        </w:rPr>
      </w:pPr>
      <w:r w:rsidRPr="00D13AF1">
        <w:t xml:space="preserve">Where a general practice offers video consultations, GPs should have appropriate training in key components </w:t>
      </w:r>
      <w:r w:rsidRPr="00D13AF1">
        <w:rPr>
          <w:rFonts w:asciiTheme="minorHAnsi" w:eastAsiaTheme="minorHAnsi" w:hAnsiTheme="minorHAnsi" w:cs="Calibri"/>
          <w:color w:val="38383A" w:themeColor="text2"/>
          <w:szCs w:val="18"/>
        </w:rPr>
        <w:t xml:space="preserve">of the practice’s video consultation system. </w:t>
      </w:r>
    </w:p>
    <w:p w14:paraId="5354CF1D" w14:textId="77777777" w:rsidR="00255B2F" w:rsidRPr="00D13AF1" w:rsidRDefault="00255B2F" w:rsidP="006B11E7">
      <w:pPr>
        <w:pStyle w:val="EmphasisPink"/>
        <w:keepNext/>
        <w:rPr>
          <w:i/>
        </w:rPr>
      </w:pPr>
      <w:r w:rsidRPr="00D13AF1">
        <w:rPr>
          <w:i/>
        </w:rPr>
        <w:t>Reliable and secure technical systems fit for clinical purposes</w:t>
      </w:r>
    </w:p>
    <w:p w14:paraId="779A7ABA" w14:textId="77777777" w:rsidR="00255B2F" w:rsidRPr="00D13AF1" w:rsidRDefault="00255B2F" w:rsidP="00255B2F">
      <w:pPr>
        <w:pStyle w:val="BodyEE"/>
      </w:pPr>
      <w:r w:rsidRPr="00D13AF1">
        <w:t xml:space="preserve">For the purpose of these Standards, the technical systems needed to support safe, secure and effective video consultations are deemed to be ‘medical’ as opposed to ‘office’ equipment. </w:t>
      </w:r>
    </w:p>
    <w:p w14:paraId="01E9E82B" w14:textId="77777777" w:rsidR="00255B2F" w:rsidRPr="00D13AF1" w:rsidRDefault="00255B2F" w:rsidP="00255B2F">
      <w:pPr>
        <w:pStyle w:val="Heading3Pink"/>
      </w:pPr>
      <w:r w:rsidRPr="00D13AF1">
        <w:t>Cross-jurisdiction issues in telemedicine</w:t>
      </w:r>
    </w:p>
    <w:p w14:paraId="39FA9B32" w14:textId="262C5D9B" w:rsidR="0072545D" w:rsidRPr="00D13AF1" w:rsidRDefault="0072545D" w:rsidP="0072545D">
      <w:pPr>
        <w:pStyle w:val="BodyEE"/>
      </w:pPr>
      <w:r w:rsidRPr="00D13AF1">
        <w:t xml:space="preserve">The RACGP has not made a statement on the issue of cross-jurisdiction in telemedicine. </w:t>
      </w:r>
    </w:p>
    <w:p w14:paraId="057C6037" w14:textId="77777777" w:rsidR="00255B2F" w:rsidRPr="00D13AF1" w:rsidRDefault="00255B2F" w:rsidP="00255B2F">
      <w:pPr>
        <w:pStyle w:val="Heading2Pink"/>
      </w:pPr>
      <w:bookmarkStart w:id="107" w:name="_Toc504484141"/>
      <w:r w:rsidRPr="00D13AF1">
        <w:t>AMA (Australian Medical Association)</w:t>
      </w:r>
      <w:bookmarkEnd w:id="107"/>
    </w:p>
    <w:p w14:paraId="0F83C001" w14:textId="77777777" w:rsidR="00255B2F" w:rsidRPr="00D13AF1" w:rsidRDefault="00255B2F" w:rsidP="00255B2F">
      <w:pPr>
        <w:pStyle w:val="Heading3Pink"/>
      </w:pPr>
      <w:r w:rsidRPr="00D13AF1">
        <w:t>Definition of telemedicine</w:t>
      </w:r>
    </w:p>
    <w:p w14:paraId="4C699C4D" w14:textId="77777777" w:rsidR="00255B2F" w:rsidRPr="00D13AF1" w:rsidRDefault="00255B2F" w:rsidP="00255B2F">
      <w:pPr>
        <w:pStyle w:val="BodyEE"/>
      </w:pPr>
      <w:r w:rsidRPr="00D13AF1">
        <w:t xml:space="preserve">According to the AMA Position Statement on </w:t>
      </w:r>
      <w:r w:rsidRPr="00D13AF1">
        <w:rPr>
          <w:i/>
        </w:rPr>
        <w:t xml:space="preserve">On-Line and Other Broadband Connected Medical Consultations, </w:t>
      </w:r>
      <w:r w:rsidRPr="00D13AF1">
        <w:t xml:space="preserve">telemedicine refers to </w:t>
      </w:r>
    </w:p>
    <w:p w14:paraId="6EA290BC" w14:textId="77777777" w:rsidR="00205DCE" w:rsidRPr="00D13AF1" w:rsidRDefault="00255B2F" w:rsidP="00205DCE">
      <w:pPr>
        <w:pStyle w:val="LongQuotePurple"/>
        <w:rPr>
          <w:rStyle w:val="LongQuotePinkChar"/>
          <w:color w:val="683493" w:themeColor="accent1"/>
          <w:shd w:val="clear" w:color="auto" w:fill="auto"/>
        </w:rPr>
      </w:pPr>
      <w:r w:rsidRPr="00D13AF1">
        <w:rPr>
          <w:rStyle w:val="LongQuotePinkChar"/>
          <w:color w:val="683493" w:themeColor="accent1"/>
          <w:shd w:val="clear" w:color="auto" w:fill="auto"/>
        </w:rPr>
        <w:t xml:space="preserve">On-line e-mail and other forms of broadband connected consultations into [GPs and medical providers’] patient care”, as well as “non face-to-face health services provided through either on-line or other telecommunication systems </w:t>
      </w:r>
    </w:p>
    <w:p w14:paraId="0A9E1E8A" w14:textId="6D975CA7" w:rsidR="00255B2F" w:rsidRPr="00D13AF1" w:rsidRDefault="00255B2F" w:rsidP="00205DCE">
      <w:pPr>
        <w:pStyle w:val="LongQuotePurple"/>
      </w:pPr>
      <w:r w:rsidRPr="00D13AF1">
        <w:rPr>
          <w:rStyle w:val="LongQuotePinkChar"/>
          <w:color w:val="683493" w:themeColor="accent1"/>
          <w:shd w:val="clear" w:color="auto" w:fill="auto"/>
        </w:rPr>
        <w:t>- AMA</w:t>
      </w:r>
      <w:r w:rsidRPr="00D13AF1">
        <w:t xml:space="preserve"> </w:t>
      </w:r>
    </w:p>
    <w:p w14:paraId="6F0646C8" w14:textId="77777777" w:rsidR="00255B2F" w:rsidRPr="00D13AF1" w:rsidRDefault="00255B2F" w:rsidP="00255B2F">
      <w:pPr>
        <w:pStyle w:val="Heading3Pink"/>
      </w:pPr>
      <w:r w:rsidRPr="00D13AF1">
        <w:t>Regulation of individual doctors who provide telemedicine services</w:t>
      </w:r>
    </w:p>
    <w:p w14:paraId="5ED65EC4" w14:textId="77777777" w:rsidR="00255B2F" w:rsidRPr="00D13AF1" w:rsidRDefault="00255B2F" w:rsidP="00255B2F">
      <w:pPr>
        <w:pStyle w:val="ListParagraph"/>
      </w:pPr>
    </w:p>
    <w:p w14:paraId="60FE65A2" w14:textId="77777777" w:rsidR="00255B2F" w:rsidRPr="00D13AF1" w:rsidRDefault="00255B2F" w:rsidP="00255B2F">
      <w:pPr>
        <w:pStyle w:val="BodyEE"/>
      </w:pPr>
      <w:r w:rsidRPr="00D13AF1">
        <w:t>The AMA, recognising that increasing numbers of medical providers are incorporating online and other forms of telecommunications consultations into their patient care, agrees that the following principles, in conjunction with principles that may be developed by specific craft groups to meet the needs and practices of their members, must guide the provision of such consultations systems and that such services must:</w:t>
      </w:r>
    </w:p>
    <w:p w14:paraId="1A8DEF4A" w14:textId="77777777" w:rsidR="00255B2F" w:rsidRPr="00D13AF1" w:rsidRDefault="00255B2F" w:rsidP="00255B2F">
      <w:pPr>
        <w:pStyle w:val="Bulletlevel1"/>
      </w:pPr>
      <w:r w:rsidRPr="00D13AF1">
        <w:t>only be used as an adjunct to normal medical practice;</w:t>
      </w:r>
    </w:p>
    <w:p w14:paraId="5221B1E3" w14:textId="77777777" w:rsidR="00255B2F" w:rsidRPr="00D13AF1" w:rsidRDefault="00255B2F" w:rsidP="00255B2F">
      <w:pPr>
        <w:pStyle w:val="Bulletlevel1"/>
      </w:pPr>
      <w:r w:rsidRPr="00D13AF1">
        <w:t>only replace services where the quality and safety of patient care is not compromised including where they provide access to medical care services in areas where such services are otherwise unavailable;</w:t>
      </w:r>
    </w:p>
    <w:p w14:paraId="71B240A8" w14:textId="77777777" w:rsidR="00255B2F" w:rsidRPr="00D13AF1" w:rsidRDefault="00255B2F" w:rsidP="00255B2F">
      <w:pPr>
        <w:pStyle w:val="Bulletlevel1"/>
      </w:pPr>
      <w:r w:rsidRPr="00D13AF1">
        <w:t>not replace face-to-face consultations where the provision of quality care requires a face-to-face consultation;</w:t>
      </w:r>
    </w:p>
    <w:p w14:paraId="5E675C26" w14:textId="77777777" w:rsidR="00255B2F" w:rsidRPr="00D13AF1" w:rsidRDefault="00255B2F" w:rsidP="00255B2F">
      <w:pPr>
        <w:pStyle w:val="Bulletlevel1"/>
      </w:pPr>
      <w:r w:rsidRPr="00D13AF1">
        <w:t>incorporate the ultimate right of the doctor to determine whether consultation or provision of specific advice or care on-line is appropriate in any circumstance;</w:t>
      </w:r>
    </w:p>
    <w:p w14:paraId="3E470608" w14:textId="77777777" w:rsidR="00255B2F" w:rsidRPr="00D13AF1" w:rsidRDefault="00255B2F" w:rsidP="00255B2F">
      <w:pPr>
        <w:pStyle w:val="Bulletlevel1"/>
      </w:pPr>
      <w:r w:rsidRPr="00D13AF1">
        <w:t>incorporate the ultimate right of the doctor to determine whether or not he/she will provide any medical care to any patient on-line;</w:t>
      </w:r>
    </w:p>
    <w:p w14:paraId="45BF2DC8" w14:textId="77777777" w:rsidR="00255B2F" w:rsidRPr="00D13AF1" w:rsidRDefault="00255B2F" w:rsidP="00255B2F">
      <w:pPr>
        <w:pStyle w:val="Bulletlevel1"/>
      </w:pPr>
      <w:r w:rsidRPr="00D13AF1">
        <w:t>ensure that medical records reflect the content of on-line consultations as with any other medical record;</w:t>
      </w:r>
    </w:p>
    <w:p w14:paraId="524C396E" w14:textId="27CF152E" w:rsidR="00255B2F" w:rsidRPr="00D13AF1" w:rsidRDefault="00255B2F" w:rsidP="00255B2F">
      <w:pPr>
        <w:pStyle w:val="Bulletlevel1"/>
      </w:pPr>
      <w:r w:rsidRPr="00D13AF1">
        <w:t>normally only be available to patients that have an established relationship with the doctor or the practice</w:t>
      </w:r>
      <w:r w:rsidR="00412B9F" w:rsidRPr="00D13AF1">
        <w:t xml:space="preserve"> — t</w:t>
      </w:r>
      <w:r w:rsidRPr="00D13AF1">
        <w:t xml:space="preserve">he AMA does not support the provision of on-line consultations between medical practitioners and </w:t>
      </w:r>
      <w:r w:rsidRPr="00D13AF1">
        <w:lastRenderedPageBreak/>
        <w:t>patients where no established relationship exists unless there is no practical alternative or where they are employed to access medical care services in areas where such services may otherwise be unavailable;</w:t>
      </w:r>
    </w:p>
    <w:p w14:paraId="514420C1" w14:textId="77777777" w:rsidR="00255B2F" w:rsidRPr="00D13AF1" w:rsidRDefault="00255B2F" w:rsidP="00255B2F">
      <w:pPr>
        <w:pStyle w:val="Bulletlevel1"/>
      </w:pPr>
      <w:r w:rsidRPr="00D13AF1">
        <w:t>reflect, in associated protocols or guidelines, that the duty of care remains unchanged;</w:t>
      </w:r>
    </w:p>
    <w:p w14:paraId="3DA96641" w14:textId="77777777" w:rsidR="00255B2F" w:rsidRPr="00D13AF1" w:rsidRDefault="00255B2F" w:rsidP="00255B2F">
      <w:pPr>
        <w:pStyle w:val="Bulletlevel1"/>
      </w:pPr>
      <w:r w:rsidRPr="00D13AF1">
        <w:t>where offered to patients with an established relationship with the doctor or practice be underpinned by signed patient agreement to strict written terms and conditions for eligibility to use that also outline the limitations on the type of care that will be provided through the system and the right of the doctor to determine whether the provision of any advice or care through such a system is inappropriate;</w:t>
      </w:r>
    </w:p>
    <w:p w14:paraId="26C492CC" w14:textId="316A2DC7" w:rsidR="00255B2F" w:rsidRPr="00D13AF1" w:rsidRDefault="00255B2F" w:rsidP="00255B2F">
      <w:pPr>
        <w:pStyle w:val="Bulletlevel1"/>
      </w:pPr>
      <w:r w:rsidRPr="00D13AF1">
        <w:t>provide for the registration of all patients who wish to use the system with access based on a minimum of user name and password</w:t>
      </w:r>
      <w:r w:rsidR="006071C9" w:rsidRPr="00D13AF1">
        <w:t xml:space="preserve"> — t</w:t>
      </w:r>
      <w:r w:rsidRPr="00D13AF1">
        <w:t>he AMA encourages the use of stronger authentication mechanisms;</w:t>
      </w:r>
    </w:p>
    <w:p w14:paraId="5E406503" w14:textId="77777777" w:rsidR="00255B2F" w:rsidRPr="00D13AF1" w:rsidRDefault="00255B2F" w:rsidP="00255B2F">
      <w:pPr>
        <w:pStyle w:val="Bulletlevel1"/>
      </w:pPr>
      <w:r w:rsidRPr="00D13AF1">
        <w:t>be compliant with appropriate standards around hardware and software, secure transmission of data and communications, including appropriate encryption.</w:t>
      </w:r>
      <w:r w:rsidRPr="00D13AF1">
        <w:rPr>
          <w:rStyle w:val="FootnoteReference"/>
        </w:rPr>
        <w:footnoteReference w:id="70"/>
      </w:r>
    </w:p>
    <w:p w14:paraId="67701A2D" w14:textId="77777777" w:rsidR="00255B2F" w:rsidRPr="00D13AF1" w:rsidRDefault="00255B2F" w:rsidP="00255B2F">
      <w:pPr>
        <w:pStyle w:val="Heading3Pink"/>
      </w:pPr>
      <w:r w:rsidRPr="00D13AF1">
        <w:t>Cross-jurisdiction issues in telemedicine</w:t>
      </w:r>
    </w:p>
    <w:p w14:paraId="52A91460" w14:textId="77777777" w:rsidR="00255B2F" w:rsidRPr="00D13AF1" w:rsidRDefault="00255B2F" w:rsidP="00255B2F">
      <w:pPr>
        <w:pStyle w:val="BodyEE"/>
      </w:pPr>
      <w:r w:rsidRPr="00D13AF1">
        <w:t xml:space="preserve">The AMA has not issued an official statement on cross-jurisdiction issues. </w:t>
      </w:r>
    </w:p>
    <w:p w14:paraId="3B7F9386" w14:textId="77777777" w:rsidR="00255B2F" w:rsidRPr="00D13AF1" w:rsidRDefault="00255B2F" w:rsidP="00255B2F">
      <w:pPr>
        <w:pStyle w:val="Heading2Pink"/>
      </w:pPr>
      <w:bookmarkStart w:id="108" w:name="_Toc504484142"/>
      <w:r w:rsidRPr="00D13AF1">
        <w:t>The Royal Australasian College of Physicians</w:t>
      </w:r>
      <w:bookmarkEnd w:id="108"/>
    </w:p>
    <w:p w14:paraId="284B3DB1" w14:textId="77777777" w:rsidR="00255B2F" w:rsidRPr="00D13AF1" w:rsidRDefault="00255B2F" w:rsidP="00255B2F">
      <w:pPr>
        <w:pStyle w:val="Heading3Pink"/>
      </w:pPr>
      <w:r w:rsidRPr="00D13AF1">
        <w:t>Definition of telemedicine</w:t>
      </w:r>
    </w:p>
    <w:p w14:paraId="698A8A1D" w14:textId="77777777" w:rsidR="00255B2F" w:rsidRPr="00D13AF1" w:rsidRDefault="00255B2F" w:rsidP="00BB76A6">
      <w:pPr>
        <w:pStyle w:val="BodyEE"/>
        <w:keepNext/>
      </w:pPr>
      <w:r w:rsidRPr="00D13AF1">
        <w:t xml:space="preserve">The Royal Australian College of Physicians has defined telehealth in its publication “Telehealth: Guidelines and practical tips”, as: </w:t>
      </w:r>
    </w:p>
    <w:p w14:paraId="785292CD" w14:textId="77777777" w:rsidR="00205DCE" w:rsidRPr="00D13AF1" w:rsidRDefault="00255B2F" w:rsidP="00205DCE">
      <w:pPr>
        <w:pStyle w:val="LongQuotePurple"/>
      </w:pPr>
      <w:r w:rsidRPr="00D13AF1">
        <w:t>Telehealth, in the context of the Australian healthcare setting, can be defined as the use of videoconferencing technologies to conduct a medical consultation where audio and visual information is exchanged in real time.</w:t>
      </w:r>
      <w:r w:rsidR="006833E5" w:rsidRPr="00D13AF1">
        <w:t xml:space="preserve"> </w:t>
      </w:r>
    </w:p>
    <w:p w14:paraId="02E15A13" w14:textId="12D6AADA" w:rsidR="00255B2F" w:rsidRPr="00D13AF1" w:rsidRDefault="006833E5" w:rsidP="00205DCE">
      <w:pPr>
        <w:pStyle w:val="LongQuotePurple"/>
      </w:pPr>
      <w:r w:rsidRPr="00D13AF1">
        <w:t xml:space="preserve">— </w:t>
      </w:r>
      <w:r w:rsidR="00255B2F" w:rsidRPr="00D13AF1">
        <w:t>Royal Australian College of Physicians</w:t>
      </w:r>
    </w:p>
    <w:p w14:paraId="1A492EB8" w14:textId="77777777" w:rsidR="00255B2F" w:rsidRPr="00D13AF1" w:rsidRDefault="00255B2F" w:rsidP="00255B2F">
      <w:pPr>
        <w:pStyle w:val="BodyEE"/>
      </w:pPr>
      <w:r w:rsidRPr="00D13AF1">
        <w:t>Telehealth can be conducted between a specialist and patient in the presence of their general practitioner or other health worker, or can be conducted with no medical support at the patient end.</w:t>
      </w:r>
      <w:r w:rsidRPr="00D13AF1">
        <w:rPr>
          <w:rStyle w:val="FootnoteReference"/>
        </w:rPr>
        <w:footnoteReference w:id="71"/>
      </w:r>
    </w:p>
    <w:p w14:paraId="04921BF2" w14:textId="77777777" w:rsidR="00255B2F" w:rsidRPr="00D13AF1" w:rsidRDefault="00255B2F" w:rsidP="00255B2F">
      <w:pPr>
        <w:pStyle w:val="BodyEE"/>
      </w:pPr>
      <w:r w:rsidRPr="00D13AF1">
        <w:t>In the Glossary of the document, telehealth is defined as usually “the provision of health care from a distance”, but notes that these Guidelines refer specifically to consultations conducted via videoconference.</w:t>
      </w:r>
    </w:p>
    <w:p w14:paraId="7446C7E3" w14:textId="77777777" w:rsidR="00255B2F" w:rsidRPr="00D13AF1" w:rsidRDefault="00255B2F" w:rsidP="00255B2F">
      <w:pPr>
        <w:pStyle w:val="Heading3Pink"/>
      </w:pPr>
      <w:r w:rsidRPr="00D13AF1">
        <w:t>Regulation of individual doctors who provide telemedicine services</w:t>
      </w:r>
    </w:p>
    <w:p w14:paraId="5A6F396A" w14:textId="13FDF9DF" w:rsidR="00255B2F" w:rsidRPr="00D13AF1" w:rsidRDefault="00255B2F" w:rsidP="00255B2F">
      <w:pPr>
        <w:pStyle w:val="BodyEE"/>
      </w:pPr>
      <w:r w:rsidRPr="00D13AF1">
        <w:t>The Guidelines focus on a few aspects of telehealth provision</w:t>
      </w:r>
      <w:r w:rsidR="00BB76A6" w:rsidRPr="00D13AF1">
        <w:t>.</w:t>
      </w:r>
      <w:r w:rsidRPr="00D13AF1">
        <w:rPr>
          <w:rStyle w:val="FootnoteReference"/>
        </w:rPr>
        <w:footnoteReference w:id="72"/>
      </w:r>
    </w:p>
    <w:p w14:paraId="77FA6B59" w14:textId="77777777" w:rsidR="00255B2F" w:rsidRPr="00D13AF1" w:rsidRDefault="00255B2F" w:rsidP="00BB76A6">
      <w:pPr>
        <w:pStyle w:val="EmphasisPink"/>
        <w:rPr>
          <w:i/>
        </w:rPr>
      </w:pPr>
      <w:r w:rsidRPr="00D13AF1">
        <w:rPr>
          <w:i/>
        </w:rPr>
        <w:t>Clinical aspects of telehealth</w:t>
      </w:r>
    </w:p>
    <w:p w14:paraId="5CF53F59" w14:textId="77777777" w:rsidR="00255B2F" w:rsidRPr="00D13AF1" w:rsidRDefault="00255B2F" w:rsidP="00BB76A6">
      <w:pPr>
        <w:pStyle w:val="Bulletlevel1"/>
      </w:pPr>
      <w:r w:rsidRPr="00D13AF1">
        <w:t>Physicians should determine which patients are suitable for telehealth based on available resources, technology and the urgency of medical care.</w:t>
      </w:r>
    </w:p>
    <w:p w14:paraId="478C29A6" w14:textId="77777777" w:rsidR="00255B2F" w:rsidRPr="00D13AF1" w:rsidRDefault="00255B2F" w:rsidP="00BB76A6">
      <w:pPr>
        <w:pStyle w:val="Bulletlevel1"/>
      </w:pPr>
      <w:r w:rsidRPr="00D13AF1">
        <w:t>Physicians providing telehealth consultation services should determine whether a telehealth consultation is the most appropriate type of consultation for each patient.</w:t>
      </w:r>
    </w:p>
    <w:p w14:paraId="6726A9DB" w14:textId="77777777" w:rsidR="00255B2F" w:rsidRPr="00D13AF1" w:rsidRDefault="00255B2F" w:rsidP="00BB76A6">
      <w:pPr>
        <w:pStyle w:val="Bulletlevel1"/>
      </w:pPr>
      <w:r w:rsidRPr="00D13AF1">
        <w:t>The patient and/or their informal carer need to be able and willing to participate in the telehealth consultation.</w:t>
      </w:r>
    </w:p>
    <w:p w14:paraId="514F2D9E" w14:textId="3B6A036E" w:rsidR="00255B2F" w:rsidRPr="00D13AF1" w:rsidRDefault="00255B2F" w:rsidP="00BB76A6">
      <w:pPr>
        <w:pStyle w:val="Bulletlevel1"/>
      </w:pPr>
      <w:r w:rsidRPr="00D13AF1">
        <w:lastRenderedPageBreak/>
        <w:t xml:space="preserve">The decision to use telehealth incorporates the following factors: Clinical, continuity of care, shared care, and the best model of care for the individual; Practical, availability of appropriate technology and patient-end support. The quality of the technology at the remote site will play a significant role in the information gained during the clinical consultation; </w:t>
      </w:r>
      <w:r w:rsidR="00A45A2D">
        <w:t>p</w:t>
      </w:r>
      <w:r w:rsidR="00A45A2D" w:rsidRPr="00D13AF1">
        <w:t xml:space="preserve">atients’ </w:t>
      </w:r>
      <w:r w:rsidRPr="00D13AF1">
        <w:t>needs: ability of the patient to travel, plus their family, work and cultural situation. Physicians should also consider the patient’s capacity to participate. For example, a video consultation may be inappropriate for patients with vision or hearing impairments.</w:t>
      </w:r>
    </w:p>
    <w:p w14:paraId="6595F84A" w14:textId="068D00FD" w:rsidR="00255B2F" w:rsidRPr="00D13AF1" w:rsidRDefault="006833E5" w:rsidP="00BB76A6">
      <w:pPr>
        <w:pStyle w:val="Bulletlevel1"/>
      </w:pPr>
      <w:r w:rsidRPr="00D13AF1">
        <w:t>W</w:t>
      </w:r>
      <w:r w:rsidR="00255B2F" w:rsidRPr="00D13AF1">
        <w:t>herever possible, and with the patient’s consent, in cases where a local healthcare provider is already involved in the patient’s care, physicians should support the continuation of the patient’s relationship with local healthcare providers.</w:t>
      </w:r>
    </w:p>
    <w:p w14:paraId="45630C52" w14:textId="3C8A7BC2" w:rsidR="00255B2F" w:rsidRPr="00D13AF1" w:rsidRDefault="006833E5" w:rsidP="00BB76A6">
      <w:pPr>
        <w:pStyle w:val="Bulletlevel1"/>
      </w:pPr>
      <w:r w:rsidRPr="00D13AF1">
        <w:t>E</w:t>
      </w:r>
      <w:r w:rsidR="00255B2F" w:rsidRPr="00D13AF1">
        <w:t>very effort should be made to facilitate the current healthcare provider’s direct involvement.</w:t>
      </w:r>
    </w:p>
    <w:p w14:paraId="03DC6CAD" w14:textId="77777777" w:rsidR="00255B2F" w:rsidRPr="00D13AF1" w:rsidRDefault="00255B2F" w:rsidP="00BB76A6">
      <w:pPr>
        <w:pStyle w:val="Bulletlevel1"/>
      </w:pPr>
      <w:r w:rsidRPr="00D13AF1">
        <w:t>Before conducting a telehealth consultation, physicians should ensure patients understand how the consultation will proceed.</w:t>
      </w:r>
    </w:p>
    <w:p w14:paraId="3A41D5E1" w14:textId="77777777" w:rsidR="00255B2F" w:rsidRPr="00D13AF1" w:rsidRDefault="00255B2F" w:rsidP="00BB76A6">
      <w:pPr>
        <w:pStyle w:val="Bulletlevel1"/>
      </w:pPr>
      <w:r w:rsidRPr="00D13AF1">
        <w:t>Physicians should be satisfied that patients have consented to participate in the telehealth consultation. In cases where the patient is not competent and does not have the capacity to give consent, consent should be obtained in the same way as in a face-to-face consultation.</w:t>
      </w:r>
    </w:p>
    <w:p w14:paraId="0AB6F8F3" w14:textId="77777777" w:rsidR="00255B2F" w:rsidRPr="00D13AF1" w:rsidRDefault="00255B2F" w:rsidP="00BB76A6">
      <w:pPr>
        <w:pStyle w:val="Bulletlevel1"/>
      </w:pPr>
      <w:r w:rsidRPr="00D13AF1">
        <w:t>In supported consultations, a health worker from the referring healthcare organisation is present with the patient for some or all of the video consultation with the specialist. The referring health worker should confirm the identity of the patient to the specialist or health service, and confirm the identity and credentials of the distant specialist to the patient.</w:t>
      </w:r>
    </w:p>
    <w:p w14:paraId="28793E72" w14:textId="77777777" w:rsidR="00255B2F" w:rsidRPr="00D13AF1" w:rsidRDefault="00255B2F" w:rsidP="00BB76A6">
      <w:pPr>
        <w:pStyle w:val="Bulletlevel1"/>
      </w:pPr>
      <w:r w:rsidRPr="00D13AF1">
        <w:t>For unsupported consultations, the patient may be alone or may elect to have a family member or carer present during the consultation. For the first unsupported consultation, the specialist and patient introduce themselves and the specialist provides some background information, including their credentials and experience.</w:t>
      </w:r>
    </w:p>
    <w:p w14:paraId="4E5D6FC8" w14:textId="77777777" w:rsidR="00255B2F" w:rsidRPr="00D13AF1" w:rsidRDefault="00255B2F" w:rsidP="00BB76A6">
      <w:pPr>
        <w:pStyle w:val="Bulletlevel1"/>
      </w:pPr>
      <w:r w:rsidRPr="00D13AF1">
        <w:t>Telehealth consultations should be private and confidential, and physicians should have processes in place to facilitate this as per standard face-to-face consultations. The patient’s privacy and confidentiality should be maintained at all times. The patient’s privacy is protected by considering what risks there are to privacy when using telehealth, and developing procedures to manage such risks.</w:t>
      </w:r>
    </w:p>
    <w:p w14:paraId="719639B9" w14:textId="77777777" w:rsidR="00255B2F" w:rsidRPr="00D13AF1" w:rsidRDefault="00255B2F" w:rsidP="00BB76A6">
      <w:pPr>
        <w:pStyle w:val="EmphasisPink"/>
        <w:keepNext/>
        <w:rPr>
          <w:i/>
        </w:rPr>
      </w:pPr>
      <w:r w:rsidRPr="00D13AF1">
        <w:rPr>
          <w:i/>
        </w:rPr>
        <w:t>Technical aspects of telehealth</w:t>
      </w:r>
    </w:p>
    <w:p w14:paraId="2B3167E4" w14:textId="77777777" w:rsidR="00255B2F" w:rsidRPr="00D13AF1" w:rsidRDefault="00255B2F" w:rsidP="00BB76A6">
      <w:pPr>
        <w:pStyle w:val="Bulletlevel1"/>
      </w:pPr>
      <w:r w:rsidRPr="00D13AF1">
        <w:t>The choice to use particular technologies rests with individual clinicians and is dependent on context.</w:t>
      </w:r>
    </w:p>
    <w:p w14:paraId="216B6F12" w14:textId="27BAA402" w:rsidR="00255B2F" w:rsidRPr="00D13AF1" w:rsidRDefault="00255B2F" w:rsidP="00BB76A6">
      <w:pPr>
        <w:pStyle w:val="Bulletlevel1"/>
      </w:pPr>
      <w:r w:rsidRPr="00D13AF1">
        <w:t>The information and communications technology used for telehealth should be fit for the clinical purpose of the consultation</w:t>
      </w:r>
      <w:r w:rsidR="006833E5" w:rsidRPr="00D13AF1">
        <w:t>.</w:t>
      </w:r>
    </w:p>
    <w:p w14:paraId="3190C5D4" w14:textId="77777777" w:rsidR="00255B2F" w:rsidRPr="00D13AF1" w:rsidRDefault="00255B2F" w:rsidP="00BB76A6">
      <w:pPr>
        <w:pStyle w:val="Bulletlevel1"/>
      </w:pPr>
      <w:r w:rsidRPr="00D13AF1">
        <w:t xml:space="preserve">Physicians should conduct a risk analysis to determine the likelihood and magnitude of foreseeable problems. </w:t>
      </w:r>
    </w:p>
    <w:p w14:paraId="1A022A03" w14:textId="77777777" w:rsidR="00255B2F" w:rsidRPr="00D13AF1" w:rsidRDefault="00255B2F" w:rsidP="00BB76A6">
      <w:pPr>
        <w:pStyle w:val="Bulletlevel1"/>
      </w:pPr>
      <w:r w:rsidRPr="00D13AF1">
        <w:t>Physicians should be mindful of the limitations of technology being used and have procedures in place for detecting, diagnosing and fixing equipment problems.</w:t>
      </w:r>
    </w:p>
    <w:p w14:paraId="60128051" w14:textId="77777777" w:rsidR="00255B2F" w:rsidRPr="00D13AF1" w:rsidRDefault="00255B2F" w:rsidP="00BB76A6">
      <w:pPr>
        <w:pStyle w:val="Bulletlevel1"/>
      </w:pPr>
      <w:r w:rsidRPr="00D13AF1">
        <w:t>Physicians should be mindful when choosing telehealth technology solutions that some consumer-based products do not offer support services.</w:t>
      </w:r>
    </w:p>
    <w:p w14:paraId="40D18B5A" w14:textId="77777777" w:rsidR="00255B2F" w:rsidRPr="00D13AF1" w:rsidRDefault="00255B2F" w:rsidP="00BB76A6">
      <w:pPr>
        <w:pStyle w:val="Bulletlevel1"/>
      </w:pPr>
      <w:r w:rsidRPr="00D13AF1">
        <w:t>Physicians should ensure they have a back-up plan in cases of equipment or connectivity failure, which is proportionate to the consequences of failure.</w:t>
      </w:r>
    </w:p>
    <w:p w14:paraId="41DBD310" w14:textId="3E32B519" w:rsidR="00255B2F" w:rsidRPr="00D13AF1" w:rsidRDefault="00255B2F" w:rsidP="00BB76A6">
      <w:pPr>
        <w:pStyle w:val="Bulletlevel1"/>
      </w:pPr>
      <w:r w:rsidRPr="00D13AF1">
        <w:t>If urgent medical assistance is likely to be provided by telehealth, physicians might consider installing an uninterruptible power supply and a second source of connectivity</w:t>
      </w:r>
      <w:r w:rsidR="006833E5" w:rsidRPr="00D13AF1">
        <w:t>.</w:t>
      </w:r>
    </w:p>
    <w:p w14:paraId="293CDEB6" w14:textId="77777777" w:rsidR="00255B2F" w:rsidRPr="00D13AF1" w:rsidRDefault="00255B2F" w:rsidP="00255B2F">
      <w:pPr>
        <w:pStyle w:val="Heading3Pink"/>
      </w:pPr>
      <w:r w:rsidRPr="00D13AF1">
        <w:t>Cross-jurisdiction issues in telemedicine</w:t>
      </w:r>
    </w:p>
    <w:p w14:paraId="1F38B40D" w14:textId="355B3D75" w:rsidR="00255B2F" w:rsidRPr="00D13AF1" w:rsidRDefault="00255B2F" w:rsidP="006833E5">
      <w:pPr>
        <w:pStyle w:val="BodyEE"/>
        <w:keepNext/>
      </w:pPr>
      <w:r w:rsidRPr="00D13AF1">
        <w:t>Although the Guidelines do not refer explicitly to cross-jurisdiction issue, they do discuss distance-related issues when providing specialist telehealth services</w:t>
      </w:r>
      <w:r w:rsidR="00820985" w:rsidRPr="00D13AF1">
        <w:t>.</w:t>
      </w:r>
    </w:p>
    <w:p w14:paraId="2058AE2F" w14:textId="77777777" w:rsidR="00255B2F" w:rsidRPr="00D13AF1" w:rsidRDefault="00255B2F" w:rsidP="00255B2F">
      <w:pPr>
        <w:pStyle w:val="BodyEE"/>
      </w:pPr>
      <w:r w:rsidRPr="00D13AF1">
        <w:t xml:space="preserve">Generally, services would not be provided across state boundaries except where there has been a tradition of referral from neighbouring interstate towns. It would be generally expected that in providing telehealth </w:t>
      </w:r>
      <w:r w:rsidRPr="00D13AF1">
        <w:lastRenderedPageBreak/>
        <w:t>consultations, the specialist has knowledge of the region and an ongoing rapport with the healthcare providers in that region. Ideally, outreach visits would be made to establish this rapport.</w:t>
      </w:r>
    </w:p>
    <w:p w14:paraId="6812AEEB" w14:textId="30741FED" w:rsidR="000F3843" w:rsidRPr="00D13AF1" w:rsidRDefault="000F3843" w:rsidP="000F3843">
      <w:pPr>
        <w:pStyle w:val="Heading2Pink"/>
      </w:pPr>
      <w:bookmarkStart w:id="109" w:name="_Toc504484143"/>
      <w:r w:rsidRPr="00D13AF1">
        <w:t>Australian Health Practitioner Regulation Agency (AHPRA)</w:t>
      </w:r>
      <w:r w:rsidRPr="00D13AF1">
        <w:rPr>
          <w:rStyle w:val="FootnoteReference"/>
        </w:rPr>
        <w:footnoteReference w:id="73"/>
      </w:r>
      <w:bookmarkEnd w:id="109"/>
    </w:p>
    <w:p w14:paraId="2FCD5034" w14:textId="77777777" w:rsidR="000F3843" w:rsidRPr="00D13AF1" w:rsidRDefault="000F3843" w:rsidP="000F3843">
      <w:pPr>
        <w:pStyle w:val="BodyEE"/>
      </w:pPr>
      <w:r w:rsidRPr="00D13AF1">
        <w:t>AHPRA works with the National Boards to regulate individual practitioners across 14 health professions.</w:t>
      </w:r>
    </w:p>
    <w:p w14:paraId="728AA4C4" w14:textId="77777777" w:rsidR="000F3843" w:rsidRPr="00D13AF1" w:rsidRDefault="000F3843" w:rsidP="000F3843">
      <w:pPr>
        <w:pStyle w:val="Heading3Pink"/>
      </w:pPr>
      <w:bookmarkStart w:id="110" w:name="_Ref499730613"/>
      <w:r w:rsidRPr="00D13AF1">
        <w:t>Definition of telemedicine</w:t>
      </w:r>
      <w:bookmarkEnd w:id="110"/>
    </w:p>
    <w:p w14:paraId="4BDFF727" w14:textId="77777777" w:rsidR="000F3843" w:rsidRPr="00D13AF1" w:rsidRDefault="000F3843" w:rsidP="000F3843">
      <w:pPr>
        <w:pStyle w:val="BodyEE"/>
      </w:pPr>
      <w:r w:rsidRPr="00D13AF1">
        <w:t>Technology-based patient consultations are patient consultations that use any form of technology, including, but not restricted to videoconferencing, internet and telephone, as an alternative to face-to-face consultations.</w:t>
      </w:r>
    </w:p>
    <w:p w14:paraId="6A19680F" w14:textId="77777777" w:rsidR="000F3843" w:rsidRPr="00D13AF1" w:rsidRDefault="000F3843" w:rsidP="000F3843">
      <w:pPr>
        <w:pStyle w:val="Heading3Pink"/>
      </w:pPr>
      <w:r w:rsidRPr="00D13AF1">
        <w:t>Frameworks for telemedicine regulation</w:t>
      </w:r>
    </w:p>
    <w:p w14:paraId="5CCF3F55" w14:textId="039A73D4" w:rsidR="000F3843" w:rsidRPr="00D13AF1" w:rsidRDefault="000F3843" w:rsidP="000F3843">
      <w:pPr>
        <w:pStyle w:val="BodyEE"/>
      </w:pPr>
      <w:r w:rsidRPr="00D13AF1">
        <w:t>AHPRA has formal regulations and/or policies regarding telemedicine. It develops requirements regarding licensing and/or registration.</w:t>
      </w:r>
    </w:p>
    <w:p w14:paraId="15BD74DA" w14:textId="77777777" w:rsidR="000F3843" w:rsidRPr="00D13AF1" w:rsidRDefault="000F3843" w:rsidP="000F3843">
      <w:pPr>
        <w:pStyle w:val="Heading3Pink"/>
      </w:pPr>
      <w:bookmarkStart w:id="111" w:name="_Ref499731146"/>
      <w:r w:rsidRPr="00D13AF1">
        <w:t>Regulation of individual doctors who provide telemedicine services</w:t>
      </w:r>
      <w:bookmarkEnd w:id="111"/>
    </w:p>
    <w:p w14:paraId="203881ED" w14:textId="198FB2B0" w:rsidR="000F3843" w:rsidRPr="00D13AF1" w:rsidRDefault="00D61813" w:rsidP="000F3843">
      <w:pPr>
        <w:pStyle w:val="BodyEE"/>
      </w:pPr>
      <w:r>
        <w:t xml:space="preserve">The </w:t>
      </w:r>
      <w:r w:rsidR="000F3843" w:rsidRPr="00D13AF1">
        <w:t>Medical Board</w:t>
      </w:r>
      <w:r>
        <w:t xml:space="preserve"> of Australia</w:t>
      </w:r>
      <w:r w:rsidR="000F3843" w:rsidRPr="00D13AF1">
        <w:t xml:space="preserve"> has guidelines for registered medical practitioners.</w:t>
      </w:r>
    </w:p>
    <w:p w14:paraId="32DD1373" w14:textId="77777777" w:rsidR="000F3843" w:rsidRPr="00D13AF1" w:rsidRDefault="00000000" w:rsidP="000F3843">
      <w:pPr>
        <w:pStyle w:val="BodyEE"/>
      </w:pPr>
      <w:hyperlink r:id="rId53" w:history="1">
        <w:r w:rsidR="000F3843" w:rsidRPr="00D13AF1">
          <w:rPr>
            <w:rStyle w:val="Hyperlink"/>
          </w:rPr>
          <w:t>http://www.medicalboard.gov.au/Codes-Guidelines-Policies/Technology-based-consultation-guidelines.aspx</w:t>
        </w:r>
      </w:hyperlink>
    </w:p>
    <w:p w14:paraId="663FFF03" w14:textId="77777777" w:rsidR="000F3843" w:rsidRPr="00D13AF1" w:rsidRDefault="000F3843" w:rsidP="000F3843">
      <w:pPr>
        <w:pStyle w:val="BodyEE"/>
        <w:rPr>
          <w:rFonts w:asciiTheme="minorHAnsi" w:hAnsiTheme="minorHAnsi"/>
          <w:szCs w:val="22"/>
          <w:shd w:val="clear" w:color="auto" w:fill="FFFFFF"/>
        </w:rPr>
      </w:pPr>
      <w:r w:rsidRPr="00D13AF1">
        <w:rPr>
          <w:rFonts w:asciiTheme="minorHAnsi" w:hAnsiTheme="minorHAnsi"/>
          <w:szCs w:val="22"/>
          <w:shd w:val="clear" w:color="auto" w:fill="FFFFFF"/>
        </w:rPr>
        <w:t>These guidelines complement “Good Medical Practice: A Code of Conduct for Doctors in Australia” (</w:t>
      </w:r>
      <w:r w:rsidRPr="00D13AF1">
        <w:rPr>
          <w:rStyle w:val="Emphasis"/>
          <w:rFonts w:asciiTheme="minorHAnsi" w:hAnsiTheme="minorHAnsi" w:cs="Arial"/>
          <w:color w:val="444444"/>
          <w:szCs w:val="22"/>
          <w:shd w:val="clear" w:color="auto" w:fill="FFFFFF"/>
        </w:rPr>
        <w:t>Good Medical Practice</w:t>
      </w:r>
      <w:r w:rsidRPr="00D13AF1">
        <w:rPr>
          <w:rFonts w:asciiTheme="minorHAnsi" w:hAnsiTheme="minorHAnsi"/>
          <w:szCs w:val="22"/>
          <w:shd w:val="clear" w:color="auto" w:fill="FFFFFF"/>
        </w:rPr>
        <w:t>) and provide specific guidance on technology-based patient consultations. The Medical Board of Australia expects medical practitioners to apply the principles contained in </w:t>
      </w:r>
      <w:r w:rsidRPr="00D13AF1">
        <w:rPr>
          <w:rStyle w:val="Emphasis"/>
          <w:rFonts w:asciiTheme="minorHAnsi" w:hAnsiTheme="minorHAnsi" w:cs="Arial"/>
          <w:color w:val="444444"/>
          <w:szCs w:val="22"/>
          <w:shd w:val="clear" w:color="auto" w:fill="FFFFFF"/>
        </w:rPr>
        <w:t>Good Medical Practice</w:t>
      </w:r>
      <w:r w:rsidRPr="00D13AF1">
        <w:rPr>
          <w:rFonts w:asciiTheme="minorHAnsi" w:hAnsiTheme="minorHAnsi"/>
          <w:szCs w:val="22"/>
          <w:shd w:val="clear" w:color="auto" w:fill="FFFFFF"/>
        </w:rPr>
        <w:t>, and these guidelines, when they consult a patient outside the traditional face-to-face setting.</w:t>
      </w:r>
    </w:p>
    <w:p w14:paraId="402706EF" w14:textId="18630AFF" w:rsidR="000F3843" w:rsidRPr="00D13AF1" w:rsidRDefault="000F3843" w:rsidP="000F3843">
      <w:pPr>
        <w:pStyle w:val="BodyEE"/>
        <w:rPr>
          <w:rFonts w:eastAsia="Times New Roman"/>
          <w:lang w:eastAsia="en-GB"/>
        </w:rPr>
      </w:pPr>
      <w:r w:rsidRPr="00D13AF1">
        <w:rPr>
          <w:rFonts w:eastAsia="Times New Roman"/>
          <w:lang w:eastAsia="en-GB"/>
        </w:rPr>
        <w:t>Medical practitioners who advise or treat patients in technology-based patient consultations should:</w:t>
      </w:r>
      <w:r w:rsidR="00AE5251" w:rsidRPr="00D13AF1">
        <w:rPr>
          <w:rStyle w:val="FootnoteReference"/>
          <w:rFonts w:eastAsia="Times New Roman"/>
          <w:lang w:eastAsia="en-GB"/>
        </w:rPr>
        <w:footnoteReference w:id="74"/>
      </w:r>
    </w:p>
    <w:p w14:paraId="3441C76E" w14:textId="2CB922D7" w:rsidR="000F3843" w:rsidRPr="00D13AF1" w:rsidRDefault="00AE6351" w:rsidP="00AE6351">
      <w:pPr>
        <w:pStyle w:val="Bulletlevel1"/>
      </w:pPr>
      <w:r w:rsidRPr="00D13AF1">
        <w:t>a</w:t>
      </w:r>
      <w:r w:rsidR="000F3843" w:rsidRPr="00D13AF1">
        <w:t>pply the usual principles for obtaining their patient’s informed consent, protecting their patient’s privacy and protecting their patient’s rights to confidentially</w:t>
      </w:r>
      <w:r w:rsidRPr="00D13AF1">
        <w:t>;</w:t>
      </w:r>
    </w:p>
    <w:p w14:paraId="5A8CA12C" w14:textId="1C9C518C" w:rsidR="000F3843" w:rsidRPr="00D13AF1" w:rsidRDefault="00AE6351" w:rsidP="00AE6351">
      <w:pPr>
        <w:pStyle w:val="Bulletlevel1"/>
      </w:pPr>
      <w:r w:rsidRPr="00D13AF1">
        <w:t>m</w:t>
      </w:r>
      <w:r w:rsidR="000F3843" w:rsidRPr="00D13AF1">
        <w:t>ake a judgement about the appropriateness of a technology-based patient consultation and in particular, whether a direct physical examination is necessary</w:t>
      </w:r>
      <w:r w:rsidRPr="00D13AF1">
        <w:t>;</w:t>
      </w:r>
    </w:p>
    <w:p w14:paraId="6010097F" w14:textId="2A637CB7" w:rsidR="000F3843" w:rsidRPr="00D13AF1" w:rsidRDefault="00AE6351" w:rsidP="00AE6351">
      <w:pPr>
        <w:pStyle w:val="Bulletlevel1"/>
      </w:pPr>
      <w:r w:rsidRPr="00D13AF1">
        <w:t>m</w:t>
      </w:r>
      <w:r w:rsidR="000F3843" w:rsidRPr="00D13AF1">
        <w:t>ake their identity known to the patient</w:t>
      </w:r>
      <w:r w:rsidRPr="00D13AF1">
        <w:t>;</w:t>
      </w:r>
    </w:p>
    <w:p w14:paraId="62493848" w14:textId="40501CD7" w:rsidR="000F3843" w:rsidRPr="00D13AF1" w:rsidRDefault="00AE6351" w:rsidP="00AE6351">
      <w:pPr>
        <w:pStyle w:val="Bulletlevel1"/>
      </w:pPr>
      <w:r w:rsidRPr="00D13AF1">
        <w:t>c</w:t>
      </w:r>
      <w:r w:rsidR="000F3843" w:rsidRPr="00D13AF1">
        <w:t>onfirm to their satisfaction the identity of the patient at each consultation</w:t>
      </w:r>
      <w:r w:rsidRPr="00D13AF1">
        <w:t xml:space="preserve"> — d</w:t>
      </w:r>
      <w:r w:rsidR="000F3843" w:rsidRPr="00D13AF1">
        <w:t>octors should be aware that it may be difficult to ensure unequivocal verification of the identity of the patient in these circumstances</w:t>
      </w:r>
      <w:r w:rsidRPr="00D13AF1">
        <w:t>;</w:t>
      </w:r>
    </w:p>
    <w:p w14:paraId="2E01189F" w14:textId="3D84997F" w:rsidR="000F3843" w:rsidRPr="00D13AF1" w:rsidRDefault="00AE6351" w:rsidP="00AE6351">
      <w:pPr>
        <w:pStyle w:val="Bulletlevel1"/>
      </w:pPr>
      <w:r w:rsidRPr="00D13AF1">
        <w:t>p</w:t>
      </w:r>
      <w:r w:rsidR="000F3843" w:rsidRPr="00D13AF1">
        <w:t>rovide an explanation to the patient of the particular process involved in the technology-based patient consultation</w:t>
      </w:r>
      <w:r w:rsidR="00C42E66" w:rsidRPr="00D13AF1">
        <w:t>;</w:t>
      </w:r>
    </w:p>
    <w:p w14:paraId="7B1A45E7" w14:textId="272923F5" w:rsidR="000F3843" w:rsidRPr="00D13AF1" w:rsidRDefault="00C42E66" w:rsidP="00AE6351">
      <w:pPr>
        <w:pStyle w:val="Bulletlevel1"/>
      </w:pPr>
      <w:r w:rsidRPr="00D13AF1">
        <w:t>a</w:t>
      </w:r>
      <w:r w:rsidR="000F3843" w:rsidRPr="00D13AF1">
        <w:t>ssess the patient’s condition, based on the history and clinical signs and appropriate examination</w:t>
      </w:r>
      <w:r w:rsidRPr="00D13AF1">
        <w:t>;</w:t>
      </w:r>
    </w:p>
    <w:p w14:paraId="39F8AD53" w14:textId="102298A1" w:rsidR="000F3843" w:rsidRPr="00D13AF1" w:rsidRDefault="00C42E66" w:rsidP="00AE6351">
      <w:pPr>
        <w:pStyle w:val="Bulletlevel1"/>
        <w:rPr>
          <w:lang w:eastAsia="en-GB"/>
        </w:rPr>
      </w:pPr>
      <w:r w:rsidRPr="00D13AF1">
        <w:t>e</w:t>
      </w:r>
      <w:r w:rsidR="000F3843" w:rsidRPr="00D13AF1">
        <w:t>nsure</w:t>
      </w:r>
      <w:r w:rsidR="000F3843" w:rsidRPr="00D13AF1">
        <w:rPr>
          <w:lang w:eastAsia="en-GB"/>
        </w:rPr>
        <w:t xml:space="preserve"> they communicate with the patient to:</w:t>
      </w:r>
    </w:p>
    <w:p w14:paraId="141E0D1E" w14:textId="1A461E8D" w:rsidR="000F3843" w:rsidRPr="00D13AF1" w:rsidRDefault="000F3843" w:rsidP="00AE6351">
      <w:pPr>
        <w:pStyle w:val="Bulletlevel2"/>
      </w:pPr>
      <w:r w:rsidRPr="00D13AF1">
        <w:t>establish the patient’s current medical condition and past medical history, and current or recent use of medications, including non-prescription medications</w:t>
      </w:r>
      <w:r w:rsidR="00C42E66" w:rsidRPr="00D13AF1">
        <w:t>,</w:t>
      </w:r>
    </w:p>
    <w:p w14:paraId="5FE9E1B5" w14:textId="0F0EB455" w:rsidR="000F3843" w:rsidRPr="00D13AF1" w:rsidRDefault="000F3843" w:rsidP="00AE6351">
      <w:pPr>
        <w:pStyle w:val="Bulletlevel2"/>
      </w:pPr>
      <w:r w:rsidRPr="00D13AF1">
        <w:t>identify the likely cause of the patient’s condition</w:t>
      </w:r>
      <w:r w:rsidR="00C42E66" w:rsidRPr="00D13AF1">
        <w:t>,</w:t>
      </w:r>
    </w:p>
    <w:p w14:paraId="2A84C43B" w14:textId="4228E1B1" w:rsidR="000F3843" w:rsidRPr="00D13AF1" w:rsidRDefault="000F3843" w:rsidP="00AE6351">
      <w:pPr>
        <w:pStyle w:val="Bulletlevel2"/>
      </w:pPr>
      <w:r w:rsidRPr="00D13AF1">
        <w:t>ensure that there is sufficient clinical justification for the proposed treatment</w:t>
      </w:r>
      <w:r w:rsidR="00C42E66" w:rsidRPr="00D13AF1">
        <w:t>,</w:t>
      </w:r>
    </w:p>
    <w:p w14:paraId="4268DF5A" w14:textId="356721B6" w:rsidR="000F3843" w:rsidRPr="00D13AF1" w:rsidRDefault="000F3843" w:rsidP="00AE6351">
      <w:pPr>
        <w:pStyle w:val="Bulletlevel2"/>
      </w:pPr>
      <w:r w:rsidRPr="00D13AF1">
        <w:lastRenderedPageBreak/>
        <w:t>ensure that the proposed treatment is not contra-indicated. This particularly applies to technology-based consultations when the practitioner has no prior knowledge or understanding of the patient’s condition(s) and medical history or access to their medical records</w:t>
      </w:r>
      <w:r w:rsidR="00C42E66" w:rsidRPr="00D13AF1">
        <w:t>;</w:t>
      </w:r>
    </w:p>
    <w:p w14:paraId="4C4D6A51" w14:textId="478E4830" w:rsidR="000F3843" w:rsidRPr="00D13AF1" w:rsidRDefault="00C42E66" w:rsidP="00AE6351">
      <w:pPr>
        <w:pStyle w:val="Bulletlevel1"/>
      </w:pPr>
      <w:r w:rsidRPr="00D13AF1">
        <w:t>a</w:t>
      </w:r>
      <w:r w:rsidR="000F3843" w:rsidRPr="00D13AF1">
        <w:t>ccept ultimate responsibility for evaluating information used in assessment and treatment, irrespective of its source</w:t>
      </w:r>
      <w:r w:rsidRPr="00D13AF1">
        <w:t xml:space="preserve"> — </w:t>
      </w:r>
      <w:r w:rsidR="000F3843" w:rsidRPr="00D13AF1">
        <w:t>applies to information gathered by a third party who may have taken a history from, or examined, the patient</w:t>
      </w:r>
      <w:r w:rsidRPr="00D13AF1">
        <w:t>;</w:t>
      </w:r>
    </w:p>
    <w:p w14:paraId="50F49179" w14:textId="66E397BD" w:rsidR="000F3843" w:rsidRPr="00D13AF1" w:rsidRDefault="00C42E66" w:rsidP="00AE6351">
      <w:pPr>
        <w:pStyle w:val="Bulletlevel1"/>
      </w:pPr>
      <w:r w:rsidRPr="00D13AF1">
        <w:t>m</w:t>
      </w:r>
      <w:r w:rsidR="000F3843" w:rsidRPr="00D13AF1">
        <w:t>ake appropriate arrangements to follow the progress of the patient and inform the patient’s general practitioner or other relevant practitioners</w:t>
      </w:r>
      <w:r w:rsidRPr="00D13AF1">
        <w:t>;</w:t>
      </w:r>
    </w:p>
    <w:p w14:paraId="517DA5F3" w14:textId="05014D53" w:rsidR="000F3843" w:rsidRPr="00D13AF1" w:rsidRDefault="00C42E66" w:rsidP="00AE6351">
      <w:pPr>
        <w:pStyle w:val="Bulletlevel1"/>
      </w:pPr>
      <w:r w:rsidRPr="00D13AF1">
        <w:t>k</w:t>
      </w:r>
      <w:r w:rsidR="000F3843" w:rsidRPr="00D13AF1">
        <w:t>eep an appropriate record of the consultation</w:t>
      </w:r>
      <w:r w:rsidRPr="00D13AF1">
        <w:t>;</w:t>
      </w:r>
      <w:r w:rsidR="00FA60B8" w:rsidRPr="00D13AF1">
        <w:t xml:space="preserve"> </w:t>
      </w:r>
    </w:p>
    <w:p w14:paraId="5C5430B2" w14:textId="2A723C76" w:rsidR="000F3843" w:rsidRPr="00D13AF1" w:rsidRDefault="00C42E66" w:rsidP="00AE6351">
      <w:pPr>
        <w:pStyle w:val="Bulletlevel1"/>
        <w:rPr>
          <w:lang w:eastAsia="en-GB"/>
        </w:rPr>
      </w:pPr>
      <w:r w:rsidRPr="00D13AF1">
        <w:t>k</w:t>
      </w:r>
      <w:r w:rsidR="000F3843" w:rsidRPr="00D13AF1">
        <w:t>eep</w:t>
      </w:r>
      <w:r w:rsidR="000F3843" w:rsidRPr="00D13AF1">
        <w:rPr>
          <w:lang w:eastAsia="en-GB"/>
        </w:rPr>
        <w:t xml:space="preserve"> colleagues well informed when sharing the care of patients.</w:t>
      </w:r>
    </w:p>
    <w:p w14:paraId="4C50FFE1" w14:textId="77777777" w:rsidR="000F3843" w:rsidRPr="00D13AF1" w:rsidRDefault="000F3843" w:rsidP="000F3843">
      <w:pPr>
        <w:pStyle w:val="Heading3Pink"/>
      </w:pPr>
      <w:r w:rsidRPr="00D13AF1">
        <w:t>Cross-jurisdiction issues in telemedicine</w:t>
      </w:r>
    </w:p>
    <w:p w14:paraId="5A753939" w14:textId="77777777" w:rsidR="000F3843" w:rsidRPr="00D13AF1" w:rsidRDefault="00000000" w:rsidP="000F3843">
      <w:pPr>
        <w:pStyle w:val="BodyEE"/>
      </w:pPr>
      <w:hyperlink r:id="rId54" w:history="1">
        <w:r w:rsidR="000F3843" w:rsidRPr="00D13AF1">
          <w:rPr>
            <w:rStyle w:val="Hyperlink"/>
          </w:rPr>
          <w:t>http://www.medicalboard.gov.au/Codes-Guidelines-Policies/FAQ/Information-interjurisdictional-technology-consultations.aspx</w:t>
        </w:r>
      </w:hyperlink>
    </w:p>
    <w:p w14:paraId="5E211B6B" w14:textId="77777777" w:rsidR="000F3843" w:rsidRPr="00D13AF1" w:rsidRDefault="000F3843" w:rsidP="000F3843">
      <w:pPr>
        <w:pStyle w:val="BodyEE"/>
      </w:pPr>
      <w:r w:rsidRPr="00D13AF1">
        <w:t>This additional information aims to assist medical practitioners in relation to their registration and liability obligations for technology based patient consultations which are conducted when either the patient or the practitioner is outside Australia.</w:t>
      </w:r>
    </w:p>
    <w:p w14:paraId="3725BE4D" w14:textId="77777777" w:rsidR="000F3843" w:rsidRPr="00D13AF1" w:rsidRDefault="000F3843" w:rsidP="000E6E66">
      <w:pPr>
        <w:pStyle w:val="BodyEE"/>
        <w:keepNext/>
      </w:pPr>
      <w:r w:rsidRPr="00D13AF1">
        <w:t>The Board expects that medical practitioners:</w:t>
      </w:r>
    </w:p>
    <w:p w14:paraId="3E024F10" w14:textId="250E48CB" w:rsidR="000F3843" w:rsidRPr="00D13AF1" w:rsidRDefault="000F3843" w:rsidP="000F3843">
      <w:pPr>
        <w:pStyle w:val="Bulletlevel1"/>
      </w:pPr>
      <w:r w:rsidRPr="00D13AF1">
        <w:t>providing medical services to patients in Australia will be registered with the Board regardless of where the practitioner is located</w:t>
      </w:r>
      <w:r w:rsidR="000E6E66" w:rsidRPr="00D13AF1">
        <w:t>;</w:t>
      </w:r>
    </w:p>
    <w:p w14:paraId="799FF067" w14:textId="300B5B74" w:rsidR="000F3843" w:rsidRPr="00D13AF1" w:rsidRDefault="000F3843" w:rsidP="000F3843">
      <w:pPr>
        <w:pStyle w:val="Bulletlevel1"/>
      </w:pPr>
      <w:r w:rsidRPr="00D13AF1">
        <w:t>consider the appropriateness of a technology based consultation for each patient’s circumstances</w:t>
      </w:r>
      <w:r w:rsidR="000E6E66" w:rsidRPr="00D13AF1">
        <w:t>;</w:t>
      </w:r>
    </w:p>
    <w:p w14:paraId="07D68639" w14:textId="3EC04476" w:rsidR="000F3843" w:rsidRPr="00D13AF1" w:rsidRDefault="000F3843" w:rsidP="000F3843">
      <w:pPr>
        <w:pStyle w:val="Bulletlevel1"/>
      </w:pPr>
      <w:r w:rsidRPr="00D13AF1">
        <w:t>comply with the requirements of the Health Practitioner Regulation National Law as in force in each state and territory (the National Law) and the Board’s registration standards, codes and guidelines including the Professional Indemnity Insurance Registration Standard which requires that a medical practitioner is covered for all aspects of their medical practice</w:t>
      </w:r>
      <w:r w:rsidR="000E6E66" w:rsidRPr="00D13AF1">
        <w:t>;</w:t>
      </w:r>
    </w:p>
    <w:p w14:paraId="4BE7F446" w14:textId="710F3C1B" w:rsidR="000F3843" w:rsidRPr="00D13AF1" w:rsidRDefault="000F3843" w:rsidP="000F3843">
      <w:pPr>
        <w:pStyle w:val="Bulletlevel1"/>
      </w:pPr>
      <w:r w:rsidRPr="00D13AF1">
        <w:t>who conduct technology based consultations with a patient who is outside Australia establish whether they are required to be registered by the medical regulator in that jurisdiction (for example, the General Medical Council for a patient in the United Kingdom)</w:t>
      </w:r>
      <w:r w:rsidR="000E6E66" w:rsidRPr="00D13AF1">
        <w:t>;</w:t>
      </w:r>
    </w:p>
    <w:p w14:paraId="15B4474F" w14:textId="2141F803" w:rsidR="0001726D" w:rsidRPr="00D13AF1" w:rsidRDefault="000F3843" w:rsidP="0001726D">
      <w:pPr>
        <w:pStyle w:val="Bulletlevel1"/>
      </w:pPr>
      <w:r w:rsidRPr="00D13AF1">
        <w:t>ensure that their patients are informed in relation to billing arrangements for consultations and whether the patient will be able to access Medicare or private health insurance rebates.</w:t>
      </w:r>
    </w:p>
    <w:p w14:paraId="021F583D" w14:textId="2CD66C5A" w:rsidR="0001726D" w:rsidRPr="00D13AF1" w:rsidRDefault="0001726D" w:rsidP="0001726D">
      <w:pPr>
        <w:pStyle w:val="Heading2Pink"/>
      </w:pPr>
      <w:bookmarkStart w:id="112" w:name="_Toc504484144"/>
      <w:r w:rsidRPr="00D13AF1">
        <w:t>Medical Council of New South Wales</w:t>
      </w:r>
      <w:r w:rsidR="00B832DC" w:rsidRPr="00D13AF1">
        <w:rPr>
          <w:rStyle w:val="FootnoteReference"/>
        </w:rPr>
        <w:footnoteReference w:id="75"/>
      </w:r>
      <w:bookmarkEnd w:id="112"/>
    </w:p>
    <w:p w14:paraId="0788C812" w14:textId="052C5C2B" w:rsidR="0001726D" w:rsidRPr="00D13AF1" w:rsidRDefault="00844F14" w:rsidP="00844F14">
      <w:pPr>
        <w:pStyle w:val="BodyEE"/>
      </w:pPr>
      <w:r w:rsidRPr="00D13AF1">
        <w:t>The Council has jurisdiction over a</w:t>
      </w:r>
      <w:r w:rsidR="0001726D" w:rsidRPr="00D13AF1">
        <w:t>pproximately 35% of all</w:t>
      </w:r>
      <w:r w:rsidRPr="00D13AF1">
        <w:rPr>
          <w:rFonts w:ascii="Times New Roman" w:hAnsi="Times New Roman"/>
        </w:rPr>
        <w:t xml:space="preserve"> registered</w:t>
      </w:r>
      <w:r w:rsidR="0001726D" w:rsidRPr="00D13AF1">
        <w:t xml:space="preserve"> Australian medical practitioners.</w:t>
      </w:r>
    </w:p>
    <w:p w14:paraId="25701EF4" w14:textId="77777777" w:rsidR="0001726D" w:rsidRPr="00D13AF1" w:rsidRDefault="0001726D" w:rsidP="0001726D">
      <w:pPr>
        <w:pStyle w:val="Heading3Pink"/>
      </w:pPr>
      <w:r w:rsidRPr="00D13AF1">
        <w:t>Definition of telemedicine</w:t>
      </w:r>
    </w:p>
    <w:p w14:paraId="59603AE4" w14:textId="5FCBB061" w:rsidR="0001726D" w:rsidRPr="00D13AF1" w:rsidRDefault="00844F14" w:rsidP="00844F14">
      <w:pPr>
        <w:pStyle w:val="BodyEE"/>
      </w:pPr>
      <w:r w:rsidRPr="00D13AF1">
        <w:t>The Council defines telemedicine as “</w:t>
      </w:r>
      <w:r w:rsidR="0001726D" w:rsidRPr="00D13AF1">
        <w:t xml:space="preserve">Technology based (phone/internet) </w:t>
      </w:r>
      <w:proofErr w:type="gramStart"/>
      <w:r w:rsidR="0001726D" w:rsidRPr="00D13AF1">
        <w:t>consultations.</w:t>
      </w:r>
      <w:r w:rsidRPr="00D13AF1">
        <w:t>“</w:t>
      </w:r>
      <w:proofErr w:type="gramEnd"/>
    </w:p>
    <w:p w14:paraId="5BC019A0" w14:textId="77777777" w:rsidR="0001726D" w:rsidRPr="00D13AF1" w:rsidRDefault="0001726D" w:rsidP="0001726D">
      <w:pPr>
        <w:pStyle w:val="Heading3Pink"/>
      </w:pPr>
      <w:r w:rsidRPr="00D13AF1">
        <w:t>Frameworks for telemedicine regulation</w:t>
      </w:r>
    </w:p>
    <w:p w14:paraId="73A3FAB8" w14:textId="243A6669" w:rsidR="0001726D" w:rsidRPr="00D13AF1" w:rsidRDefault="00420BDF" w:rsidP="0001726D">
      <w:pPr>
        <w:pStyle w:val="BodyEE"/>
        <w:rPr>
          <w:rFonts w:ascii="Times New Roman" w:hAnsi="Times New Roman"/>
        </w:rPr>
      </w:pPr>
      <w:r w:rsidRPr="00D13AF1">
        <w:t xml:space="preserve">The Medical Council of New South Wales has </w:t>
      </w:r>
      <w:r w:rsidR="0001726D" w:rsidRPr="00D13AF1">
        <w:t>informal or "work-in-progress" regulations and/or policies, including non-binding recommendations</w:t>
      </w:r>
      <w:r w:rsidR="00844F14" w:rsidRPr="00D13AF1">
        <w:rPr>
          <w:rFonts w:ascii="Times New Roman" w:hAnsi="Times New Roman"/>
        </w:rPr>
        <w:t>.</w:t>
      </w:r>
    </w:p>
    <w:p w14:paraId="74D65EC0" w14:textId="3EFA8E66" w:rsidR="0001726D" w:rsidRPr="00D13AF1" w:rsidRDefault="00844F14" w:rsidP="0001726D">
      <w:pPr>
        <w:pStyle w:val="BodyEE"/>
      </w:pPr>
      <w:r w:rsidRPr="00D13AF1">
        <w:lastRenderedPageBreak/>
        <w:t>U</w:t>
      </w:r>
      <w:r w:rsidR="0001726D" w:rsidRPr="00D13AF1">
        <w:t>pcoming regulation</w:t>
      </w:r>
      <w:r w:rsidRPr="00D13AF1">
        <w:t xml:space="preserve"> and </w:t>
      </w:r>
      <w:r w:rsidR="0001726D" w:rsidRPr="00D13AF1">
        <w:t>policy</w:t>
      </w:r>
      <w:r w:rsidRPr="00D13AF1">
        <w:t xml:space="preserve"> on the topic includes</w:t>
      </w:r>
      <w:r w:rsidR="0001726D" w:rsidRPr="00D13AF1">
        <w:t xml:space="preserve"> </w:t>
      </w:r>
      <w:r w:rsidRPr="00D13AF1">
        <w:t>m</w:t>
      </w:r>
      <w:r w:rsidR="0001726D" w:rsidRPr="00D13AF1">
        <w:t>ore detailed regulation about</w:t>
      </w:r>
      <w:r w:rsidRPr="00D13AF1">
        <w:t xml:space="preserve"> the</w:t>
      </w:r>
      <w:r w:rsidR="0001726D" w:rsidRPr="00D13AF1">
        <w:t xml:space="preserve"> appropriate use of technology</w:t>
      </w:r>
      <w:r w:rsidRPr="00D13AF1">
        <w:t>, as well as on the u</w:t>
      </w:r>
      <w:r w:rsidR="0001726D" w:rsidRPr="00D13AF1">
        <w:t xml:space="preserve">se of social media for communication of personal health information. </w:t>
      </w:r>
    </w:p>
    <w:p w14:paraId="5EFDD9F8" w14:textId="25FD5606" w:rsidR="0001726D" w:rsidRPr="00D13AF1" w:rsidRDefault="00844F14" w:rsidP="0001726D">
      <w:pPr>
        <w:pStyle w:val="BodyEE"/>
      </w:pPr>
      <w:r w:rsidRPr="00D13AF1">
        <w:t>The Council considers online prescriptions of regulated medicine to be a particularly relevant issue to be further investigated and potentially regulated.</w:t>
      </w:r>
      <w:r w:rsidR="0001726D" w:rsidRPr="00D13AF1">
        <w:t xml:space="preserve"> </w:t>
      </w:r>
    </w:p>
    <w:p w14:paraId="4B9FE06D" w14:textId="6BBC7604" w:rsidR="0001726D" w:rsidRPr="00D13AF1" w:rsidRDefault="00844F14" w:rsidP="0001726D">
      <w:pPr>
        <w:pStyle w:val="BodyEE"/>
      </w:pPr>
      <w:r w:rsidRPr="00D13AF1">
        <w:t>The Council imposes</w:t>
      </w:r>
      <w:r w:rsidR="00420BDF" w:rsidRPr="00D13AF1">
        <w:t xml:space="preserve"> requirements</w:t>
      </w:r>
      <w:r w:rsidRPr="00D13AF1">
        <w:t xml:space="preserve"> for physicians </w:t>
      </w:r>
      <w:r w:rsidR="00420BDF" w:rsidRPr="00D13AF1">
        <w:t>in the following areas:</w:t>
      </w:r>
      <w:r w:rsidR="0001726D" w:rsidRPr="00D13AF1">
        <w:t xml:space="preserve"> </w:t>
      </w:r>
    </w:p>
    <w:p w14:paraId="4F718D90" w14:textId="77777777" w:rsidR="0001726D" w:rsidRPr="00D13AF1" w:rsidRDefault="0001726D" w:rsidP="0001726D">
      <w:pPr>
        <w:pStyle w:val="Bulletlevel1"/>
      </w:pPr>
      <w:r w:rsidRPr="00D13AF1">
        <w:t>Licensing and/or registration</w:t>
      </w:r>
    </w:p>
    <w:p w14:paraId="5250B097" w14:textId="77777777" w:rsidR="0001726D" w:rsidRPr="00D13AF1" w:rsidRDefault="0001726D" w:rsidP="0001726D">
      <w:pPr>
        <w:pStyle w:val="Bulletlevel1"/>
      </w:pPr>
      <w:r w:rsidRPr="00D13AF1">
        <w:t>Qualifications and training, including continuing professional development</w:t>
      </w:r>
    </w:p>
    <w:p w14:paraId="7C93848B" w14:textId="77777777" w:rsidR="0001726D" w:rsidRPr="00D13AF1" w:rsidRDefault="0001726D" w:rsidP="0001726D">
      <w:pPr>
        <w:pStyle w:val="Bulletlevel1"/>
      </w:pPr>
      <w:r w:rsidRPr="00D13AF1">
        <w:t>Standards of work</w:t>
      </w:r>
    </w:p>
    <w:p w14:paraId="4250B3B8" w14:textId="32296340" w:rsidR="0001726D" w:rsidRPr="00D13AF1" w:rsidRDefault="00844F14" w:rsidP="0001726D">
      <w:pPr>
        <w:pStyle w:val="BodyEE"/>
      </w:pPr>
      <w:r w:rsidRPr="00D13AF1">
        <w:t>Additionally, the Council cooperates on a regular basis with Australian organisations, such as the</w:t>
      </w:r>
      <w:r w:rsidR="0001726D" w:rsidRPr="00D13AF1">
        <w:t xml:space="preserve"> Health C</w:t>
      </w:r>
      <w:r w:rsidRPr="00D13AF1">
        <w:t>are Complaints Commission (NSW),</w:t>
      </w:r>
      <w:r w:rsidR="0001726D" w:rsidRPr="00D13AF1">
        <w:t xml:space="preserve"> Australian Healt</w:t>
      </w:r>
      <w:r w:rsidRPr="00D13AF1">
        <w:t>h Professions Regulation Agency and</w:t>
      </w:r>
      <w:r w:rsidR="0001726D" w:rsidRPr="00D13AF1">
        <w:t xml:space="preserve"> Medical Board of Australia.</w:t>
      </w:r>
    </w:p>
    <w:p w14:paraId="2D0B70FD" w14:textId="77777777" w:rsidR="0001726D" w:rsidRPr="00D13AF1" w:rsidRDefault="0001726D" w:rsidP="0001726D">
      <w:pPr>
        <w:pStyle w:val="Heading3Pink"/>
      </w:pPr>
      <w:r w:rsidRPr="00D13AF1">
        <w:t>Regulation of individual doctors who provide telemedicine services</w:t>
      </w:r>
    </w:p>
    <w:p w14:paraId="2AFA56E7" w14:textId="3F577AE8" w:rsidR="0001726D" w:rsidRPr="00D13AF1" w:rsidRDefault="002D3681" w:rsidP="0001726D">
      <w:pPr>
        <w:pStyle w:val="BodyEE"/>
      </w:pPr>
      <w:r w:rsidRPr="00D13AF1">
        <w:t xml:space="preserve">See regulations published in the </w:t>
      </w:r>
      <w:r w:rsidR="0001726D" w:rsidRPr="00D13AF1">
        <w:t>Medical Board of Australia Guidelines</w:t>
      </w:r>
      <w:r w:rsidRPr="00D13AF1">
        <w:t>, which apply</w:t>
      </w:r>
      <w:r w:rsidR="0001726D" w:rsidRPr="00D13AF1">
        <w:t xml:space="preserve"> to all medical practitioners in Australia.</w:t>
      </w:r>
    </w:p>
    <w:p w14:paraId="60E4B036" w14:textId="77777777" w:rsidR="0001726D" w:rsidRPr="00D13AF1" w:rsidRDefault="0001726D" w:rsidP="0001726D">
      <w:pPr>
        <w:pStyle w:val="Heading3Pink"/>
      </w:pPr>
      <w:r w:rsidRPr="00D13AF1">
        <w:t>Cross-jurisdiction issues in telemedicine</w:t>
      </w:r>
    </w:p>
    <w:p w14:paraId="4048EEB8" w14:textId="77777777" w:rsidR="0001726D" w:rsidRPr="00D13AF1" w:rsidRDefault="0001726D" w:rsidP="0001726D">
      <w:pPr>
        <w:pStyle w:val="BodyEE"/>
      </w:pPr>
      <w:r w:rsidRPr="00D13AF1">
        <w:t>[not mentioned in the survey]</w:t>
      </w:r>
    </w:p>
    <w:p w14:paraId="57DC22AA" w14:textId="77777777" w:rsidR="0001726D" w:rsidRPr="00D13AF1" w:rsidRDefault="0001726D" w:rsidP="0001726D">
      <w:pPr>
        <w:pStyle w:val="Bulletlevel1"/>
        <w:numPr>
          <w:ilvl w:val="0"/>
          <w:numId w:val="0"/>
        </w:numPr>
      </w:pPr>
    </w:p>
    <w:p w14:paraId="051F0856" w14:textId="77777777" w:rsidR="00255B2F" w:rsidRPr="00D13AF1" w:rsidRDefault="00255B2F" w:rsidP="001E393E">
      <w:pPr>
        <w:pStyle w:val="Heading1"/>
        <w:rPr>
          <w:color w:val="C64187" w:themeColor="accent2"/>
        </w:rPr>
      </w:pPr>
      <w:bookmarkStart w:id="113" w:name="_Toc504484145"/>
      <w:r w:rsidRPr="00D13AF1">
        <w:rPr>
          <w:color w:val="C64187" w:themeColor="accent2"/>
        </w:rPr>
        <w:lastRenderedPageBreak/>
        <w:t>Canada</w:t>
      </w:r>
      <w:bookmarkEnd w:id="113"/>
    </w:p>
    <w:p w14:paraId="128F74C1" w14:textId="77777777" w:rsidR="00255B2F" w:rsidRPr="00D13AF1" w:rsidRDefault="00255B2F" w:rsidP="00255B2F">
      <w:pPr>
        <w:pStyle w:val="Heading2Pink"/>
      </w:pPr>
      <w:bookmarkStart w:id="114" w:name="_Toc504484146"/>
      <w:r w:rsidRPr="00D13AF1">
        <w:t>Country level overview</w:t>
      </w:r>
      <w:bookmarkEnd w:id="114"/>
    </w:p>
    <w:p w14:paraId="247EDBB8" w14:textId="77777777" w:rsidR="00255B2F" w:rsidRPr="00D13AF1" w:rsidRDefault="00255B2F" w:rsidP="00255B2F">
      <w:pPr>
        <w:pStyle w:val="Heading3Pink"/>
      </w:pPr>
      <w:r w:rsidRPr="00D13AF1">
        <w:t xml:space="preserve">Relevant organisations </w:t>
      </w:r>
    </w:p>
    <w:p w14:paraId="31BFDFE3" w14:textId="77777777" w:rsidR="00255B2F" w:rsidRPr="00D13AF1" w:rsidRDefault="00255B2F" w:rsidP="00255B2F">
      <w:pPr>
        <w:pStyle w:val="Bulletlevel1"/>
        <w:rPr>
          <w:lang w:eastAsia="en-GB"/>
        </w:rPr>
      </w:pPr>
      <w:r w:rsidRPr="00D13AF1">
        <w:t>Federation of Medical Regulatory Authorities of Canada</w:t>
      </w:r>
      <w:r w:rsidRPr="00D13AF1">
        <w:rPr>
          <w:lang w:eastAsia="en-GB"/>
        </w:rPr>
        <w:t>.</w:t>
      </w:r>
    </w:p>
    <w:p w14:paraId="28FCCA3A" w14:textId="77777777" w:rsidR="00255B2F" w:rsidRPr="00D13AF1" w:rsidRDefault="00255B2F" w:rsidP="00255B2F">
      <w:pPr>
        <w:pStyle w:val="Bulletlevel1"/>
        <w:rPr>
          <w:lang w:eastAsia="en-GB"/>
        </w:rPr>
      </w:pPr>
      <w:r w:rsidRPr="00D13AF1">
        <w:t>Royal College of Physicians and Surgeons of Canada.</w:t>
      </w:r>
    </w:p>
    <w:p w14:paraId="04E6E6D8" w14:textId="77777777" w:rsidR="00255B2F" w:rsidRPr="00D13AF1" w:rsidRDefault="00255B2F" w:rsidP="00255B2F">
      <w:pPr>
        <w:pStyle w:val="Bulletlevel1"/>
      </w:pPr>
      <w:r w:rsidRPr="00D13AF1">
        <w:rPr>
          <w:bCs/>
        </w:rPr>
        <w:t>Medical Council of Canada.</w:t>
      </w:r>
    </w:p>
    <w:p w14:paraId="2932A2CB" w14:textId="77777777" w:rsidR="00255B2F" w:rsidRPr="00D13AF1" w:rsidRDefault="00255B2F" w:rsidP="00255B2F">
      <w:pPr>
        <w:pStyle w:val="Bulletlevel1"/>
        <w:rPr>
          <w:lang w:eastAsia="en-GB"/>
        </w:rPr>
      </w:pPr>
      <w:r w:rsidRPr="00D13AF1">
        <w:rPr>
          <w:shd w:val="clear" w:color="auto" w:fill="FFFFFF"/>
        </w:rPr>
        <w:t>Health Products and Food Branch.</w:t>
      </w:r>
    </w:p>
    <w:p w14:paraId="169C13AD" w14:textId="77777777" w:rsidR="00255B2F" w:rsidRPr="00D13AF1" w:rsidRDefault="00255B2F" w:rsidP="00255B2F">
      <w:pPr>
        <w:pStyle w:val="Bulletlevel1"/>
        <w:rPr>
          <w:lang w:eastAsia="en-GB"/>
        </w:rPr>
      </w:pPr>
      <w:r w:rsidRPr="00D13AF1">
        <w:rPr>
          <w:lang w:eastAsia="en-GB"/>
        </w:rPr>
        <w:t>Medical regulatory authorities in 13 provinces and territories of Canada.</w:t>
      </w:r>
    </w:p>
    <w:p w14:paraId="7CAB83B9" w14:textId="77777777" w:rsidR="00255B2F" w:rsidRPr="00D13AF1" w:rsidRDefault="00255B2F" w:rsidP="00255B2F">
      <w:pPr>
        <w:pStyle w:val="Heading3Pink"/>
      </w:pPr>
      <w:r w:rsidRPr="00D13AF1">
        <w:t xml:space="preserve">Regulatory frameworks </w:t>
      </w:r>
    </w:p>
    <w:p w14:paraId="44233971" w14:textId="19C2B80D" w:rsidR="00255B2F" w:rsidRPr="00D13AF1" w:rsidRDefault="00255B2F" w:rsidP="00255B2F">
      <w:pPr>
        <w:pStyle w:val="BodyEE"/>
      </w:pPr>
      <w:r w:rsidRPr="00D13AF1">
        <w:t>The Canadian federal authorities have limited power in what concerns regulation of health care and provision of medical services. The federal government and its bodies are broadly responsible for:</w:t>
      </w:r>
    </w:p>
    <w:p w14:paraId="165F6E3C" w14:textId="659A3D5B" w:rsidR="00255B2F" w:rsidRPr="00D13AF1" w:rsidRDefault="00687EF4" w:rsidP="00255B2F">
      <w:pPr>
        <w:pStyle w:val="Bulletlevel1"/>
      </w:pPr>
      <w:r w:rsidRPr="00D13AF1">
        <w:t>f</w:t>
      </w:r>
      <w:r w:rsidR="00255B2F" w:rsidRPr="00D13AF1">
        <w:t>unding of public health care and, in particular, allocation of the budget a</w:t>
      </w:r>
      <w:r w:rsidRPr="00D13AF1">
        <w:t>cross provinces and territories;</w:t>
      </w:r>
    </w:p>
    <w:p w14:paraId="6614A087" w14:textId="0BBACA53" w:rsidR="00255B2F" w:rsidRPr="00D13AF1" w:rsidRDefault="00687EF4" w:rsidP="00255B2F">
      <w:pPr>
        <w:pStyle w:val="Bulletlevel1"/>
      </w:pPr>
      <w:r w:rsidRPr="00D13AF1">
        <w:t>a</w:t>
      </w:r>
      <w:r w:rsidR="00255B2F" w:rsidRPr="00D13AF1">
        <w:t>pproval of drugs, health-related</w:t>
      </w:r>
      <w:r w:rsidRPr="00D13AF1">
        <w:t xml:space="preserve"> products and medical equipment;</w:t>
      </w:r>
    </w:p>
    <w:p w14:paraId="405F45BE" w14:textId="0A1A394F" w:rsidR="00255B2F" w:rsidRPr="00D13AF1" w:rsidRDefault="00687EF4" w:rsidP="00255B2F">
      <w:pPr>
        <w:pStyle w:val="Bulletlevel1"/>
      </w:pPr>
      <w:r w:rsidRPr="00D13AF1">
        <w:t>c</w:t>
      </w:r>
      <w:r w:rsidR="00255B2F" w:rsidRPr="00D13AF1">
        <w:t>ompetition and antitrust regulation on health care markets.</w:t>
      </w:r>
      <w:r w:rsidRPr="00D13AF1">
        <w:rPr>
          <w:rStyle w:val="FootnoteReference"/>
        </w:rPr>
        <w:footnoteReference w:id="76"/>
      </w:r>
      <w:r w:rsidRPr="00D13AF1">
        <w:rPr>
          <w:vertAlign w:val="superscript"/>
        </w:rPr>
        <w:t>,</w:t>
      </w:r>
      <w:r w:rsidRPr="00D13AF1">
        <w:rPr>
          <w:rStyle w:val="FootnoteReference"/>
        </w:rPr>
        <w:footnoteReference w:id="77"/>
      </w:r>
    </w:p>
    <w:p w14:paraId="220356AD" w14:textId="77777777" w:rsidR="00255B2F" w:rsidRPr="00D13AF1" w:rsidRDefault="00255B2F" w:rsidP="00255B2F">
      <w:pPr>
        <w:pStyle w:val="BodyEE"/>
      </w:pPr>
      <w:r w:rsidRPr="00D13AF1">
        <w:t>Provincial and territorial regulatory authorities are responsible for regulating health care (hospitals and medical professionals) as well as insurance arrangements. If the province wishes to obtain federal funding (note that it is not required to do so), its insurance programme has to meet certain criteria.</w:t>
      </w:r>
    </w:p>
    <w:p w14:paraId="0DB251A4" w14:textId="77777777" w:rsidR="00255B2F" w:rsidRPr="00D13AF1" w:rsidRDefault="00255B2F" w:rsidP="00255B2F">
      <w:pPr>
        <w:pStyle w:val="BodyEE"/>
      </w:pPr>
      <w:r w:rsidRPr="00D13AF1">
        <w:t xml:space="preserve">The Federation of Medical Regulatory Authorities of Canada (FMRAC) provides a forum for provincial medical authorities to discuss common problems and issues, and develop a common approach and policies in relation to health care. The </w:t>
      </w:r>
      <w:r w:rsidRPr="00D13AF1">
        <w:rPr>
          <w:rStyle w:val="EmphasisPinkChar"/>
        </w:rPr>
        <w:t>FMRAC does not provide specific rules and regulations, rather it provides recommendations</w:t>
      </w:r>
      <w:r w:rsidRPr="00D13AF1">
        <w:t xml:space="preserve"> to its member authorities on what should be covered in a given regulation.</w:t>
      </w:r>
    </w:p>
    <w:p w14:paraId="0CF2B34F" w14:textId="77777777" w:rsidR="00255B2F" w:rsidRPr="00D13AF1" w:rsidRDefault="00255B2F" w:rsidP="00255B2F">
      <w:pPr>
        <w:pStyle w:val="BodyEE"/>
      </w:pPr>
      <w:r w:rsidRPr="00D13AF1">
        <w:t>The Royal College of Physicians and Surgeons of Canada oversees the medical education and training in Canada while the Medical Council of Canada is responsible for examination and evaluation of individual medical professionals. Neither of the two bodies grants license to practice medicine, this is reserved to provincial and territorial authorities.</w:t>
      </w:r>
    </w:p>
    <w:p w14:paraId="55D5900D" w14:textId="6E1481CE" w:rsidR="00255B2F" w:rsidRPr="00D13AF1" w:rsidRDefault="00255B2F" w:rsidP="00255B2F">
      <w:pPr>
        <w:pStyle w:val="BodyEE"/>
      </w:pPr>
      <w:r w:rsidRPr="00D13AF1">
        <w:rPr>
          <w:shd w:val="clear" w:color="auto" w:fill="FFFFFF"/>
        </w:rPr>
        <w:t>The Health Products and Food Branch is respo</w:t>
      </w:r>
      <w:r w:rsidR="00820985" w:rsidRPr="00D13AF1">
        <w:rPr>
          <w:shd w:val="clear" w:color="auto" w:fill="FFFFFF"/>
        </w:rPr>
        <w:t>nsible for the regulation of dru</w:t>
      </w:r>
      <w:r w:rsidRPr="00D13AF1">
        <w:rPr>
          <w:shd w:val="clear" w:color="auto" w:fill="FFFFFF"/>
        </w:rPr>
        <w:t>gs, medical products and devices.</w:t>
      </w:r>
    </w:p>
    <w:p w14:paraId="7D041EF5" w14:textId="3EE19BD8" w:rsidR="00255B2F" w:rsidRPr="00D13AF1" w:rsidRDefault="00255B2F" w:rsidP="00255B2F">
      <w:pPr>
        <w:pStyle w:val="Heading2Pink"/>
        <w:rPr>
          <w:lang w:eastAsia="en-GB"/>
        </w:rPr>
      </w:pPr>
      <w:bookmarkStart w:id="115" w:name="_Toc504484147"/>
      <w:r w:rsidRPr="00D13AF1">
        <w:t>Federation of Medical Regulatory Authorities of Canada</w:t>
      </w:r>
      <w:r w:rsidR="009D62F2" w:rsidRPr="00D13AF1">
        <w:rPr>
          <w:rStyle w:val="FootnoteReference"/>
        </w:rPr>
        <w:footnoteReference w:id="78"/>
      </w:r>
      <w:bookmarkEnd w:id="115"/>
    </w:p>
    <w:p w14:paraId="0EA79076" w14:textId="1A635546" w:rsidR="009D62F2" w:rsidRPr="00D13AF1" w:rsidRDefault="009D62F2" w:rsidP="009D62F2">
      <w:pPr>
        <w:pStyle w:val="BodyEE"/>
      </w:pPr>
      <w:r w:rsidRPr="00D13AF1">
        <w:t xml:space="preserve">FMRAC per se is not a regulatory authority, nor does it have any authority over its members. Its members are the 13 provincial and territorial medical regulatory authorities across Canada that in turn regulate individual physicians. </w:t>
      </w:r>
    </w:p>
    <w:p w14:paraId="22248DD9" w14:textId="77777777" w:rsidR="00255B2F" w:rsidRPr="00D13AF1" w:rsidRDefault="00255B2F" w:rsidP="00255B2F">
      <w:pPr>
        <w:pStyle w:val="Heading3Pink"/>
      </w:pPr>
      <w:r w:rsidRPr="00D13AF1">
        <w:lastRenderedPageBreak/>
        <w:t>Definition of telemedicine</w:t>
      </w:r>
    </w:p>
    <w:p w14:paraId="6F628696" w14:textId="5982084D" w:rsidR="00255B2F" w:rsidRPr="00D13AF1" w:rsidRDefault="00255B2F" w:rsidP="00255B2F">
      <w:pPr>
        <w:pStyle w:val="BodyEE"/>
      </w:pPr>
      <w:r w:rsidRPr="00D13AF1">
        <w:t>Telemedicine is the provision of medical expertise for the purpose of diagnosis and patient care by means of telecommunications and information technology where the patient and the provider are separated by distance. Telemedicine may include, but is not limited to, the provision of pathology, medical imaging and patient consultative services</w:t>
      </w:r>
      <w:r w:rsidR="002E6527" w:rsidRPr="00D13AF1">
        <w:t>.</w:t>
      </w:r>
    </w:p>
    <w:p w14:paraId="31D9D4AB" w14:textId="77777777" w:rsidR="009D62F2" w:rsidRPr="00D13AF1" w:rsidRDefault="009D62F2" w:rsidP="009D62F2">
      <w:pPr>
        <w:pStyle w:val="Heading3Pink"/>
      </w:pPr>
      <w:r w:rsidRPr="00D13AF1">
        <w:t>Frameworks for telemedicine regulation</w:t>
      </w:r>
    </w:p>
    <w:p w14:paraId="0CC068D5" w14:textId="77777777" w:rsidR="009D62F2" w:rsidRPr="00D13AF1" w:rsidRDefault="009D62F2" w:rsidP="009D62F2">
      <w:pPr>
        <w:pStyle w:val="BodyEE"/>
      </w:pPr>
      <w:r w:rsidRPr="00D13AF1">
        <w:t>The FMRAC has issued formal regulations and/or policies regarding telemedicine.</w:t>
      </w:r>
    </w:p>
    <w:p w14:paraId="4C827C82" w14:textId="77777777" w:rsidR="009D62F2" w:rsidRPr="00D13AF1" w:rsidRDefault="009D62F2" w:rsidP="009D62F2">
      <w:pPr>
        <w:pStyle w:val="BodyEE"/>
      </w:pPr>
      <w:r w:rsidRPr="00D13AF1">
        <w:t>However, as it not a regulatory authority, their Policy on Telemedicine provides suggested approaches to the medical regulatory authorities across Canada.</w:t>
      </w:r>
    </w:p>
    <w:p w14:paraId="44EF6BDB" w14:textId="77777777" w:rsidR="009D62F2" w:rsidRPr="00D13AF1" w:rsidRDefault="009D62F2" w:rsidP="009D62F2">
      <w:pPr>
        <w:pStyle w:val="BodyEE"/>
      </w:pPr>
      <w:r w:rsidRPr="00D13AF1">
        <w:t>The Board has directed that the current policy from 2010 be reviewed and updated. In addition, FMRAC will consider the regulatory aspects that are necessary in the realms of virtual and digital health care.</w:t>
      </w:r>
    </w:p>
    <w:p w14:paraId="3009883A" w14:textId="77777777" w:rsidR="009D62F2" w:rsidRPr="00D13AF1" w:rsidRDefault="009D62F2" w:rsidP="009D62F2">
      <w:pPr>
        <w:pStyle w:val="Heading3Pink"/>
      </w:pPr>
      <w:r w:rsidRPr="00D13AF1">
        <w:t>Regulation of individual doctors who provide telemedicine services</w:t>
      </w:r>
    </w:p>
    <w:p w14:paraId="78BBE079" w14:textId="77777777" w:rsidR="009D62F2" w:rsidRPr="00D13AF1" w:rsidRDefault="009D62F2" w:rsidP="009D62F2">
      <w:pPr>
        <w:pStyle w:val="BodyEE"/>
        <w:rPr>
          <w:i/>
        </w:rPr>
      </w:pPr>
      <w:r w:rsidRPr="00D13AF1">
        <w:rPr>
          <w:i/>
        </w:rPr>
        <w:t>Each Medical Regulatory Authority should:</w:t>
      </w:r>
    </w:p>
    <w:p w14:paraId="5A9F8621" w14:textId="38C6BE3D" w:rsidR="009D62F2" w:rsidRPr="00D13AF1" w:rsidRDefault="009D62F2" w:rsidP="009D62F2">
      <w:pPr>
        <w:pStyle w:val="Bulletlevel1"/>
      </w:pPr>
      <w:r w:rsidRPr="00D13AF1">
        <w:t xml:space="preserve">publish its requirements for the provision of telemedicine services </w:t>
      </w:r>
      <w:r w:rsidR="00DE6E3A">
        <w:t>for</w:t>
      </w:r>
      <w:r w:rsidR="00DE6E3A" w:rsidRPr="00D13AF1">
        <w:t xml:space="preserve"> </w:t>
      </w:r>
      <w:r w:rsidRPr="00D13AF1">
        <w:t>their jurisdictions;</w:t>
      </w:r>
    </w:p>
    <w:p w14:paraId="34E989B7" w14:textId="77777777" w:rsidR="009D62F2" w:rsidRPr="00D13AF1" w:rsidRDefault="009D62F2" w:rsidP="009D62F2">
      <w:pPr>
        <w:pStyle w:val="Bulletlevel1"/>
      </w:pPr>
      <w:r w:rsidRPr="00D13AF1">
        <w:t>inform its members and the public of its mandate to investigate a complaint in regards to telemedicine services received in its jurisdiction or for services provided by a physician on its register;</w:t>
      </w:r>
    </w:p>
    <w:p w14:paraId="7E54F044" w14:textId="77777777" w:rsidR="009D62F2" w:rsidRPr="00D13AF1" w:rsidRDefault="009D62F2" w:rsidP="009D62F2">
      <w:pPr>
        <w:pStyle w:val="Bulletlevel1"/>
      </w:pPr>
      <w:r w:rsidRPr="00D13AF1">
        <w:t>make it known to its members that it expects registered physicians to comply with the licensing or registration requirements of any jurisdiction into which they provide telemedicine services; and</w:t>
      </w:r>
    </w:p>
    <w:p w14:paraId="1B926926" w14:textId="77777777" w:rsidR="009D62F2" w:rsidRPr="00D13AF1" w:rsidRDefault="009D62F2" w:rsidP="009D62F2">
      <w:pPr>
        <w:pStyle w:val="Bulletlevel1"/>
      </w:pPr>
      <w:r w:rsidRPr="00D13AF1">
        <w:t>take steps to ensure that the delivery of teleradiology and telepathology services is subject to qualified local medical direction and control; and</w:t>
      </w:r>
    </w:p>
    <w:p w14:paraId="5AD8A7CD" w14:textId="77777777" w:rsidR="009D62F2" w:rsidRPr="00D13AF1" w:rsidRDefault="009D62F2" w:rsidP="009D62F2">
      <w:pPr>
        <w:pStyle w:val="Bulletlevel1"/>
      </w:pPr>
      <w:r w:rsidRPr="00D13AF1">
        <w:t>take reasonable steps to know of the existence of telemedicine services provided in its jurisdiction by physicians from outside the province or territory.</w:t>
      </w:r>
    </w:p>
    <w:p w14:paraId="44AA4AE0" w14:textId="77777777" w:rsidR="009D62F2" w:rsidRPr="00D13AF1" w:rsidRDefault="009D62F2" w:rsidP="009D62F2">
      <w:pPr>
        <w:pStyle w:val="BodyEE"/>
        <w:rPr>
          <w:i/>
          <w:lang w:eastAsia="en-GB"/>
        </w:rPr>
      </w:pPr>
      <w:r w:rsidRPr="00D13AF1">
        <w:rPr>
          <w:i/>
          <w:bdr w:val="none" w:sz="0" w:space="0" w:color="auto" w:frame="1"/>
          <w:lang w:eastAsia="en-GB"/>
        </w:rPr>
        <w:t>In addition, FMRAC recommends that:</w:t>
      </w:r>
    </w:p>
    <w:p w14:paraId="54074053" w14:textId="77777777" w:rsidR="009D62F2" w:rsidRPr="00D13AF1" w:rsidRDefault="009D62F2" w:rsidP="009D62F2">
      <w:pPr>
        <w:pStyle w:val="Bulletlevel1"/>
      </w:pPr>
      <w:r w:rsidRPr="00D13AF1">
        <w:t>Where a medical regulatory authority does not currently assess the qualifications of physicians providing telemedicine services from outside jurisdictions, the Medical Regulatory Authority should assist healthcare institutions offering telemedicine services by physicians from outside the province or territory to ensure that the qualifications of those physicians are equivalent to those required for licensure in the province or territory.</w:t>
      </w:r>
    </w:p>
    <w:p w14:paraId="353B9EE6" w14:textId="77777777" w:rsidR="009D62F2" w:rsidRPr="00D13AF1" w:rsidRDefault="009D62F2" w:rsidP="009D62F2">
      <w:pPr>
        <w:pStyle w:val="Bulletlevel1"/>
      </w:pPr>
      <w:r w:rsidRPr="00D13AF1">
        <w:t>Where a medical regulatory authority has authority or influence over healthcare institutions offering telemedicine services, the medical regulatory authority should require that all physicians from outside the province or territory are registered and licensed to practise medicine in at least one Canadian province or territory.</w:t>
      </w:r>
    </w:p>
    <w:p w14:paraId="4B4BA2DD" w14:textId="77777777" w:rsidR="009D62F2" w:rsidRPr="00D13AF1" w:rsidRDefault="009D62F2" w:rsidP="009D62F2">
      <w:pPr>
        <w:pStyle w:val="Bulletlevel1"/>
      </w:pPr>
      <w:r w:rsidRPr="00D13AF1">
        <w:t>Where a medical regulatory authority has authority or influence over healthcare institutions offering telemedicine services, the medical regulatory authority should require that each patient is informed of:</w:t>
      </w:r>
    </w:p>
    <w:p w14:paraId="2FB3D2CD" w14:textId="77777777" w:rsidR="009D62F2" w:rsidRPr="00D13AF1" w:rsidRDefault="009D62F2" w:rsidP="009D62F2">
      <w:pPr>
        <w:pStyle w:val="Bulletlevel2"/>
        <w:rPr>
          <w:lang w:eastAsia="en-GB"/>
        </w:rPr>
      </w:pPr>
      <w:r w:rsidRPr="00D13AF1">
        <w:rPr>
          <w:lang w:eastAsia="en-GB"/>
        </w:rPr>
        <w:t>the location of the physician;</w:t>
      </w:r>
    </w:p>
    <w:p w14:paraId="20AAC623" w14:textId="77777777" w:rsidR="009D62F2" w:rsidRPr="00D13AF1" w:rsidRDefault="009D62F2" w:rsidP="009D62F2">
      <w:pPr>
        <w:pStyle w:val="Bulletlevel2"/>
        <w:rPr>
          <w:lang w:eastAsia="en-GB"/>
        </w:rPr>
      </w:pPr>
      <w:r w:rsidRPr="00D13AF1">
        <w:rPr>
          <w:lang w:eastAsia="en-GB"/>
        </w:rPr>
        <w:t>how complaints about the care provided by a physician from outside the province or territory will be addressed; and,</w:t>
      </w:r>
    </w:p>
    <w:p w14:paraId="527FE104" w14:textId="77777777" w:rsidR="009D62F2" w:rsidRPr="00D13AF1" w:rsidRDefault="009D62F2" w:rsidP="009D62F2">
      <w:pPr>
        <w:pStyle w:val="Bulletlevel2"/>
        <w:rPr>
          <w:lang w:eastAsia="en-GB"/>
        </w:rPr>
      </w:pPr>
      <w:r w:rsidRPr="00D13AF1">
        <w:rPr>
          <w:lang w:eastAsia="en-GB"/>
        </w:rPr>
        <w:t>how the privacy, confidentiality and security of the patient’s personal health information will be assured.</w:t>
      </w:r>
    </w:p>
    <w:p w14:paraId="0EE8280E" w14:textId="77777777" w:rsidR="009D62F2" w:rsidRPr="00D13AF1" w:rsidRDefault="009D62F2" w:rsidP="009D62F2">
      <w:pPr>
        <w:pStyle w:val="Heading3Pink"/>
      </w:pPr>
      <w:r w:rsidRPr="00D13AF1">
        <w:lastRenderedPageBreak/>
        <w:t>Cross-jurisdiction issues in telemedicine</w:t>
      </w:r>
    </w:p>
    <w:p w14:paraId="5AE8E54A" w14:textId="04D4A62C" w:rsidR="009D62F2" w:rsidRPr="00D13AF1" w:rsidRDefault="009D62F2" w:rsidP="00255B2F">
      <w:pPr>
        <w:pStyle w:val="BodyEE"/>
      </w:pPr>
      <w:r w:rsidRPr="00D13AF1">
        <w:t>Where a medical regulatory authority has authority or influence over healthcare institutions offering telemedicine services, the medical regulatory authority should require that all physicians from outside the province or territory are registered and licensed to practise medicine in at least one Canadian province or territory.</w:t>
      </w:r>
    </w:p>
    <w:p w14:paraId="1BA559C6" w14:textId="77777777" w:rsidR="00255B2F" w:rsidRPr="00D13AF1" w:rsidRDefault="00255B2F" w:rsidP="00255B2F">
      <w:pPr>
        <w:pStyle w:val="BodyEE"/>
      </w:pPr>
      <w:r w:rsidRPr="00D13AF1">
        <w:t>The FMRAC recommends that:</w:t>
      </w:r>
    </w:p>
    <w:p w14:paraId="3171B8FA" w14:textId="11DE9A93" w:rsidR="00255B2F" w:rsidRPr="00D13AF1" w:rsidRDefault="002E6527" w:rsidP="00255B2F">
      <w:pPr>
        <w:pStyle w:val="Bulletlevel1"/>
      </w:pPr>
      <w:r w:rsidRPr="00D13AF1">
        <w:t>i</w:t>
      </w:r>
      <w:r w:rsidR="00255B2F" w:rsidRPr="00D13AF1">
        <w:t>n case the provincial authority does not have specific requirements for individual professionals offering telemedicine service to local patients but located in another province, then the medical professional should meet the licence require</w:t>
      </w:r>
      <w:r w:rsidRPr="00D13AF1">
        <w:t>ments of the patient’s province;</w:t>
      </w:r>
    </w:p>
    <w:p w14:paraId="72D22390" w14:textId="638AC94A" w:rsidR="00255B2F" w:rsidRPr="00D13AF1" w:rsidRDefault="002E6527" w:rsidP="00255B2F">
      <w:pPr>
        <w:pStyle w:val="Bulletlevel1"/>
      </w:pPr>
      <w:r w:rsidRPr="00D13AF1">
        <w:t>a</w:t>
      </w:r>
      <w:r w:rsidR="00255B2F" w:rsidRPr="00D13AF1">
        <w:t xml:space="preserve"> medical professional offering telemedicine service should be registered in at least one province (territory) of Canada.</w:t>
      </w:r>
    </w:p>
    <w:p w14:paraId="4570C21F" w14:textId="23EFBA0A" w:rsidR="008E1B0B" w:rsidRPr="00D13AF1" w:rsidRDefault="008E1B0B" w:rsidP="008E1B0B">
      <w:pPr>
        <w:pStyle w:val="Heading2Pink"/>
      </w:pPr>
      <w:bookmarkStart w:id="116" w:name="_Toc504484148"/>
      <w:bookmarkStart w:id="117" w:name="_Hlk494365458"/>
      <w:r w:rsidRPr="00D13AF1">
        <w:t>College of Physicians and Surgeons of Alberta</w:t>
      </w:r>
      <w:r w:rsidR="00301059" w:rsidRPr="00D13AF1">
        <w:rPr>
          <w:rStyle w:val="FootnoteReference"/>
        </w:rPr>
        <w:footnoteReference w:id="79"/>
      </w:r>
      <w:bookmarkEnd w:id="116"/>
    </w:p>
    <w:bookmarkEnd w:id="117"/>
    <w:p w14:paraId="11D3FEF3" w14:textId="77777777" w:rsidR="008E1B0B" w:rsidRPr="00D13AF1" w:rsidRDefault="008E1B0B" w:rsidP="008E1B0B">
      <w:pPr>
        <w:pStyle w:val="BodyEE"/>
        <w:rPr>
          <w:lang w:eastAsia="en-GB"/>
        </w:rPr>
      </w:pPr>
      <w:r w:rsidRPr="00D13AF1">
        <w:t xml:space="preserve">The College regulates </w:t>
      </w:r>
      <w:r w:rsidRPr="00D13AF1">
        <w:rPr>
          <w:lang w:eastAsia="en-GB"/>
        </w:rPr>
        <w:t>Individual healthcare professionals. It regulates physicians in Alberta, Canada.</w:t>
      </w:r>
    </w:p>
    <w:p w14:paraId="0CE86FAC" w14:textId="77777777" w:rsidR="008E1B0B" w:rsidRPr="00D13AF1" w:rsidRDefault="008E1B0B" w:rsidP="008E1B0B">
      <w:pPr>
        <w:pStyle w:val="Heading3Pink"/>
      </w:pPr>
      <w:bookmarkStart w:id="118" w:name="_Ref499730810"/>
      <w:r w:rsidRPr="00D13AF1">
        <w:t>Definition of telemedicine</w:t>
      </w:r>
      <w:bookmarkEnd w:id="118"/>
    </w:p>
    <w:p w14:paraId="4C10C039" w14:textId="77777777" w:rsidR="008E1B0B" w:rsidRPr="00D13AF1" w:rsidRDefault="008E1B0B" w:rsidP="008E1B0B">
      <w:pPr>
        <w:pStyle w:val="BodyEE"/>
      </w:pPr>
      <w:bookmarkStart w:id="119" w:name="_Hlk494365462"/>
      <w:r w:rsidRPr="00D13AF1">
        <w:t>They define telemedicine as “provision of medical diagnosis and patient care through electronic communication where the patient and the provider are in different locations”.</w:t>
      </w:r>
    </w:p>
    <w:bookmarkEnd w:id="119"/>
    <w:p w14:paraId="39AB2106" w14:textId="77777777" w:rsidR="008E1B0B" w:rsidRPr="00D13AF1" w:rsidRDefault="008E1B0B" w:rsidP="008E1B0B">
      <w:pPr>
        <w:pStyle w:val="Heading3Pink"/>
      </w:pPr>
      <w:r w:rsidRPr="00D13AF1">
        <w:t>Frameworks for telemedicine regulation</w:t>
      </w:r>
    </w:p>
    <w:p w14:paraId="751EC69B" w14:textId="77777777" w:rsidR="008E1B0B" w:rsidRPr="00D13AF1" w:rsidRDefault="008E1B0B" w:rsidP="008E1B0B">
      <w:pPr>
        <w:pStyle w:val="BodyEE"/>
      </w:pPr>
      <w:r w:rsidRPr="00D13AF1">
        <w:t>The College has formal regulations and/or policies regarding telemedicine.</w:t>
      </w:r>
    </w:p>
    <w:p w14:paraId="38B629EF" w14:textId="77777777" w:rsidR="008E1B0B" w:rsidRPr="00D13AF1" w:rsidRDefault="008E1B0B" w:rsidP="008E1B0B">
      <w:pPr>
        <w:pStyle w:val="BodyEE"/>
      </w:pPr>
      <w:r w:rsidRPr="00D13AF1">
        <w:t xml:space="preserve">It develops requirements in the following areas: </w:t>
      </w:r>
    </w:p>
    <w:p w14:paraId="3F7398F4" w14:textId="77777777" w:rsidR="008E1B0B" w:rsidRPr="00D13AF1" w:rsidRDefault="008E1B0B" w:rsidP="008E1B0B">
      <w:pPr>
        <w:pStyle w:val="Bulletlevel1"/>
      </w:pPr>
      <w:r w:rsidRPr="00D13AF1">
        <w:t>licensing and/or registration;</w:t>
      </w:r>
    </w:p>
    <w:p w14:paraId="50BFAE64" w14:textId="77777777" w:rsidR="008E1B0B" w:rsidRPr="00D13AF1" w:rsidRDefault="008E1B0B" w:rsidP="008E1B0B">
      <w:pPr>
        <w:pStyle w:val="Bulletlevel1"/>
      </w:pPr>
      <w:r w:rsidRPr="00D13AF1">
        <w:t>qualifications and training, including continuing professional development;</w:t>
      </w:r>
    </w:p>
    <w:p w14:paraId="649225CA" w14:textId="77777777" w:rsidR="008E1B0B" w:rsidRPr="00D13AF1" w:rsidRDefault="008E1B0B" w:rsidP="008E1B0B">
      <w:pPr>
        <w:pStyle w:val="Bulletlevel1"/>
      </w:pPr>
      <w:r w:rsidRPr="00D13AF1">
        <w:t>standards of work.</w:t>
      </w:r>
    </w:p>
    <w:p w14:paraId="55C0B310" w14:textId="77777777" w:rsidR="008E1B0B" w:rsidRPr="00D13AF1" w:rsidRDefault="008E1B0B" w:rsidP="008E1B0B">
      <w:pPr>
        <w:pStyle w:val="BodyEE"/>
      </w:pPr>
      <w:r w:rsidRPr="00D13AF1">
        <w:t xml:space="preserve">The College works with Alberta Health Services, the single regional health authority in Alberta.  It needs to ensure its standards are consistent with their needs as the main telemedicine provider in the province. </w:t>
      </w:r>
    </w:p>
    <w:p w14:paraId="5CA2503E" w14:textId="77777777" w:rsidR="008E1B0B" w:rsidRPr="00D13AF1" w:rsidRDefault="008E1B0B" w:rsidP="008E1B0B">
      <w:pPr>
        <w:pStyle w:val="Heading3Pink"/>
      </w:pPr>
      <w:bookmarkStart w:id="120" w:name="_Ref499731341"/>
      <w:r w:rsidRPr="00D13AF1">
        <w:t>Regulation of individual doctors who provide telemedicine services</w:t>
      </w:r>
      <w:bookmarkEnd w:id="120"/>
    </w:p>
    <w:p w14:paraId="59ED35C9" w14:textId="77777777" w:rsidR="008E1B0B" w:rsidRPr="00D13AF1" w:rsidRDefault="008E1B0B" w:rsidP="008E1B0B">
      <w:pPr>
        <w:pStyle w:val="Bulletlevel1"/>
      </w:pPr>
      <w:r w:rsidRPr="00D13AF1">
        <w:t>A physician must not issue or sign a prescription, by electronic or other means, unless the physician</w:t>
      </w:r>
      <w:r w:rsidRPr="00D13AF1">
        <w:rPr>
          <w:rStyle w:val="FootnoteReference"/>
        </w:rPr>
        <w:footnoteReference w:id="80"/>
      </w:r>
      <w:r w:rsidRPr="00D13AF1">
        <w:t>:</w:t>
      </w:r>
    </w:p>
    <w:p w14:paraId="7C3542FF" w14:textId="77777777" w:rsidR="008E1B0B" w:rsidRPr="00D13AF1" w:rsidRDefault="008E1B0B" w:rsidP="008E1B0B">
      <w:pPr>
        <w:pStyle w:val="Bulletlevel2"/>
      </w:pPr>
      <w:r w:rsidRPr="00D13AF1">
        <w:t>obtains a medical history and conducts an appropriate examination of the patient adequate to establish a diagnosis and identify underlying conditions;</w:t>
      </w:r>
    </w:p>
    <w:p w14:paraId="22582ED1" w14:textId="77777777" w:rsidR="008E1B0B" w:rsidRPr="00D13AF1" w:rsidRDefault="008E1B0B" w:rsidP="008E1B0B">
      <w:pPr>
        <w:pStyle w:val="Bulletlevel2"/>
      </w:pPr>
      <w:r w:rsidRPr="00D13AF1">
        <w:t>ensures there are no absolute contraindications to the treatment recommended or provided; and</w:t>
      </w:r>
    </w:p>
    <w:p w14:paraId="2C08DD45" w14:textId="77777777" w:rsidR="008E1B0B" w:rsidRPr="00D13AF1" w:rsidRDefault="008E1B0B" w:rsidP="008E1B0B">
      <w:pPr>
        <w:pStyle w:val="Bulletlevel2"/>
      </w:pPr>
      <w:r w:rsidRPr="00D13AF1">
        <w:t>has an appropriate, informed discussion to ensure the patient understands the risks, benefits and course of action if concerns are identified.</w:t>
      </w:r>
    </w:p>
    <w:p w14:paraId="6B1D75A2" w14:textId="77777777" w:rsidR="008E1B0B" w:rsidRPr="00D13AF1" w:rsidRDefault="008E1B0B" w:rsidP="008E1B0B">
      <w:pPr>
        <w:pStyle w:val="Bulletlevel1"/>
      </w:pPr>
      <w:r w:rsidRPr="00D13AF1">
        <w:lastRenderedPageBreak/>
        <w:t>Notwithstanding section 5, a physician may issue a prescription without meeting the full scope of the requirements listed above in the following circumstances:</w:t>
      </w:r>
    </w:p>
    <w:p w14:paraId="6436B253" w14:textId="77777777" w:rsidR="008E1B0B" w:rsidRPr="00D13AF1" w:rsidRDefault="008E1B0B" w:rsidP="008E1B0B">
      <w:pPr>
        <w:pStyle w:val="Bulletlevel2"/>
      </w:pPr>
      <w:r w:rsidRPr="00D13AF1">
        <w:t>for emergency treatment of a patient; or</w:t>
      </w:r>
    </w:p>
    <w:p w14:paraId="2163F857" w14:textId="77777777" w:rsidR="008E1B0B" w:rsidRPr="00D13AF1" w:rsidRDefault="008E1B0B" w:rsidP="008E1B0B">
      <w:pPr>
        <w:pStyle w:val="Bulletlevel2"/>
      </w:pPr>
      <w:r w:rsidRPr="00D13AF1">
        <w:t>in consultation with another physician who has an ongoing relationship with the patient and who has agreed to provide ongoing supervision of the patient’s treatment; or</w:t>
      </w:r>
    </w:p>
    <w:p w14:paraId="133AE173" w14:textId="77777777" w:rsidR="008E1B0B" w:rsidRPr="00D13AF1" w:rsidRDefault="008E1B0B" w:rsidP="008E1B0B">
      <w:pPr>
        <w:pStyle w:val="Bulletlevel2"/>
      </w:pPr>
      <w:r w:rsidRPr="00D13AF1">
        <w:t>in an on-call or cross-coverage situation in which the prescribing physician has access to the patient’s medical records.</w:t>
      </w:r>
    </w:p>
    <w:p w14:paraId="54E7A2F6" w14:textId="77777777" w:rsidR="008E1B0B" w:rsidRPr="00D13AF1" w:rsidRDefault="008E1B0B" w:rsidP="008E1B0B">
      <w:pPr>
        <w:pStyle w:val="BodyEE"/>
      </w:pPr>
      <w:r w:rsidRPr="00D13AF1">
        <w:t>Additionally, the College has replied to our survey that they will be updating their telemedicine standards in the future.</w:t>
      </w:r>
    </w:p>
    <w:p w14:paraId="55639B52" w14:textId="77777777" w:rsidR="008E1B0B" w:rsidRPr="00D13AF1" w:rsidRDefault="008E1B0B" w:rsidP="008E1B0B">
      <w:pPr>
        <w:pStyle w:val="Heading3Pink"/>
      </w:pPr>
      <w:bookmarkStart w:id="121" w:name="_Ref499732135"/>
      <w:r w:rsidRPr="00D13AF1">
        <w:t>Cross-jurisdiction issues in telemedicine</w:t>
      </w:r>
      <w:bookmarkEnd w:id="121"/>
    </w:p>
    <w:p w14:paraId="694A7E77" w14:textId="77777777" w:rsidR="008E1B0B" w:rsidRPr="00D13AF1" w:rsidRDefault="008E1B0B" w:rsidP="008E1B0B">
      <w:pPr>
        <w:pStyle w:val="Bulletlevel1"/>
      </w:pPr>
      <w:r w:rsidRPr="00D13AF1">
        <w:t>A physician who practises telemedicine for a patient located within Alberta must:</w:t>
      </w:r>
    </w:p>
    <w:p w14:paraId="69E287B9" w14:textId="77777777" w:rsidR="008E1B0B" w:rsidRPr="00D13AF1" w:rsidRDefault="008E1B0B" w:rsidP="008E1B0B">
      <w:pPr>
        <w:pStyle w:val="Bulletlevel2"/>
      </w:pPr>
      <w:r w:rsidRPr="00D13AF1">
        <w:t>hold a valid and active Alberta practice permit with the College; and</w:t>
      </w:r>
    </w:p>
    <w:p w14:paraId="327DC503" w14:textId="77777777" w:rsidR="008E1B0B" w:rsidRPr="00D13AF1" w:rsidRDefault="008E1B0B" w:rsidP="008E1B0B">
      <w:pPr>
        <w:pStyle w:val="Bulletlevel2"/>
      </w:pPr>
      <w:r w:rsidRPr="00D13AF1">
        <w:t>adhere to the College Standards of Practice, Code of Conduct and Code of Ethics.</w:t>
      </w:r>
    </w:p>
    <w:p w14:paraId="1DFBC0C9" w14:textId="77777777" w:rsidR="008E1B0B" w:rsidRPr="00D13AF1" w:rsidRDefault="008E1B0B" w:rsidP="008E1B0B">
      <w:pPr>
        <w:pStyle w:val="Bulletlevel1"/>
      </w:pPr>
      <w:r w:rsidRPr="00D13AF1">
        <w:t>Notwithstanding subsection 2 (a), a physician who does not hold a valid and active Alberta practice permit may practise telemedicine for a patient located within Alberta if:</w:t>
      </w:r>
    </w:p>
    <w:p w14:paraId="5E1F9770" w14:textId="77777777" w:rsidR="008E1B0B" w:rsidRPr="00D13AF1" w:rsidRDefault="008E1B0B" w:rsidP="008E1B0B">
      <w:pPr>
        <w:pStyle w:val="Bulletlevel2"/>
      </w:pPr>
      <w:r w:rsidRPr="00D13AF1">
        <w:t>the total number of telemedicine events are limited to five (5) times per year; or</w:t>
      </w:r>
    </w:p>
    <w:p w14:paraId="7D019B45" w14:textId="77777777" w:rsidR="008E1B0B" w:rsidRPr="00D13AF1" w:rsidRDefault="008E1B0B" w:rsidP="008E1B0B">
      <w:pPr>
        <w:pStyle w:val="Bulletlevel2"/>
      </w:pPr>
      <w:r w:rsidRPr="00D13AF1">
        <w:t>the telemedicine event is for emergency assessment or treatment of a patient.</w:t>
      </w:r>
    </w:p>
    <w:p w14:paraId="41AEA25F" w14:textId="77777777" w:rsidR="008E1B0B" w:rsidRPr="00D13AF1" w:rsidRDefault="008E1B0B" w:rsidP="008E1B0B">
      <w:pPr>
        <w:pStyle w:val="Bulletlevel1"/>
      </w:pPr>
      <w:r w:rsidRPr="00D13AF1">
        <w:t>A physician who holds a valid and active Alberta practice permit and practises telemedicine for a patient located outside Alberta must comply with the licensing or registration requirements of the jurisdiction in which the patient is located.</w:t>
      </w:r>
    </w:p>
    <w:p w14:paraId="4BA994B9" w14:textId="1D477502" w:rsidR="00B81FDA" w:rsidRPr="00D13AF1" w:rsidRDefault="00B81FDA" w:rsidP="00B81FDA">
      <w:pPr>
        <w:pStyle w:val="Heading2Pink"/>
      </w:pPr>
      <w:bookmarkStart w:id="122" w:name="_Toc504484149"/>
      <w:r w:rsidRPr="00D13AF1">
        <w:t>College of Physicians and Surgeons of British Columbia</w:t>
      </w:r>
      <w:r w:rsidRPr="00D13AF1">
        <w:rPr>
          <w:rStyle w:val="FootnoteReference"/>
        </w:rPr>
        <w:footnoteReference w:id="81"/>
      </w:r>
      <w:bookmarkEnd w:id="122"/>
    </w:p>
    <w:p w14:paraId="43BB5386" w14:textId="0ECE5A7A" w:rsidR="00B81FDA" w:rsidRPr="00D13AF1" w:rsidRDefault="002F75B4" w:rsidP="00B81FDA">
      <w:pPr>
        <w:pStyle w:val="BodyEE"/>
      </w:pPr>
      <w:r w:rsidRPr="00D13AF1">
        <w:t>The C</w:t>
      </w:r>
      <w:r w:rsidR="00F02143" w:rsidRPr="00D13AF1">
        <w:t xml:space="preserve">ollege </w:t>
      </w:r>
      <w:r w:rsidRPr="00D13AF1">
        <w:t>covers</w:t>
      </w:r>
      <w:r w:rsidR="00F02143" w:rsidRPr="00D13AF1">
        <w:t xml:space="preserve"> p</w:t>
      </w:r>
      <w:r w:rsidR="00B81FDA" w:rsidRPr="00D13AF1">
        <w:t>hysicians and surgeons</w:t>
      </w:r>
      <w:r w:rsidRPr="00D13AF1">
        <w:t xml:space="preserve"> in British Columbia,</w:t>
      </w:r>
      <w:r w:rsidR="00B81FDA" w:rsidRPr="00D13AF1">
        <w:t xml:space="preserve"> including those on the educational register.</w:t>
      </w:r>
    </w:p>
    <w:p w14:paraId="04801F1D" w14:textId="77777777" w:rsidR="00B81FDA" w:rsidRPr="00D13AF1" w:rsidRDefault="00B81FDA" w:rsidP="00B81FDA">
      <w:pPr>
        <w:pStyle w:val="Heading3Pink"/>
      </w:pPr>
      <w:bookmarkStart w:id="123" w:name="_Ref499730817"/>
      <w:r w:rsidRPr="00D13AF1">
        <w:t>Definition of telemedicine</w:t>
      </w:r>
      <w:bookmarkEnd w:id="123"/>
    </w:p>
    <w:p w14:paraId="4236506F" w14:textId="745BE6B4" w:rsidR="00B81FDA" w:rsidRPr="00D13AF1" w:rsidRDefault="002F75B4" w:rsidP="00B81FDA">
      <w:pPr>
        <w:pStyle w:val="BodyEE"/>
      </w:pPr>
      <w:r w:rsidRPr="00D13AF1">
        <w:t>The College defines telemedicine as the p</w:t>
      </w:r>
      <w:r w:rsidR="00B81FDA" w:rsidRPr="00D13AF1">
        <w:t>rovision of medical expertise for the purpose of diagnosis and patient care by means of telecommunication and information technology where the patient and provider are separated by distance.</w:t>
      </w:r>
    </w:p>
    <w:p w14:paraId="38B8954E" w14:textId="649E43EA" w:rsidR="00B81FDA" w:rsidRPr="00D13AF1" w:rsidRDefault="002F75B4" w:rsidP="00B81FDA">
      <w:pPr>
        <w:pStyle w:val="BodyEE"/>
      </w:pPr>
      <w:r w:rsidRPr="00D13AF1">
        <w:t xml:space="preserve">Also, the College refers to the </w:t>
      </w:r>
      <w:r w:rsidR="00B81FDA" w:rsidRPr="00D13AF1">
        <w:t>definition by Federation of Medical Regulatory Authorities of Canada (FMRAC):</w:t>
      </w:r>
    </w:p>
    <w:p w14:paraId="1C44A928" w14:textId="77777777" w:rsidR="00B81FDA" w:rsidRPr="00D13AF1" w:rsidRDefault="00B81FDA" w:rsidP="00B81FDA">
      <w:pPr>
        <w:pStyle w:val="LongQuotePurple"/>
      </w:pPr>
      <w:r w:rsidRPr="00D13AF1">
        <w:t>“Telemedicine is the provision of medical expertise for the purpose of diagnosis and patient care by means of telecommunications and information technology where the patient and the provider are separated by distance. Telemedicine may include, but is not limited to, the provision of pathology, medical imaging and patient consultative service”</w:t>
      </w:r>
    </w:p>
    <w:p w14:paraId="111A1284" w14:textId="77777777" w:rsidR="00B81FDA" w:rsidRPr="00D13AF1" w:rsidRDefault="00B81FDA" w:rsidP="00B81FDA">
      <w:pPr>
        <w:pStyle w:val="Heading3Pink"/>
      </w:pPr>
      <w:r w:rsidRPr="00D13AF1">
        <w:t>Frameworks for telemedicine regulation</w:t>
      </w:r>
    </w:p>
    <w:p w14:paraId="19706B32" w14:textId="76139A7A" w:rsidR="00B81FDA" w:rsidRDefault="00B81FDA" w:rsidP="00B81FDA">
      <w:pPr>
        <w:pStyle w:val="BodyEE"/>
      </w:pPr>
      <w:r w:rsidRPr="00D13AF1">
        <w:t>The College has formal regulations and/or policies regarding telemedicine. It develops requirements regarding standards of work</w:t>
      </w:r>
      <w:r w:rsidR="002F75B4" w:rsidRPr="00D13AF1">
        <w:t>. They also</w:t>
      </w:r>
      <w:r w:rsidRPr="00D13AF1">
        <w:t xml:space="preserve"> work with FMRAC </w:t>
      </w:r>
      <w:r w:rsidR="002F75B4" w:rsidRPr="00D13AF1">
        <w:t>to harmonis</w:t>
      </w:r>
      <w:r w:rsidRPr="00D13AF1">
        <w:t xml:space="preserve">e </w:t>
      </w:r>
      <w:r w:rsidR="002F75B4" w:rsidRPr="00D13AF1">
        <w:t>regulations across Canada</w:t>
      </w:r>
      <w:r w:rsidRPr="00D13AF1">
        <w:t>.</w:t>
      </w:r>
    </w:p>
    <w:p w14:paraId="1BCC6103" w14:textId="6DBC2132" w:rsidR="006D0211" w:rsidRDefault="006D0211" w:rsidP="006D0211">
      <w:pPr>
        <w:pStyle w:val="BodyEE"/>
      </w:pPr>
      <w:r>
        <w:lastRenderedPageBreak/>
        <w:t>A standard reflects the minimum standard of professional behaviour and ethical conduct on a specific topic or issue expected by the College of all physicians in British Columbia. Standards also reflect relevant legal requirements and are enforceable under the Health Professions Act, RSBC 1996, c.183 (HPA) and College Bylaws under the HPA.</w:t>
      </w:r>
    </w:p>
    <w:p w14:paraId="6500CD8E" w14:textId="2409884D" w:rsidR="006D0211" w:rsidRPr="00D13AF1" w:rsidRDefault="006D0211" w:rsidP="006D0211">
      <w:pPr>
        <w:pStyle w:val="BodyEE"/>
      </w:pPr>
      <w:r>
        <w:t>A guideline reflects a recommended course of action established based on the values, principles and duties of the medical profession. Physicians may exercise reasonable discretion in their decision making based on the guidance provided.</w:t>
      </w:r>
    </w:p>
    <w:p w14:paraId="08CD0B79" w14:textId="77777777" w:rsidR="00B81FDA" w:rsidRPr="00D13AF1" w:rsidRDefault="00B81FDA" w:rsidP="00B81FDA">
      <w:pPr>
        <w:pStyle w:val="Heading3Pink"/>
      </w:pPr>
      <w:bookmarkStart w:id="124" w:name="_Ref499731348"/>
      <w:r w:rsidRPr="00D13AF1">
        <w:t>Regulation of individual doctors who provide telemedicine services</w:t>
      </w:r>
      <w:bookmarkEnd w:id="124"/>
    </w:p>
    <w:p w14:paraId="4C3E4D6E" w14:textId="20AE374E" w:rsidR="005C4DBA" w:rsidRDefault="006D0211" w:rsidP="00B81FDA">
      <w:pPr>
        <w:pStyle w:val="BodyEE"/>
      </w:pPr>
      <w:r>
        <w:t>The regulation of telemedicine is set out in the College’s Standard on Telemedicine.</w:t>
      </w:r>
      <w:r>
        <w:rPr>
          <w:rStyle w:val="FootnoteReference"/>
        </w:rPr>
        <w:footnoteReference w:id="82"/>
      </w:r>
      <w:r>
        <w:t xml:space="preserve"> As a standard, the contents of this regulation are </w:t>
      </w:r>
      <w:r w:rsidR="005C4DBA">
        <w:t>considered binding and reflect the minimum sta</w:t>
      </w:r>
      <w:r w:rsidR="004A3020">
        <w:t xml:space="preserve">ndards expected by the College, and as such are enforceable by law. </w:t>
      </w:r>
    </w:p>
    <w:p w14:paraId="3D3DDE2D" w14:textId="0D2D3FF8" w:rsidR="00B81FDA" w:rsidRPr="00D13AF1" w:rsidRDefault="00B81FDA" w:rsidP="00B81FDA">
      <w:pPr>
        <w:pStyle w:val="BodyEE"/>
      </w:pPr>
      <w:r w:rsidRPr="00D13AF1">
        <w:t xml:space="preserve">In providing medical care using telecommunications technologies, physicians are advised that they are responsible to: </w:t>
      </w:r>
    </w:p>
    <w:p w14:paraId="09812730" w14:textId="6F0286C4" w:rsidR="00B81FDA" w:rsidRPr="00D13AF1" w:rsidRDefault="00B81FDA" w:rsidP="00B81FDA">
      <w:pPr>
        <w:pStyle w:val="Bulletlevel1"/>
      </w:pPr>
      <w:r w:rsidRPr="00D13AF1">
        <w:t>ensure that both the physician-site and the patient-site are using appropriate technology that complies with legal requirements regarding privacy and security and accreditation standards where required</w:t>
      </w:r>
      <w:r w:rsidR="00690F2D" w:rsidRPr="00D13AF1">
        <w:t>;</w:t>
      </w:r>
      <w:r w:rsidRPr="00D13AF1">
        <w:t xml:space="preserve"> </w:t>
      </w:r>
    </w:p>
    <w:p w14:paraId="3AC910D0" w14:textId="4EF902C4" w:rsidR="00B81FDA" w:rsidRPr="00D13AF1" w:rsidRDefault="00B81FDA" w:rsidP="00B81FDA">
      <w:pPr>
        <w:pStyle w:val="Bulletlevel1"/>
      </w:pPr>
      <w:r w:rsidRPr="00D13AF1">
        <w:t>ensure that the physician’s identity is known to the patient and the identity of the patient is confirmed at each consultation</w:t>
      </w:r>
      <w:r w:rsidR="00690F2D" w:rsidRPr="00D13AF1">
        <w:t>;</w:t>
      </w:r>
      <w:r w:rsidRPr="00D13AF1">
        <w:t xml:space="preserve"> </w:t>
      </w:r>
    </w:p>
    <w:p w14:paraId="4E96D421" w14:textId="41EBF2E4" w:rsidR="00B81FDA" w:rsidRPr="00D13AF1" w:rsidRDefault="00B81FDA" w:rsidP="00B81FDA">
      <w:pPr>
        <w:pStyle w:val="Bulletlevel1"/>
      </w:pPr>
      <w:r w:rsidRPr="00D13AF1">
        <w:t>ensure that the patient is aware of the physician’s location, licensure status and the privacy and security issues involved in accessing medical care in this manner</w:t>
      </w:r>
      <w:r w:rsidR="00690F2D" w:rsidRPr="00D13AF1">
        <w:t>;</w:t>
      </w:r>
      <w:r w:rsidRPr="00D13AF1">
        <w:t xml:space="preserve"> </w:t>
      </w:r>
    </w:p>
    <w:p w14:paraId="0B54C44B" w14:textId="13D1FEEE" w:rsidR="00B81FDA" w:rsidRPr="00D13AF1" w:rsidRDefault="00B81FDA" w:rsidP="00B81FDA">
      <w:pPr>
        <w:pStyle w:val="Bulletlevel1"/>
      </w:pPr>
      <w:r w:rsidRPr="00D13AF1">
        <w:t>follow all ethical and legal requirements to obtain valid informed consent and to protect the privacy and confidentiality of patient information</w:t>
      </w:r>
      <w:r w:rsidR="00690F2D" w:rsidRPr="00D13AF1">
        <w:t>;</w:t>
      </w:r>
      <w:r w:rsidRPr="00D13AF1">
        <w:t xml:space="preserve"> </w:t>
      </w:r>
    </w:p>
    <w:p w14:paraId="4DFB1D9A" w14:textId="7A2DABBA" w:rsidR="00B81FDA" w:rsidRPr="00D13AF1" w:rsidRDefault="00B81FDA" w:rsidP="00B81FDA">
      <w:pPr>
        <w:pStyle w:val="Bulletlevel1"/>
      </w:pPr>
      <w:r w:rsidRPr="00D13AF1">
        <w:t>explain the appropriateness and limitations of technology-based patient consultation and consider whether a physical examination is necessary</w:t>
      </w:r>
      <w:r w:rsidR="00690F2D" w:rsidRPr="00D13AF1">
        <w:t>;</w:t>
      </w:r>
      <w:r w:rsidRPr="00D13AF1">
        <w:t xml:space="preserve"> </w:t>
      </w:r>
    </w:p>
    <w:p w14:paraId="35AB8B2A" w14:textId="4521F269" w:rsidR="00B81FDA" w:rsidRPr="00D13AF1" w:rsidRDefault="00B81FDA" w:rsidP="00B81FDA">
      <w:pPr>
        <w:pStyle w:val="Bulletlevel1"/>
      </w:pPr>
      <w:r w:rsidRPr="00D13AF1">
        <w:t>create and maintain, in accordance with professional and legal requirements, medical records of the consultation</w:t>
      </w:r>
      <w:r w:rsidR="00690F2D" w:rsidRPr="00D13AF1">
        <w:t>;</w:t>
      </w:r>
      <w:r w:rsidRPr="00D13AF1">
        <w:t xml:space="preserve"> </w:t>
      </w:r>
    </w:p>
    <w:p w14:paraId="1106AB85" w14:textId="425D7917" w:rsidR="00B81FDA" w:rsidRPr="00D13AF1" w:rsidRDefault="00B81FDA" w:rsidP="00B81FDA">
      <w:pPr>
        <w:pStyle w:val="Bulletlevel1"/>
      </w:pPr>
      <w:r w:rsidRPr="00D13AF1">
        <w:t>provide an appropriate medical assessment based on the current symptoms or condition, past history, medications and limited examination possible</w:t>
      </w:r>
      <w:r w:rsidR="00690F2D" w:rsidRPr="00D13AF1">
        <w:t>;</w:t>
      </w:r>
      <w:r w:rsidRPr="00D13AF1">
        <w:t xml:space="preserve"> </w:t>
      </w:r>
    </w:p>
    <w:p w14:paraId="47EEB7F3" w14:textId="16FB441F" w:rsidR="00B81FDA" w:rsidRPr="00D13AF1" w:rsidRDefault="00B81FDA" w:rsidP="00B81FDA">
      <w:pPr>
        <w:pStyle w:val="Bulletlevel1"/>
      </w:pPr>
      <w:r w:rsidRPr="00D13AF1">
        <w:t>communicate with referring and other treating physicians and provide follow-up and after-hours care as medically appropriate</w:t>
      </w:r>
      <w:r w:rsidR="00690F2D" w:rsidRPr="00D13AF1">
        <w:t>;</w:t>
      </w:r>
      <w:r w:rsidRPr="00D13AF1">
        <w:t xml:space="preserve"> </w:t>
      </w:r>
    </w:p>
    <w:p w14:paraId="2C13CCAE" w14:textId="407107CB" w:rsidR="00B81FDA" w:rsidRPr="00D13AF1" w:rsidRDefault="00B81FDA" w:rsidP="00B81FDA">
      <w:pPr>
        <w:pStyle w:val="Bulletlevel1"/>
      </w:pPr>
      <w:r w:rsidRPr="00D13AF1">
        <w:t>exercise caution when providing prescriptions or other treatment recommendations to patients whom they have not personally examined</w:t>
      </w:r>
      <w:r w:rsidR="00690F2D" w:rsidRPr="00D13AF1">
        <w:t>;</w:t>
      </w:r>
      <w:r w:rsidRPr="00D13AF1">
        <w:t xml:space="preserve"> </w:t>
      </w:r>
    </w:p>
    <w:p w14:paraId="0E9FFC2A" w14:textId="14587E61" w:rsidR="00B81FDA" w:rsidRPr="00D13AF1" w:rsidRDefault="00B81FDA" w:rsidP="00B81FDA">
      <w:pPr>
        <w:pStyle w:val="Bulletlevel1"/>
      </w:pPr>
      <w:r w:rsidRPr="00D13AF1">
        <w:t>not prescribe narcotic</w:t>
      </w:r>
      <w:r w:rsidR="002659CD">
        <w:rPr>
          <w:rStyle w:val="FootnoteReference"/>
        </w:rPr>
        <w:footnoteReference w:id="83"/>
      </w:r>
      <w:r w:rsidRPr="00D13AF1">
        <w:t xml:space="preserve"> or other controlled medications to patients whom they have not personally examined or with whom they do not have a longitudinal treating relationship unless they are in direct communication with another licensed health-care practitioner who has examined the patient</w:t>
      </w:r>
      <w:r w:rsidR="00690F2D" w:rsidRPr="00D13AF1">
        <w:t>;</w:t>
      </w:r>
      <w:r w:rsidRPr="00D13AF1">
        <w:t xml:space="preserve"> </w:t>
      </w:r>
    </w:p>
    <w:p w14:paraId="2A999FA4" w14:textId="28DAC97D" w:rsidR="00B81FDA" w:rsidRPr="00D13AF1" w:rsidRDefault="00B81FDA" w:rsidP="00B81FDA">
      <w:pPr>
        <w:pStyle w:val="Bulletlevel1"/>
      </w:pPr>
      <w:r w:rsidRPr="00D13AF1">
        <w:t>not complete a document for the authorization of marijuana for medical purposes for a patient unless they have a longitudinal treating relationship with the patient or are in direct communication with another physician or nurse practitioner who has a longitudinal treating relationship and both are in agreement with</w:t>
      </w:r>
      <w:r w:rsidR="00690F2D" w:rsidRPr="00D13AF1">
        <w:t>;</w:t>
      </w:r>
      <w:r w:rsidRPr="00D13AF1">
        <w:t xml:space="preserve"> </w:t>
      </w:r>
    </w:p>
    <w:p w14:paraId="628E1BE3" w14:textId="6C7075E8" w:rsidR="00B81FDA" w:rsidRPr="00D13AF1" w:rsidRDefault="00B81FDA" w:rsidP="00B81FDA">
      <w:pPr>
        <w:pStyle w:val="Bulletlevel1"/>
      </w:pPr>
      <w:r w:rsidRPr="00D13AF1">
        <w:t>the issuance of a document for the authorization of marijuana for medical purposes</w:t>
      </w:r>
      <w:r w:rsidR="00690F2D" w:rsidRPr="00D13AF1">
        <w:t>.</w:t>
      </w:r>
    </w:p>
    <w:p w14:paraId="60AF39D8" w14:textId="77777777" w:rsidR="00B81FDA" w:rsidRPr="00D13AF1" w:rsidRDefault="00B81FDA" w:rsidP="00B81FDA">
      <w:pPr>
        <w:pStyle w:val="Heading3Pink"/>
      </w:pPr>
      <w:bookmarkStart w:id="125" w:name="_Ref499732142"/>
      <w:r w:rsidRPr="00D13AF1">
        <w:lastRenderedPageBreak/>
        <w:t>Cross-jurisdiction issues in telemedicine</w:t>
      </w:r>
      <w:bookmarkEnd w:id="125"/>
    </w:p>
    <w:p w14:paraId="3D4AEE22" w14:textId="77777777" w:rsidR="00B81FDA" w:rsidRPr="00D13AF1" w:rsidRDefault="00B81FDA" w:rsidP="00B81FDA">
      <w:pPr>
        <w:pStyle w:val="BodyEE"/>
      </w:pPr>
      <w:r w:rsidRPr="00D13AF1">
        <w:t>Physicians in British Columbia should advise patients that accessing medical care from a physician who is not located/registered in this province may pose risks related to lack of appropriate medical licensure or training and that this College may not be able to assist them with complaints relating to inappropriate medical care.</w:t>
      </w:r>
    </w:p>
    <w:p w14:paraId="7E9E6B69" w14:textId="77777777" w:rsidR="00B81FDA" w:rsidRPr="00D13AF1" w:rsidRDefault="00B81FDA" w:rsidP="00B81FDA">
      <w:pPr>
        <w:pStyle w:val="BodyEE"/>
      </w:pPr>
      <w:r w:rsidRPr="00D13AF1">
        <w:t>Physicians should also be aware that practising medicine using only electronic communication or across different jurisdictions may affect their liability insurance and they should disclose such information to their liability insurer.</w:t>
      </w:r>
    </w:p>
    <w:p w14:paraId="1E8B8BEA" w14:textId="727A3BDB" w:rsidR="00B81FDA" w:rsidRPr="00D13AF1" w:rsidRDefault="00B81FDA" w:rsidP="00B81FDA">
      <w:pPr>
        <w:pStyle w:val="Heading2Pink"/>
      </w:pPr>
      <w:bookmarkStart w:id="126" w:name="_Toc504484150"/>
      <w:r w:rsidRPr="00D13AF1">
        <w:t>College of Physicians and Surgeons of Newfoundland and Labrador</w:t>
      </w:r>
      <w:r w:rsidRPr="00D13AF1">
        <w:rPr>
          <w:rStyle w:val="FootnoteReference"/>
        </w:rPr>
        <w:footnoteReference w:id="84"/>
      </w:r>
      <w:bookmarkEnd w:id="126"/>
    </w:p>
    <w:p w14:paraId="6A8351B8" w14:textId="77777777" w:rsidR="00B81FDA" w:rsidRPr="00D13AF1" w:rsidRDefault="00B81FDA" w:rsidP="00B81FDA">
      <w:pPr>
        <w:pStyle w:val="Heading3Pink"/>
      </w:pPr>
      <w:bookmarkStart w:id="127" w:name="_Ref499730823"/>
      <w:r w:rsidRPr="00D13AF1">
        <w:t>Definition of telemedicine</w:t>
      </w:r>
      <w:bookmarkEnd w:id="127"/>
    </w:p>
    <w:p w14:paraId="4AE2E525" w14:textId="77777777" w:rsidR="00B81FDA" w:rsidRPr="00D13AF1" w:rsidRDefault="00B81FDA" w:rsidP="00B81FDA">
      <w:pPr>
        <w:pStyle w:val="BodyEE"/>
      </w:pPr>
      <w:r w:rsidRPr="00D13AF1">
        <w:t>Telemedicine is the provision of medical expertise for the purpose of diagnosis and patient care by means of telecommunications and information technology where the patient and the provider are separated by distance. Telemedicine may include, but is not limited to, the provision of pathology, medical imaging, and patient consultative services.</w:t>
      </w:r>
    </w:p>
    <w:p w14:paraId="7D7DAC75" w14:textId="77777777" w:rsidR="00B81FDA" w:rsidRPr="00D13AF1" w:rsidRDefault="00B81FDA" w:rsidP="00B81FDA">
      <w:pPr>
        <w:pStyle w:val="Heading3Pink"/>
      </w:pPr>
      <w:r w:rsidRPr="00D13AF1">
        <w:t>Frameworks for telemedicine regulation</w:t>
      </w:r>
    </w:p>
    <w:p w14:paraId="594DF38C" w14:textId="77777777" w:rsidR="00B81FDA" w:rsidRPr="00D13AF1" w:rsidRDefault="00B81FDA" w:rsidP="00B81FDA">
      <w:pPr>
        <w:pStyle w:val="BodyEE"/>
      </w:pPr>
      <w:r w:rsidRPr="00D13AF1">
        <w:t>The College will not be issuing telemedicine licences.</w:t>
      </w:r>
    </w:p>
    <w:p w14:paraId="1E852332" w14:textId="77777777" w:rsidR="00B81FDA" w:rsidRPr="00D13AF1" w:rsidRDefault="00B81FDA" w:rsidP="00B81FDA">
      <w:pPr>
        <w:pStyle w:val="BodyEE"/>
      </w:pPr>
      <w:r w:rsidRPr="00D13AF1">
        <w:t>All physicians must also hold professional liability coverage which includes the provision of telemedicine to the intended patient.</w:t>
      </w:r>
    </w:p>
    <w:p w14:paraId="74A3E6C4" w14:textId="77777777" w:rsidR="00B81FDA" w:rsidRPr="00D13AF1" w:rsidRDefault="00B81FDA" w:rsidP="00B81FDA">
      <w:pPr>
        <w:pStyle w:val="Heading3Pink"/>
      </w:pPr>
      <w:bookmarkStart w:id="128" w:name="_Ref499731356"/>
      <w:r w:rsidRPr="00D13AF1">
        <w:t>Regulation of individual doctors who provide telemedicine services</w:t>
      </w:r>
      <w:bookmarkEnd w:id="128"/>
    </w:p>
    <w:p w14:paraId="4ED8D07C" w14:textId="44072958" w:rsidR="00B81FDA" w:rsidRPr="00D13AF1" w:rsidRDefault="00B81FDA" w:rsidP="00B81FDA">
      <w:pPr>
        <w:pStyle w:val="BodyEE"/>
      </w:pPr>
      <w:r w:rsidRPr="00D13AF1">
        <w:t>A Standard of Practice in Telemedicine is the minimum standard of professional behaviour and ethical conduct on a specific issue expected by the College.</w:t>
      </w:r>
      <w:r w:rsidR="008F74BE">
        <w:rPr>
          <w:rStyle w:val="FootnoteReference"/>
        </w:rPr>
        <w:footnoteReference w:id="85"/>
      </w:r>
      <w:r w:rsidRPr="00D13AF1">
        <w:t xml:space="preserve"> </w:t>
      </w:r>
    </w:p>
    <w:p w14:paraId="6EC2F272" w14:textId="77777777" w:rsidR="00B81FDA" w:rsidRPr="00D13AF1" w:rsidRDefault="00B81FDA" w:rsidP="00B81FDA">
      <w:pPr>
        <w:pStyle w:val="BodyEE"/>
      </w:pPr>
      <w:r w:rsidRPr="00D13AF1">
        <w:t xml:space="preserve">Physicians practising telemedicine are held to the same standard of legal, ethical, competent, and professional care as physicians providing personal face to face medical services. Patient quality, safety, and appropriateness of care are always kept in high regard. </w:t>
      </w:r>
    </w:p>
    <w:p w14:paraId="47DBF19B" w14:textId="77777777" w:rsidR="00B81FDA" w:rsidRPr="00D13AF1" w:rsidRDefault="00B81FDA" w:rsidP="00B81FDA">
      <w:pPr>
        <w:pStyle w:val="BodyEE"/>
      </w:pPr>
      <w:r w:rsidRPr="00D13AF1">
        <w:t xml:space="preserve">When practising telemedicine, a physician must: </w:t>
      </w:r>
    </w:p>
    <w:p w14:paraId="5BD09A41" w14:textId="5B132A6C" w:rsidR="00B81FDA" w:rsidRPr="00D13AF1" w:rsidRDefault="00103DDF" w:rsidP="00103DDF">
      <w:pPr>
        <w:pStyle w:val="Bulletlevel1"/>
      </w:pPr>
      <w:r w:rsidRPr="00D13AF1">
        <w:t>c</w:t>
      </w:r>
      <w:r w:rsidR="00B81FDA" w:rsidRPr="00D13AF1">
        <w:t xml:space="preserve">onsider the patient’s existing health status, healthcare needs and circumstances, and only recommend telemedicine if it is </w:t>
      </w:r>
      <w:r w:rsidRPr="00D13AF1">
        <w:t>in the patient’s best interest;</w:t>
      </w:r>
    </w:p>
    <w:p w14:paraId="6CBA8C5F" w14:textId="2D629383" w:rsidR="00B81FDA" w:rsidRPr="00D13AF1" w:rsidRDefault="00103DDF" w:rsidP="00103DDF">
      <w:pPr>
        <w:pStyle w:val="Bulletlevel1"/>
      </w:pPr>
      <w:r w:rsidRPr="00D13AF1">
        <w:t>i</w:t>
      </w:r>
      <w:r w:rsidR="00B81FDA" w:rsidRPr="00D13AF1">
        <w:t>dentify what resources (e.g., technology, equipment, support staff, etc.) are required, and only proceed if those resources are availab</w:t>
      </w:r>
      <w:r w:rsidRPr="00D13AF1">
        <w:t>le and can be used effectively;</w:t>
      </w:r>
    </w:p>
    <w:p w14:paraId="4BA813C5" w14:textId="55786864" w:rsidR="00B81FDA" w:rsidRPr="00D13AF1" w:rsidRDefault="00103DDF" w:rsidP="00103DDF">
      <w:pPr>
        <w:pStyle w:val="Bulletlevel1"/>
      </w:pPr>
      <w:r w:rsidRPr="00D13AF1">
        <w:t>e</w:t>
      </w:r>
      <w:r w:rsidR="00B81FDA" w:rsidRPr="00D13AF1">
        <w:t xml:space="preserve">nsure the reliability, quality, and timeliness of the patient information obtained </w:t>
      </w:r>
      <w:r w:rsidRPr="00D13AF1">
        <w:t>via telemedicine is sufficient;</w:t>
      </w:r>
    </w:p>
    <w:p w14:paraId="0A0B3EC4" w14:textId="5B142DBB" w:rsidR="00B81FDA" w:rsidRPr="00D13AF1" w:rsidRDefault="00B251A7" w:rsidP="00103DDF">
      <w:pPr>
        <w:pStyle w:val="Bulletlevel1"/>
      </w:pPr>
      <w:r w:rsidRPr="00D13AF1">
        <w:t>o</w:t>
      </w:r>
      <w:r w:rsidR="00B81FDA" w:rsidRPr="00D13AF1">
        <w:t>btain informed consent from the patient,</w:t>
      </w:r>
      <w:r w:rsidR="00103DDF" w:rsidRPr="00D13AF1">
        <w:t xml:space="preserve"> when applicable;</w:t>
      </w:r>
    </w:p>
    <w:p w14:paraId="6C73A2A4" w14:textId="07C6707F" w:rsidR="00B81FDA" w:rsidRPr="00D13AF1" w:rsidRDefault="00103DDF" w:rsidP="00103DDF">
      <w:pPr>
        <w:pStyle w:val="Bulletlevel1"/>
      </w:pPr>
      <w:r w:rsidRPr="00D13AF1">
        <w:t>t</w:t>
      </w:r>
      <w:r w:rsidR="00B81FDA" w:rsidRPr="00D13AF1">
        <w:t xml:space="preserve">ake reasonable steps to ensure that all medical information is transmitted in a manner which protects the privacy and </w:t>
      </w:r>
      <w:r w:rsidRPr="00D13AF1">
        <w:t>confidentiality of the patient;</w:t>
      </w:r>
    </w:p>
    <w:p w14:paraId="2B336BAF" w14:textId="48558065" w:rsidR="00B81FDA" w:rsidRPr="00D13AF1" w:rsidRDefault="00103DDF" w:rsidP="00103DDF">
      <w:pPr>
        <w:pStyle w:val="Bulletlevel1"/>
      </w:pPr>
      <w:r w:rsidRPr="00D13AF1">
        <w:t>e</w:t>
      </w:r>
      <w:r w:rsidR="00B81FDA" w:rsidRPr="00D13AF1">
        <w:t>nsure the physical setting in which the medical care is being delivered is appropriate and safe and that a plan is in place to manage adv</w:t>
      </w:r>
      <w:r w:rsidRPr="00D13AF1">
        <w:t>erse events and/or emergencies;</w:t>
      </w:r>
    </w:p>
    <w:p w14:paraId="6EB6E706" w14:textId="00818BE9" w:rsidR="00B81FDA" w:rsidRPr="00D13AF1" w:rsidRDefault="00103DDF" w:rsidP="00103DDF">
      <w:pPr>
        <w:pStyle w:val="Bulletlevel1"/>
      </w:pPr>
      <w:r w:rsidRPr="00D13AF1">
        <w:lastRenderedPageBreak/>
        <w:t>r</w:t>
      </w:r>
      <w:r w:rsidR="00B81FDA" w:rsidRPr="00D13AF1">
        <w:t xml:space="preserve">efrain from prescribing narcotics or other controlled or regulated medications to patients whom they have not personally examined or with whom they do not have a longitudinal treating relationship unless they are in direct communication with another licensed health-care practitioner who has examined the patient. </w:t>
      </w:r>
    </w:p>
    <w:p w14:paraId="49B844DF" w14:textId="77777777" w:rsidR="00B81FDA" w:rsidRPr="00D13AF1" w:rsidRDefault="00B81FDA" w:rsidP="00B81FDA">
      <w:pPr>
        <w:pStyle w:val="Heading3Pink"/>
      </w:pPr>
      <w:bookmarkStart w:id="129" w:name="_Ref499732190"/>
      <w:r w:rsidRPr="00D13AF1">
        <w:t>Cross-jurisdiction issues in telemedicine</w:t>
      </w:r>
      <w:bookmarkEnd w:id="129"/>
    </w:p>
    <w:p w14:paraId="3D36E8AB" w14:textId="77777777" w:rsidR="00B81FDA" w:rsidRPr="00D13AF1" w:rsidRDefault="00B81FDA" w:rsidP="00757972">
      <w:pPr>
        <w:pStyle w:val="BodyEE"/>
      </w:pPr>
      <w:r w:rsidRPr="00D13AF1">
        <w:t>The College considers the practice of medicine to take place in the jurisdiction in which the physician resides and holds a licence. As a result, all physicians practising medicine via telemedicine must hold either a licence to practise medicine in Newfoundland and Labrador and/or a licence to practise medicine in the jurisdiction in which the physician is located.</w:t>
      </w:r>
    </w:p>
    <w:p w14:paraId="7E88B0CC" w14:textId="77777777" w:rsidR="00B81FDA" w:rsidRPr="00D13AF1" w:rsidRDefault="00B81FDA" w:rsidP="00757972">
      <w:pPr>
        <w:pStyle w:val="BodyEE"/>
      </w:pPr>
      <w:r w:rsidRPr="00D13AF1">
        <w:t>Physicians who are licensed to practice medicine in Newfoundland and Labrador and wish to provide care to a patient in another province, territory or country via telemedicine should take note they must comply with the licensing requirements of that jurisdiction. The College recommends that physicians intending to provide such care should contact the regulatory College in the jurisdiction where the intended patient is located to obtain information about any applicable licensing requirements.</w:t>
      </w:r>
    </w:p>
    <w:p w14:paraId="5CF389A7" w14:textId="4E139B70" w:rsidR="00B81FDA" w:rsidRPr="00D13AF1" w:rsidRDefault="00B81FDA" w:rsidP="00B81FDA">
      <w:pPr>
        <w:pStyle w:val="Heading2Pink"/>
      </w:pPr>
      <w:bookmarkStart w:id="130" w:name="_Toc504484151"/>
      <w:r w:rsidRPr="00D13AF1">
        <w:t>College of Physicians and Surgeons of Ontario</w:t>
      </w:r>
      <w:r w:rsidRPr="00D13AF1">
        <w:rPr>
          <w:rStyle w:val="FootnoteReference"/>
        </w:rPr>
        <w:footnoteReference w:id="86"/>
      </w:r>
      <w:bookmarkEnd w:id="130"/>
    </w:p>
    <w:p w14:paraId="05F4BC24" w14:textId="4000DA84" w:rsidR="00B81FDA" w:rsidRPr="00D13AF1" w:rsidRDefault="00F324DF" w:rsidP="00B81FDA">
      <w:pPr>
        <w:pStyle w:val="BodyEE"/>
      </w:pPr>
      <w:r w:rsidRPr="00D13AF1">
        <w:t>The College</w:t>
      </w:r>
      <w:r w:rsidR="00B81FDA" w:rsidRPr="00D13AF1">
        <w:t xml:space="preserve"> regulate</w:t>
      </w:r>
      <w:r w:rsidRPr="00D13AF1">
        <w:t>s</w:t>
      </w:r>
      <w:r w:rsidR="00B81FDA" w:rsidRPr="00D13AF1">
        <w:t xml:space="preserve"> physicians and surgeons in Ontario, Canada.</w:t>
      </w:r>
    </w:p>
    <w:p w14:paraId="18E256D8" w14:textId="77777777" w:rsidR="00B81FDA" w:rsidRPr="00D13AF1" w:rsidRDefault="00B81FDA" w:rsidP="00B81FDA">
      <w:pPr>
        <w:pStyle w:val="Heading3Pink"/>
      </w:pPr>
      <w:bookmarkStart w:id="131" w:name="_Ref499730828"/>
      <w:r w:rsidRPr="00D13AF1">
        <w:t>Definition of telemedicine</w:t>
      </w:r>
      <w:bookmarkEnd w:id="131"/>
    </w:p>
    <w:p w14:paraId="3E2A64ED" w14:textId="37219EE9" w:rsidR="00B81FDA" w:rsidRPr="00D13AF1" w:rsidRDefault="00F324DF" w:rsidP="00B81FDA">
      <w:pPr>
        <w:pStyle w:val="BodyEE"/>
      </w:pPr>
      <w:r w:rsidRPr="00D13AF1">
        <w:t>The College’s Telemedicine P</w:t>
      </w:r>
      <w:r w:rsidR="00B81FDA" w:rsidRPr="00D13AF1">
        <w:t>olicy</w:t>
      </w:r>
      <w:r w:rsidRPr="00D13AF1">
        <w:t>, which can be found on their website,</w:t>
      </w:r>
      <w:r w:rsidRPr="00D13AF1">
        <w:rPr>
          <w:rStyle w:val="FootnoteReference"/>
        </w:rPr>
        <w:footnoteReference w:id="87"/>
      </w:r>
      <w:r w:rsidR="00B81FDA" w:rsidRPr="00D13AF1">
        <w:t xml:space="preserve"> defines "telemedicine" as follows: </w:t>
      </w:r>
    </w:p>
    <w:p w14:paraId="7B6EA45F" w14:textId="3C85E09F" w:rsidR="00B81FDA" w:rsidRPr="00D13AF1" w:rsidRDefault="00B81FDA" w:rsidP="00F324DF">
      <w:pPr>
        <w:pStyle w:val="Bulletlevel1"/>
      </w:pPr>
      <w:r w:rsidRPr="00D13AF1">
        <w:t>Telemedicine is both the practice of medicine and a way to provide or assist in the provisio</w:t>
      </w:r>
      <w:r w:rsidR="00F324DF" w:rsidRPr="00D13AF1">
        <w:t>n of patient care at a distance</w:t>
      </w:r>
      <w:r w:rsidRPr="00D13AF1">
        <w:t xml:space="preserve"> using information a</w:t>
      </w:r>
      <w:r w:rsidR="00F324DF" w:rsidRPr="00D13AF1">
        <w:t>nd communication technologies.</w:t>
      </w:r>
      <w:r w:rsidRPr="00D13AF1">
        <w:t xml:space="preserve"> </w:t>
      </w:r>
      <w:r w:rsidR="00F324DF" w:rsidRPr="00D13AF1">
        <w:t>Additionally:</w:t>
      </w:r>
    </w:p>
    <w:p w14:paraId="5EA4CD44" w14:textId="74DB4DDE" w:rsidR="00B81FDA" w:rsidRPr="00D13AF1" w:rsidRDefault="00B81FDA" w:rsidP="00F324DF">
      <w:pPr>
        <w:pStyle w:val="Bulletlevel2"/>
      </w:pPr>
      <w:r w:rsidRPr="00D13AF1">
        <w:t xml:space="preserve">Patients, patient information and/or physicians may be separated by space (e.g., not in same physical location) and/or time (e.g., not in real-time). </w:t>
      </w:r>
    </w:p>
    <w:p w14:paraId="7363942C" w14:textId="3541E89F" w:rsidR="00B81FDA" w:rsidRPr="00D13AF1" w:rsidRDefault="00B81FDA" w:rsidP="00F324DF">
      <w:pPr>
        <w:pStyle w:val="Bulletlevel2"/>
      </w:pPr>
      <w:r w:rsidRPr="00D13AF1">
        <w:t>The specific technology that can be used is constantly evolving. Some current examples include, but are not limited to, the use of telephones (e.g., land lines and mobile phones), email, video and audio conferencing, remote monitoring and telerobotics.</w:t>
      </w:r>
    </w:p>
    <w:p w14:paraId="4E386075" w14:textId="77777777" w:rsidR="00B81FDA" w:rsidRPr="00D13AF1" w:rsidRDefault="00B81FDA" w:rsidP="00B81FDA">
      <w:pPr>
        <w:pStyle w:val="Heading3Pink"/>
      </w:pPr>
      <w:r w:rsidRPr="00D13AF1">
        <w:t>Frameworks for telemedicine regulation</w:t>
      </w:r>
    </w:p>
    <w:p w14:paraId="63D947BC" w14:textId="4D32A02C" w:rsidR="00B81FDA" w:rsidRPr="00D13AF1" w:rsidRDefault="003E48A6" w:rsidP="00B81FDA">
      <w:pPr>
        <w:pStyle w:val="BodyEE"/>
      </w:pPr>
      <w:r w:rsidRPr="00D13AF1">
        <w:t xml:space="preserve">The College has </w:t>
      </w:r>
      <w:r w:rsidR="00B81FDA" w:rsidRPr="00D13AF1">
        <w:t>formal regulations and/or policies regarding telemedicine</w:t>
      </w:r>
      <w:r w:rsidRPr="00D13AF1">
        <w:t>.</w:t>
      </w:r>
    </w:p>
    <w:p w14:paraId="21A1F255" w14:textId="0D6DA8D5" w:rsidR="00B81FDA" w:rsidRPr="00D13AF1" w:rsidRDefault="000C77D1" w:rsidP="00B81FDA">
      <w:pPr>
        <w:pStyle w:val="BodyEE"/>
      </w:pPr>
      <w:r w:rsidRPr="00D13AF1">
        <w:t>R</w:t>
      </w:r>
      <w:r w:rsidR="003E48A6" w:rsidRPr="00D13AF1">
        <w:t xml:space="preserve">equirements </w:t>
      </w:r>
      <w:r w:rsidRPr="00D13AF1">
        <w:t>are in the following areas</w:t>
      </w:r>
      <w:r w:rsidR="003E48A6" w:rsidRPr="00D13AF1">
        <w:t>:</w:t>
      </w:r>
      <w:r w:rsidR="00B81FDA" w:rsidRPr="00D13AF1">
        <w:t xml:space="preserve"> </w:t>
      </w:r>
    </w:p>
    <w:p w14:paraId="5CDA6418" w14:textId="4B3DEC12" w:rsidR="00B81FDA" w:rsidRPr="00D13AF1" w:rsidRDefault="009C0CFF" w:rsidP="00B81FDA">
      <w:pPr>
        <w:pStyle w:val="Bulletlevel1"/>
      </w:pPr>
      <w:r w:rsidRPr="00D13AF1">
        <w:t>l</w:t>
      </w:r>
      <w:r w:rsidR="00B81FDA" w:rsidRPr="00D13AF1">
        <w:t>icensing and/or registration</w:t>
      </w:r>
      <w:r w:rsidR="003E48A6" w:rsidRPr="00D13AF1">
        <w:t>;</w:t>
      </w:r>
    </w:p>
    <w:p w14:paraId="413ED5EB" w14:textId="1FBC47E2" w:rsidR="00B81FDA" w:rsidRPr="00D13AF1" w:rsidRDefault="009C0CFF" w:rsidP="00B81FDA">
      <w:pPr>
        <w:pStyle w:val="Bulletlevel1"/>
      </w:pPr>
      <w:r w:rsidRPr="00D13AF1">
        <w:t>q</w:t>
      </w:r>
      <w:r w:rsidR="00B81FDA" w:rsidRPr="00D13AF1">
        <w:t>ualifications and training, including continuing professional development</w:t>
      </w:r>
      <w:r w:rsidR="003E48A6" w:rsidRPr="00D13AF1">
        <w:t>;</w:t>
      </w:r>
    </w:p>
    <w:p w14:paraId="22A1731D" w14:textId="4BE8E7DF" w:rsidR="00B81FDA" w:rsidRPr="00D13AF1" w:rsidRDefault="009C0CFF" w:rsidP="00B81FDA">
      <w:pPr>
        <w:pStyle w:val="Bulletlevel1"/>
      </w:pPr>
      <w:r w:rsidRPr="00D13AF1">
        <w:t>s</w:t>
      </w:r>
      <w:r w:rsidR="00B81FDA" w:rsidRPr="00D13AF1">
        <w:t>tandards of work</w:t>
      </w:r>
      <w:r w:rsidR="003E48A6" w:rsidRPr="00D13AF1">
        <w:t>;</w:t>
      </w:r>
    </w:p>
    <w:p w14:paraId="26C9D1BD" w14:textId="410ED240" w:rsidR="00B81FDA" w:rsidRPr="00D13AF1" w:rsidRDefault="009C0CFF" w:rsidP="00B81FDA">
      <w:pPr>
        <w:pStyle w:val="Bulletlevel1"/>
      </w:pPr>
      <w:r w:rsidRPr="00D13AF1">
        <w:t>d</w:t>
      </w:r>
      <w:r w:rsidR="00B81FDA" w:rsidRPr="00D13AF1">
        <w:t>iscipline and/or fitness to practise</w:t>
      </w:r>
      <w:r w:rsidR="003E48A6" w:rsidRPr="00D13AF1">
        <w:t>.</w:t>
      </w:r>
    </w:p>
    <w:p w14:paraId="27800DF6" w14:textId="12B06248" w:rsidR="00B81FDA" w:rsidRPr="00D13AF1" w:rsidRDefault="000C77D1" w:rsidP="00B81FDA">
      <w:pPr>
        <w:pStyle w:val="BodyEE"/>
      </w:pPr>
      <w:r w:rsidRPr="00D13AF1">
        <w:t>The CPSO</w:t>
      </w:r>
      <w:r w:rsidR="00B81FDA" w:rsidRPr="00D13AF1">
        <w:t xml:space="preserve"> would expect physicians who are members </w:t>
      </w:r>
      <w:r w:rsidRPr="00D13AF1">
        <w:t>to comply with all of the</w:t>
      </w:r>
      <w:r w:rsidR="00B81FDA" w:rsidRPr="00D13AF1">
        <w:t xml:space="preserve"> regulatory requirements (wh</w:t>
      </w:r>
      <w:r w:rsidRPr="00D13AF1">
        <w:t>ether</w:t>
      </w:r>
      <w:r w:rsidR="00B81FDA" w:rsidRPr="00D13AF1">
        <w:t xml:space="preserve"> they are practising telemedicine or otherwise). They would be subject to all of the above.</w:t>
      </w:r>
    </w:p>
    <w:p w14:paraId="76A46916" w14:textId="77777777" w:rsidR="00B81FDA" w:rsidRPr="00D13AF1" w:rsidRDefault="00B81FDA" w:rsidP="00B81FDA">
      <w:pPr>
        <w:pStyle w:val="Heading3Pink"/>
      </w:pPr>
      <w:bookmarkStart w:id="132" w:name="_Ref499731365"/>
      <w:r w:rsidRPr="00D13AF1">
        <w:lastRenderedPageBreak/>
        <w:t>Regulation of individual doctors who provide telemedicine services</w:t>
      </w:r>
      <w:bookmarkEnd w:id="132"/>
    </w:p>
    <w:p w14:paraId="01B28BB5" w14:textId="77777777" w:rsidR="000C77D1" w:rsidRPr="00D13AF1" w:rsidRDefault="00B81FDA" w:rsidP="00B81FDA">
      <w:pPr>
        <w:pStyle w:val="BodyEE"/>
      </w:pPr>
      <w:r w:rsidRPr="00D13AF1">
        <w:t>The policy applies to all physicians who are members of the CPSO, regardless of where the physician or patient is physically located when telemedicine is practised. Expectations are provided in relation to providing or assisting in the provision of patient care via telemedicine, which includes consulting with and referring patients to other health-care providers, and practising telemedicine across borders. This policy applies broadly to the practice of telemedicine, regardless of the specific area of practice or practice setting in which telemedicine is used.</w:t>
      </w:r>
    </w:p>
    <w:p w14:paraId="1C605F37" w14:textId="3BB91E1A" w:rsidR="00B81FDA" w:rsidRPr="00D13AF1" w:rsidRDefault="00B81FDA" w:rsidP="00B81FDA">
      <w:pPr>
        <w:pStyle w:val="BodyEE"/>
      </w:pPr>
      <w:r w:rsidRPr="00D13AF1">
        <w:t>In addition, this policy sets out the CPSO's expectations of physicians who are not members of the CPSO, but who practise telemedicine by providing or assisting in the provision of care to patients who are physically located in Ontario at the time of care. These expectations are set out in the last section of the policy, titled 'Expectations for Non-CPSO Members'</w:t>
      </w:r>
      <w:r w:rsidR="00F73647" w:rsidRPr="00D13AF1">
        <w:t xml:space="preserve"> (see Section </w:t>
      </w:r>
      <w:r w:rsidR="00F73647" w:rsidRPr="00D13AF1">
        <w:fldChar w:fldCharType="begin"/>
      </w:r>
      <w:r w:rsidR="00F73647" w:rsidRPr="00D13AF1">
        <w:instrText xml:space="preserve"> REF _Ref494453254 \r \h </w:instrText>
      </w:r>
      <w:r w:rsidR="00F73647" w:rsidRPr="00D13AF1">
        <w:fldChar w:fldCharType="separate"/>
      </w:r>
      <w:r w:rsidR="00B51130">
        <w:t>2.6.4</w:t>
      </w:r>
      <w:r w:rsidR="00F73647" w:rsidRPr="00D13AF1">
        <w:fldChar w:fldCharType="end"/>
      </w:r>
      <w:r w:rsidR="00F73647" w:rsidRPr="00D13AF1">
        <w:t>)</w:t>
      </w:r>
      <w:r w:rsidRPr="00D13AF1">
        <w:t>. Please see the policy for details.</w:t>
      </w:r>
    </w:p>
    <w:p w14:paraId="38317BF3" w14:textId="141CA7F0" w:rsidR="00B81FDA" w:rsidRPr="00D13AF1" w:rsidRDefault="000C77D1" w:rsidP="00B81FDA">
      <w:pPr>
        <w:pStyle w:val="BodyEE"/>
      </w:pPr>
      <w:r w:rsidRPr="00D13AF1">
        <w:t>In brief, p</w:t>
      </w:r>
      <w:r w:rsidR="00B81FDA" w:rsidRPr="00D13AF1">
        <w:t>hysicians must:</w:t>
      </w:r>
    </w:p>
    <w:p w14:paraId="5D6CF13E" w14:textId="4FE62544" w:rsidR="00B81FDA" w:rsidRPr="00D13AF1" w:rsidRDefault="003013D8" w:rsidP="00B81FDA">
      <w:pPr>
        <w:pStyle w:val="Bulletlevel1"/>
      </w:pPr>
      <w:r w:rsidRPr="00D13AF1">
        <w:t>c</w:t>
      </w:r>
      <w:r w:rsidR="00B81FDA" w:rsidRPr="00D13AF1">
        <w:t>onsider the patient’s existing health status, specific health-care needs and specific circumstances, and only use telemedicine if the risks do not outweigh the potential benefits and it is</w:t>
      </w:r>
      <w:r w:rsidRPr="00D13AF1">
        <w:t xml:space="preserve"> in the patient’s best interest;</w:t>
      </w:r>
    </w:p>
    <w:p w14:paraId="376FBACE" w14:textId="3C921E7C" w:rsidR="00B81FDA" w:rsidRPr="00D13AF1" w:rsidRDefault="003013D8" w:rsidP="00B81FDA">
      <w:pPr>
        <w:pStyle w:val="Bulletlevel1"/>
      </w:pPr>
      <w:r w:rsidRPr="00D13AF1">
        <w:t>i</w:t>
      </w:r>
      <w:r w:rsidR="00B81FDA" w:rsidRPr="00D13AF1">
        <w:t>dentify what resources (e.g. information and communication technology, equipment, support staff, etc.) are required, and only proceed if those resources are availa</w:t>
      </w:r>
      <w:r w:rsidRPr="00D13AF1">
        <w:t>ble and can be used effectively;</w:t>
      </w:r>
    </w:p>
    <w:p w14:paraId="545E3E29" w14:textId="49E0A686" w:rsidR="00B81FDA" w:rsidRPr="00D13AF1" w:rsidRDefault="003013D8" w:rsidP="00B81FDA">
      <w:pPr>
        <w:pStyle w:val="Bulletlevel1"/>
      </w:pPr>
      <w:r w:rsidRPr="00D13AF1">
        <w:t>e</w:t>
      </w:r>
      <w:r w:rsidR="00B81FDA" w:rsidRPr="00D13AF1">
        <w:t>nsure the reliability, quality and timeliness of the patient information obtained via telemedicine is sufficient, and the patient is accurately id</w:t>
      </w:r>
      <w:r w:rsidRPr="00D13AF1">
        <w:t>entified;</w:t>
      </w:r>
    </w:p>
    <w:p w14:paraId="3E83961E" w14:textId="1728D8DC" w:rsidR="00B81FDA" w:rsidRPr="00D13AF1" w:rsidRDefault="003013D8" w:rsidP="00B81FDA">
      <w:pPr>
        <w:pStyle w:val="Bulletlevel1"/>
      </w:pPr>
      <w:r w:rsidRPr="00D13AF1">
        <w:t>p</w:t>
      </w:r>
      <w:r w:rsidR="00B81FDA" w:rsidRPr="00D13AF1">
        <w:t>rotect the privacy and confidentiality of the patien</w:t>
      </w:r>
      <w:r w:rsidRPr="00D13AF1">
        <w:t>t’s personal health information —</w:t>
      </w:r>
      <w:r w:rsidR="00B81FDA" w:rsidRPr="00D13AF1">
        <w:t xml:space="preserve"> </w:t>
      </w:r>
      <w:r w:rsidRPr="00D13AF1">
        <w:t>more specifically:</w:t>
      </w:r>
    </w:p>
    <w:p w14:paraId="5922D3F7" w14:textId="4D449A2D" w:rsidR="00B81FDA" w:rsidRPr="00D13AF1" w:rsidRDefault="003013D8" w:rsidP="00B81FDA">
      <w:pPr>
        <w:pStyle w:val="Bulletlevel2"/>
      </w:pPr>
      <w:r w:rsidRPr="00D13AF1">
        <w:t>e</w:t>
      </w:r>
      <w:r w:rsidR="00B81FDA" w:rsidRPr="00D13AF1">
        <w:t>valuate whether the information and communication technology and physical setting being used by the physician has reasonable security protocols in place to ensure compliance with physicians’ legal and professional obligations to protect the privacy and confidentiality of the patien</w:t>
      </w:r>
      <w:r w:rsidRPr="00D13AF1">
        <w:t>t’s personal health information,</w:t>
      </w:r>
    </w:p>
    <w:p w14:paraId="282A871E" w14:textId="799DD09E" w:rsidR="00B81FDA" w:rsidRPr="00D13AF1" w:rsidRDefault="003013D8" w:rsidP="00B81FDA">
      <w:pPr>
        <w:pStyle w:val="Bulletlevel2"/>
      </w:pPr>
      <w:r w:rsidRPr="00D13AF1">
        <w:t>t</w:t>
      </w:r>
      <w:r w:rsidR="00B81FDA" w:rsidRPr="00D13AF1">
        <w:t>ake reasonable steps to confirm the information and communication technology and physical setting being used by the patient permits the sharing of the patient’s personal health information</w:t>
      </w:r>
      <w:r w:rsidRPr="00D13AF1">
        <w:t xml:space="preserve"> in a private and secure manner;</w:t>
      </w:r>
    </w:p>
    <w:p w14:paraId="028E6251" w14:textId="18639148" w:rsidR="00B81FDA" w:rsidRPr="00D13AF1" w:rsidRDefault="003013D8" w:rsidP="00B81FDA">
      <w:pPr>
        <w:pStyle w:val="Bulletlevel1"/>
      </w:pPr>
      <w:r w:rsidRPr="00D13AF1">
        <w:t>e</w:t>
      </w:r>
      <w:r w:rsidR="00B81FDA" w:rsidRPr="00D13AF1">
        <w:t>nsure the physical setting in which the care is being delivered is appropriate and safe; there must be a plan in place to manage adverse events and/or emergencies.</w:t>
      </w:r>
    </w:p>
    <w:p w14:paraId="630C8959" w14:textId="77777777" w:rsidR="00B81FDA" w:rsidRPr="00D13AF1" w:rsidRDefault="00B81FDA" w:rsidP="00B81FDA">
      <w:pPr>
        <w:pStyle w:val="Heading3Pink"/>
      </w:pPr>
      <w:bookmarkStart w:id="133" w:name="_Ref494453254"/>
      <w:r w:rsidRPr="00D13AF1">
        <w:t>Cross-jurisdiction issues in telemedicine</w:t>
      </w:r>
      <w:bookmarkEnd w:id="133"/>
    </w:p>
    <w:p w14:paraId="72FDF970" w14:textId="5BBE4BA4" w:rsidR="00B81FDA" w:rsidRPr="00D13AF1" w:rsidRDefault="000C77D1" w:rsidP="00B81FDA">
      <w:pPr>
        <w:pStyle w:val="BodyEE"/>
      </w:pPr>
      <w:r w:rsidRPr="00D13AF1">
        <w:t>The College</w:t>
      </w:r>
      <w:r w:rsidR="00B81FDA" w:rsidRPr="00D13AF1">
        <w:t xml:space="preserve"> considered the positions/policies of medical and health regulator</w:t>
      </w:r>
      <w:r w:rsidRPr="00D13AF1">
        <w:t>s in other jurisdictions when the policy was last</w:t>
      </w:r>
      <w:r w:rsidR="00B81FDA" w:rsidRPr="00D13AF1">
        <w:t xml:space="preserve"> updated in 2014. </w:t>
      </w:r>
      <w:r w:rsidRPr="00D13AF1">
        <w:t>In the context of regulating their</w:t>
      </w:r>
      <w:r w:rsidR="00B81FDA" w:rsidRPr="00D13AF1">
        <w:t xml:space="preserve"> members who practice tele</w:t>
      </w:r>
      <w:r w:rsidRPr="00D13AF1">
        <w:t>medicine, the CPSO</w:t>
      </w:r>
      <w:r w:rsidR="00B81FDA" w:rsidRPr="00D13AF1">
        <w:t xml:space="preserve"> may interact with health system organizations such as the Ministry of Health and Long-Term Care (e.g. to obtain Ontario Health Insurance Plan billing information for an investigation) and other medical regulators if members are practising telemedicine in other jurisdictions or if Ontario patients are being treated via telemedicine by a non-CPSO member who is physically located outside of Ontario.</w:t>
      </w:r>
    </w:p>
    <w:p w14:paraId="1457434A" w14:textId="77777777" w:rsidR="00B81FDA" w:rsidRPr="00D13AF1" w:rsidRDefault="00B81FDA" w:rsidP="00B81FDA">
      <w:pPr>
        <w:pStyle w:val="BodyEE"/>
      </w:pPr>
      <w:r w:rsidRPr="00D13AF1">
        <w:t>When physicians consult with or refer patients to out-of-province physicians for care via telemedicine, they must inform their patients that the out-of-province physician is not physically located in Ontario, and may or may not be licensed in Ontario. It is recommended that physicians alert patients to the ‘patient information sheet’ appended to this policy, and communicate the relevant content contained in that document, as appropriate.</w:t>
      </w:r>
    </w:p>
    <w:p w14:paraId="72BD1C43" w14:textId="77777777" w:rsidR="00B81FDA" w:rsidRPr="00D13AF1" w:rsidRDefault="00B81FDA" w:rsidP="00B81FDA">
      <w:pPr>
        <w:pStyle w:val="BodyEE"/>
      </w:pPr>
      <w:r w:rsidRPr="00D13AF1">
        <w:t xml:space="preserve">The CPSO recognizes that Ontario patients may seek care via telemedicine from non-CPSO members who are physically located outside of Ontario, independent of any involvement of a CPSO member. The CPSO </w:t>
      </w:r>
      <w:r w:rsidRPr="00D13AF1">
        <w:lastRenderedPageBreak/>
        <w:t>expects that non-CPSO members will comply with licensing requirements in their jurisdiction, and will provide care in accordance with the standard of care.</w:t>
      </w:r>
    </w:p>
    <w:p w14:paraId="4F71CC71" w14:textId="3EDC47CB" w:rsidR="00323866" w:rsidRPr="00D13AF1" w:rsidRDefault="00323866" w:rsidP="00323866">
      <w:pPr>
        <w:pStyle w:val="Heading2Pink"/>
      </w:pPr>
      <w:bookmarkStart w:id="134" w:name="_Toc504484152"/>
      <w:bookmarkStart w:id="135" w:name="_Hlk495508900"/>
      <w:r w:rsidRPr="00D13AF1">
        <w:t>College of Physicians and Surgeons of</w:t>
      </w:r>
      <w:r w:rsidR="009D62F2" w:rsidRPr="00D13AF1">
        <w:t xml:space="preserve"> Saskatchewan</w:t>
      </w:r>
      <w:r w:rsidR="0000031A" w:rsidRPr="00D13AF1">
        <w:rPr>
          <w:rStyle w:val="FootnoteReference"/>
        </w:rPr>
        <w:footnoteReference w:id="88"/>
      </w:r>
      <w:bookmarkEnd w:id="134"/>
    </w:p>
    <w:bookmarkEnd w:id="135"/>
    <w:p w14:paraId="5BBCF85F" w14:textId="4239801C" w:rsidR="00323866" w:rsidRPr="00D13AF1" w:rsidRDefault="00323866" w:rsidP="00323866">
      <w:pPr>
        <w:pStyle w:val="BodyEE"/>
      </w:pPr>
      <w:r w:rsidRPr="00D13AF1">
        <w:t xml:space="preserve">The </w:t>
      </w:r>
      <w:r w:rsidR="00134303" w:rsidRPr="00D13AF1">
        <w:t>College</w:t>
      </w:r>
      <w:r w:rsidRPr="00D13AF1">
        <w:t xml:space="preserve"> </w:t>
      </w:r>
      <w:r w:rsidR="00134303" w:rsidRPr="00D13AF1">
        <w:t>r</w:t>
      </w:r>
      <w:r w:rsidRPr="00D13AF1">
        <w:t>egulates</w:t>
      </w:r>
      <w:r w:rsidR="00631774" w:rsidRPr="00D13AF1">
        <w:t xml:space="preserve"> individual healthcare professionals and their practice of medicine, and </w:t>
      </w:r>
      <w:r w:rsidRPr="00D13AF1">
        <w:t>is</w:t>
      </w:r>
      <w:r w:rsidR="00631774" w:rsidRPr="00D13AF1">
        <w:t xml:space="preserve"> also</w:t>
      </w:r>
      <w:r w:rsidRPr="00D13AF1">
        <w:t xml:space="preserve"> able to grant Podiatric Surgery</w:t>
      </w:r>
      <w:r w:rsidR="00631774" w:rsidRPr="00D13AF1">
        <w:t xml:space="preserve"> permits</w:t>
      </w:r>
      <w:r w:rsidRPr="00D13AF1">
        <w:t>.</w:t>
      </w:r>
    </w:p>
    <w:p w14:paraId="7B912EDF" w14:textId="77777777" w:rsidR="00323866" w:rsidRPr="00D13AF1" w:rsidRDefault="00323866" w:rsidP="00323866">
      <w:pPr>
        <w:pStyle w:val="Heading3Pink"/>
      </w:pPr>
      <w:bookmarkStart w:id="136" w:name="_Ref499730835"/>
      <w:r w:rsidRPr="00D13AF1">
        <w:t>Definition of telemedicine</w:t>
      </w:r>
      <w:bookmarkEnd w:id="136"/>
    </w:p>
    <w:p w14:paraId="0BC02377" w14:textId="707AB5B9" w:rsidR="00323866" w:rsidRPr="00D13AF1" w:rsidRDefault="0000031A" w:rsidP="00323866">
      <w:pPr>
        <w:pStyle w:val="BodyEE"/>
      </w:pPr>
      <w:r w:rsidRPr="00D13AF1">
        <w:t>The College defines telemedicine as t</w:t>
      </w:r>
      <w:r w:rsidR="00323866" w:rsidRPr="00D13AF1">
        <w:t xml:space="preserve">he provision of a medical opinion concerning diagnosis or treatment of a patient in Saskatchewan by a physician located outside of Saskatchewan as a result of transmission of individual patient information by electronic or other means from within Saskatchewan to such physician or his or her agent; or The provision of treatment to a patient in Saskatchewan by a physician located outside of Saskatchewan as a result of transmission of individual patient information by electronic or other means </w:t>
      </w:r>
      <w:r w:rsidR="00DE6E3A">
        <w:t>from</w:t>
      </w:r>
      <w:r w:rsidR="00DE6E3A" w:rsidRPr="00D13AF1">
        <w:t xml:space="preserve"> </w:t>
      </w:r>
      <w:r w:rsidR="00323866" w:rsidRPr="00D13AF1">
        <w:t>within Saskatchewan to such physician or his or her agent.</w:t>
      </w:r>
    </w:p>
    <w:p w14:paraId="651D48D8" w14:textId="77777777" w:rsidR="00323866" w:rsidRPr="00D13AF1" w:rsidRDefault="00323866" w:rsidP="00323866">
      <w:pPr>
        <w:pStyle w:val="Heading3Pink"/>
      </w:pPr>
      <w:r w:rsidRPr="00D13AF1">
        <w:t>Frameworks for telemedicine regulation</w:t>
      </w:r>
    </w:p>
    <w:p w14:paraId="2F8084A6" w14:textId="53B5AE35" w:rsidR="00323866" w:rsidRPr="00D13AF1" w:rsidRDefault="0000031A" w:rsidP="00323866">
      <w:pPr>
        <w:pStyle w:val="BodyEE"/>
      </w:pPr>
      <w:r w:rsidRPr="00D13AF1">
        <w:t>The College has formal regulations and rules regarding the practice of telemedicine.</w:t>
      </w:r>
    </w:p>
    <w:p w14:paraId="706DA9A5" w14:textId="3FA916D7" w:rsidR="00323866" w:rsidRPr="00D13AF1" w:rsidRDefault="0000031A" w:rsidP="00323866">
      <w:pPr>
        <w:pStyle w:val="BodyEE"/>
      </w:pPr>
      <w:r w:rsidRPr="00D13AF1">
        <w:t>It</w:t>
      </w:r>
      <w:r w:rsidR="00323866" w:rsidRPr="00D13AF1">
        <w:t xml:space="preserve"> place</w:t>
      </w:r>
      <w:r w:rsidRPr="00D13AF1">
        <w:t>s</w:t>
      </w:r>
      <w:r w:rsidR="00323866" w:rsidRPr="00D13AF1">
        <w:t xml:space="preserve"> telemedicine-related requirements on</w:t>
      </w:r>
      <w:r w:rsidRPr="00D13AF1">
        <w:t xml:space="preserve"> its members in the following areas: </w:t>
      </w:r>
      <w:r w:rsidR="00323866" w:rsidRPr="00D13AF1">
        <w:t xml:space="preserve"> </w:t>
      </w:r>
    </w:p>
    <w:p w14:paraId="3A121AE0" w14:textId="77777777" w:rsidR="00323866" w:rsidRPr="00D13AF1" w:rsidRDefault="00323866" w:rsidP="00323866">
      <w:pPr>
        <w:pStyle w:val="Bulletlevel1"/>
      </w:pPr>
      <w:r w:rsidRPr="00D13AF1">
        <w:t>Licensing and/or registration</w:t>
      </w:r>
    </w:p>
    <w:p w14:paraId="639DC7A2" w14:textId="77777777" w:rsidR="00323866" w:rsidRPr="00D13AF1" w:rsidRDefault="00323866" w:rsidP="00323866">
      <w:pPr>
        <w:pStyle w:val="Bulletlevel1"/>
      </w:pPr>
      <w:r w:rsidRPr="00D13AF1">
        <w:t>Qualifications and training, including continuing professional development</w:t>
      </w:r>
    </w:p>
    <w:p w14:paraId="37007DE6" w14:textId="77777777" w:rsidR="00323866" w:rsidRPr="00D13AF1" w:rsidRDefault="00323866" w:rsidP="00323866">
      <w:pPr>
        <w:pStyle w:val="Bulletlevel1"/>
      </w:pPr>
      <w:r w:rsidRPr="00D13AF1">
        <w:t>Standards of work</w:t>
      </w:r>
    </w:p>
    <w:p w14:paraId="28EAB78C" w14:textId="77777777" w:rsidR="00323866" w:rsidRPr="00D13AF1" w:rsidRDefault="00323866" w:rsidP="00323866">
      <w:pPr>
        <w:pStyle w:val="Bulletlevel1"/>
      </w:pPr>
      <w:r w:rsidRPr="00D13AF1">
        <w:t>Discipline and/or fitness to practise</w:t>
      </w:r>
    </w:p>
    <w:p w14:paraId="644CDFDE" w14:textId="152C65EB" w:rsidR="00323866" w:rsidRPr="00D13AF1" w:rsidRDefault="00323866" w:rsidP="00323866">
      <w:pPr>
        <w:pStyle w:val="Heading3Pink"/>
      </w:pPr>
      <w:bookmarkStart w:id="137" w:name="_Ref499731370"/>
      <w:r w:rsidRPr="00D13AF1">
        <w:t>Regulation of individual doctors who provide telemedicine services</w:t>
      </w:r>
      <w:r w:rsidR="0000031A" w:rsidRPr="00D13AF1">
        <w:rPr>
          <w:rStyle w:val="FootnoteReference"/>
        </w:rPr>
        <w:footnoteReference w:id="89"/>
      </w:r>
      <w:bookmarkEnd w:id="137"/>
    </w:p>
    <w:p w14:paraId="4C229A2C" w14:textId="77777777" w:rsidR="00323866" w:rsidRPr="00D13AF1" w:rsidRDefault="00323866" w:rsidP="00323866">
      <w:pPr>
        <w:pStyle w:val="BodyEE"/>
      </w:pPr>
      <w:r w:rsidRPr="00D13AF1">
        <w:t>The College expects physicians who practise telemedicine in Saskatchewan to meet the same standards of practice, whether the physician is located within or without Saskatchewan.</w:t>
      </w:r>
    </w:p>
    <w:p w14:paraId="668157C2" w14:textId="77777777" w:rsidR="00323866" w:rsidRPr="00D13AF1" w:rsidRDefault="00323866" w:rsidP="00323866">
      <w:pPr>
        <w:pStyle w:val="BodyEE"/>
      </w:pPr>
      <w:r w:rsidRPr="00D13AF1">
        <w:t>The College expects that physicians who provide telemedicine services should, wherever possible, ensure that the care provided to the patient through telemedicine will provide the same level of care to the patient as would be provided if the physician was physically present.</w:t>
      </w:r>
    </w:p>
    <w:p w14:paraId="0B109C26" w14:textId="77777777" w:rsidR="00323866" w:rsidRDefault="00323866" w:rsidP="00323866">
      <w:pPr>
        <w:pStyle w:val="BodyEE"/>
      </w:pPr>
      <w:r w:rsidRPr="00D13AF1">
        <w:t xml:space="preserve">The College expects that physicians who provide telemedicine services should provide all relevant information to the patient about the nature of the telemedicine services that are provided, including the nature of the limitations on those services, if any, and any extra risks that may be inherent in the provision of those services. </w:t>
      </w:r>
    </w:p>
    <w:p w14:paraId="7E7A7C62" w14:textId="77777777" w:rsidR="00FE20DF" w:rsidRPr="00D13AF1" w:rsidRDefault="00FE20DF" w:rsidP="00FE20DF">
      <w:pPr>
        <w:pStyle w:val="BodyEE"/>
      </w:pPr>
      <w:r>
        <w:t>See also the Regulatory Bylaws for rules specific to teleradiology.</w:t>
      </w:r>
      <w:r>
        <w:rPr>
          <w:rStyle w:val="FootnoteReference"/>
        </w:rPr>
        <w:footnoteReference w:id="90"/>
      </w:r>
    </w:p>
    <w:p w14:paraId="0FBDC6A6" w14:textId="77777777" w:rsidR="00FE20DF" w:rsidRPr="00D13AF1" w:rsidRDefault="00FE20DF" w:rsidP="00323866">
      <w:pPr>
        <w:pStyle w:val="BodyEE"/>
      </w:pPr>
    </w:p>
    <w:p w14:paraId="17431C26" w14:textId="162B576B" w:rsidR="00323866" w:rsidRPr="00D13AF1" w:rsidRDefault="00323866" w:rsidP="00323866">
      <w:pPr>
        <w:pStyle w:val="Heading3Pink"/>
      </w:pPr>
      <w:bookmarkStart w:id="138" w:name="_Ref499732204"/>
      <w:r w:rsidRPr="00D13AF1">
        <w:lastRenderedPageBreak/>
        <w:t>Cross-jurisdiction issues in telemedicine</w:t>
      </w:r>
      <w:r w:rsidR="003E4C3D" w:rsidRPr="00D13AF1">
        <w:rPr>
          <w:rStyle w:val="FootnoteReference"/>
        </w:rPr>
        <w:footnoteReference w:id="91"/>
      </w:r>
      <w:bookmarkEnd w:id="138"/>
    </w:p>
    <w:p w14:paraId="2C8E3F69" w14:textId="77777777" w:rsidR="00323866" w:rsidRPr="00D13AF1" w:rsidRDefault="00323866" w:rsidP="00323866">
      <w:pPr>
        <w:pStyle w:val="EmphasisPink"/>
        <w:rPr>
          <w:b/>
        </w:rPr>
      </w:pPr>
      <w:bookmarkStart w:id="139" w:name="_Hlk495508909"/>
      <w:r w:rsidRPr="00D13AF1">
        <w:rPr>
          <w:b/>
        </w:rPr>
        <w:t>Section 2 “Licensure to practise medicine in Saskatchewan”, paragraph 1-2.</w:t>
      </w:r>
    </w:p>
    <w:p w14:paraId="68235EFB" w14:textId="77777777" w:rsidR="00323866" w:rsidRPr="00D13AF1" w:rsidRDefault="00323866" w:rsidP="00323866">
      <w:pPr>
        <w:pStyle w:val="BodyEE"/>
      </w:pPr>
      <w:r w:rsidRPr="00D13AF1">
        <w:t>The College accepts that a physician who practises telemedicine as defined above is practicing medicine in Saskatchewan and is required by The Medical Profession Act, 1981 to be licensed with the College of Physicians and Surgeons to do so.</w:t>
      </w:r>
    </w:p>
    <w:p w14:paraId="2FFFBA19" w14:textId="77777777" w:rsidR="00323866" w:rsidRPr="00D13AF1" w:rsidRDefault="00323866" w:rsidP="00323866">
      <w:pPr>
        <w:pStyle w:val="BodyEE"/>
      </w:pPr>
      <w:r w:rsidRPr="00D13AF1">
        <w:t>Based upon the College’s interpretation of The Medical Profession Act, 1981, the College accepts that a physician who is physically located in Saskatchewan, but who provides telemedicine services to patients located outside of Saskatchewan is required by The Medical Profession Act, 1981 to be licensed with the College of Physicians and Surgeons to do so.</w:t>
      </w:r>
    </w:p>
    <w:p w14:paraId="00930EAD" w14:textId="77777777" w:rsidR="00323866" w:rsidRPr="00D13AF1" w:rsidRDefault="00323866" w:rsidP="00323866">
      <w:pPr>
        <w:pStyle w:val="BodyEE"/>
      </w:pPr>
      <w:r w:rsidRPr="00D13AF1">
        <w:t>The College accepts that an expedited form of licensure should be available to physicians who are fully qualified physicians, who meet the criteria for full registration in Saskatchewan, who are licensed without restrictions in another province and who only practise telemedicine in Saskatchewan on an occasional basis. Such physicians will be required to meet the same requirements for CMPA membership or other insurance coverage as apply to other physicians licensed to practise in Saskatchewan.</w:t>
      </w:r>
    </w:p>
    <w:p w14:paraId="24A6C22A" w14:textId="77777777" w:rsidR="00323866" w:rsidRPr="00D13AF1" w:rsidRDefault="00323866" w:rsidP="00323866">
      <w:pPr>
        <w:pStyle w:val="EmphasisPink"/>
        <w:rPr>
          <w:b/>
        </w:rPr>
      </w:pPr>
      <w:r w:rsidRPr="00D13AF1">
        <w:rPr>
          <w:b/>
        </w:rPr>
        <w:t>Section 5 “Saskatchewan-licensed physicians who practise telemedicine outside Saskatchewan”</w:t>
      </w:r>
    </w:p>
    <w:p w14:paraId="2C738B65" w14:textId="77777777" w:rsidR="00323866" w:rsidRPr="00D13AF1" w:rsidRDefault="00323866" w:rsidP="00323866">
      <w:pPr>
        <w:pStyle w:val="BodyEE"/>
      </w:pPr>
      <w:r w:rsidRPr="00D13AF1">
        <w:t>The College recognizes that a Canadian regulatory authority may, or may not, require physicians to become licensed in their provinces or territories in order to practise telemedicine with patients located in that province. The College expects physicians that it licenses to meet the licensing requirements of another province or territory, if any, in order to practise telemedicine with patients in that province or territory. The College of Physicians and Surgeons considers it unprofessional conduct for a physician whom it licenses to practise telemedicine in another province or territory unless the physician meets the licensing requirements of that province or territory.</w:t>
      </w:r>
    </w:p>
    <w:bookmarkEnd w:id="139"/>
    <w:p w14:paraId="7780C7CA" w14:textId="77777777" w:rsidR="00323866" w:rsidRPr="00D13AF1" w:rsidRDefault="00323866" w:rsidP="00B81FDA">
      <w:pPr>
        <w:pStyle w:val="BodyEE"/>
      </w:pPr>
    </w:p>
    <w:p w14:paraId="02AB35DD" w14:textId="77777777" w:rsidR="00255B2F" w:rsidRPr="00D13AF1" w:rsidRDefault="00255B2F" w:rsidP="001E393E">
      <w:pPr>
        <w:pStyle w:val="Heading1"/>
        <w:rPr>
          <w:color w:val="C64187" w:themeColor="accent2"/>
        </w:rPr>
      </w:pPr>
      <w:bookmarkStart w:id="140" w:name="_Toc504484153"/>
      <w:r w:rsidRPr="00D13AF1">
        <w:rPr>
          <w:color w:val="C64187" w:themeColor="accent2"/>
        </w:rPr>
        <w:lastRenderedPageBreak/>
        <w:t>Denmark</w:t>
      </w:r>
      <w:bookmarkEnd w:id="140"/>
      <w:r w:rsidRPr="00D13AF1">
        <w:rPr>
          <w:color w:val="C64187" w:themeColor="accent2"/>
        </w:rPr>
        <w:t xml:space="preserve"> </w:t>
      </w:r>
    </w:p>
    <w:p w14:paraId="7D3E1E26" w14:textId="77777777" w:rsidR="00255B2F" w:rsidRPr="00D13AF1" w:rsidRDefault="00255B2F" w:rsidP="00255B2F">
      <w:pPr>
        <w:pStyle w:val="Heading2Pink"/>
      </w:pPr>
      <w:bookmarkStart w:id="141" w:name="_Toc504484154"/>
      <w:r w:rsidRPr="00D13AF1">
        <w:t>Country level overview</w:t>
      </w:r>
      <w:bookmarkEnd w:id="141"/>
    </w:p>
    <w:p w14:paraId="531780DB" w14:textId="77777777" w:rsidR="00255B2F" w:rsidRPr="00D13AF1" w:rsidRDefault="00255B2F" w:rsidP="00255B2F">
      <w:pPr>
        <w:pStyle w:val="Heading3Pink"/>
      </w:pPr>
      <w:r w:rsidRPr="00D13AF1">
        <w:t xml:space="preserve">Relevant organisations </w:t>
      </w:r>
    </w:p>
    <w:p w14:paraId="47B73570" w14:textId="77777777" w:rsidR="00255B2F" w:rsidRPr="00D13AF1" w:rsidRDefault="00255B2F" w:rsidP="00255B2F">
      <w:pPr>
        <w:pStyle w:val="Bulletlevel1"/>
      </w:pPr>
      <w:r w:rsidRPr="00D13AF1">
        <w:t>Danish Health Authority</w:t>
      </w:r>
    </w:p>
    <w:p w14:paraId="5A89E865" w14:textId="7423A4D2" w:rsidR="00255B2F" w:rsidRPr="00D13AF1" w:rsidRDefault="00BE0EA2" w:rsidP="00255B2F">
      <w:pPr>
        <w:pStyle w:val="Bulletlevel2"/>
      </w:pPr>
      <w:r>
        <w:t>tasked</w:t>
      </w:r>
      <w:r w:rsidR="00255B2F" w:rsidRPr="00D13AF1">
        <w:t xml:space="preserve"> to promote public health and establish a good framework fo</w:t>
      </w:r>
      <w:r w:rsidR="00D2458E" w:rsidRPr="00D13AF1">
        <w:t>r the health service in Denmark;</w:t>
      </w:r>
    </w:p>
    <w:p w14:paraId="77A55B4E" w14:textId="5915C6F6" w:rsidR="00255B2F" w:rsidRPr="00D13AF1" w:rsidRDefault="00D2458E" w:rsidP="00255B2F">
      <w:pPr>
        <w:pStyle w:val="Bulletlevel2"/>
      </w:pPr>
      <w:r w:rsidRPr="00D13AF1">
        <w:t>g</w:t>
      </w:r>
      <w:r w:rsidR="00255B2F" w:rsidRPr="00D13AF1">
        <w:t>ives advice to municipalities and regions and offer recommendatio</w:t>
      </w:r>
      <w:r w:rsidRPr="00D13AF1">
        <w:t>ns, guidelines and action plans;</w:t>
      </w:r>
    </w:p>
    <w:p w14:paraId="1DACBFC4" w14:textId="6D3101CF" w:rsidR="00255B2F" w:rsidRPr="00D13AF1" w:rsidRDefault="00D2458E" w:rsidP="00255B2F">
      <w:pPr>
        <w:pStyle w:val="Bulletlevel2"/>
      </w:pPr>
      <w:r w:rsidRPr="00D13AF1">
        <w:t>o</w:t>
      </w:r>
      <w:r w:rsidR="00255B2F" w:rsidRPr="00D13AF1">
        <w:t xml:space="preserve">ffers advice to the Danish Ministry of Health and other governmental, regional and municipal authorities </w:t>
      </w:r>
      <w:proofErr w:type="gramStart"/>
      <w:r w:rsidR="00255B2F" w:rsidRPr="00D13AF1">
        <w:t>in the area of</w:t>
      </w:r>
      <w:proofErr w:type="gramEnd"/>
      <w:r w:rsidR="00255B2F" w:rsidRPr="00D13AF1">
        <w:t xml:space="preserve"> health and elderly care.</w:t>
      </w:r>
    </w:p>
    <w:p w14:paraId="07458292" w14:textId="77777777" w:rsidR="00255B2F" w:rsidRPr="00D13AF1" w:rsidRDefault="00255B2F" w:rsidP="00255B2F">
      <w:pPr>
        <w:pStyle w:val="Bulletlevel1"/>
      </w:pPr>
      <w:r w:rsidRPr="00D13AF1">
        <w:t xml:space="preserve">National Board of eHealth (part of the Danish Ministry of Health) </w:t>
      </w:r>
    </w:p>
    <w:p w14:paraId="10AECFA4" w14:textId="01F04F0A" w:rsidR="00255B2F" w:rsidRPr="00D13AF1" w:rsidRDefault="00D2458E" w:rsidP="00255B2F">
      <w:pPr>
        <w:pStyle w:val="Bulletlevel2"/>
      </w:pPr>
      <w:r w:rsidRPr="00D13AF1">
        <w:t>t</w:t>
      </w:r>
      <w:r w:rsidR="00255B2F" w:rsidRPr="00D13AF1">
        <w:t>he Board of Directors consists of a total of 7 members. 3 members are appointed by the Danish state, 3 members are appointed by the Danish Regions and 1 member is appointed by Local Government Denmark</w:t>
      </w:r>
      <w:r w:rsidRPr="00D13AF1">
        <w:t>;</w:t>
      </w:r>
    </w:p>
    <w:p w14:paraId="1D608DB0" w14:textId="26DBCB89" w:rsidR="00255B2F" w:rsidRPr="00D13AF1" w:rsidRDefault="00D2458E" w:rsidP="00255B2F">
      <w:pPr>
        <w:pStyle w:val="Bulletlevel2"/>
      </w:pPr>
      <w:r w:rsidRPr="00D13AF1">
        <w:t>t</w:t>
      </w:r>
      <w:r w:rsidR="00255B2F" w:rsidRPr="00D13AF1">
        <w:t>he Board performs its tasks during its 2-4 yearly</w:t>
      </w:r>
      <w:r w:rsidRPr="00D13AF1">
        <w:t xml:space="preserve"> meetings;</w:t>
      </w:r>
    </w:p>
    <w:p w14:paraId="1C285AE0" w14:textId="2358DDAC" w:rsidR="00255B2F" w:rsidRPr="00D13AF1" w:rsidRDefault="00D2458E" w:rsidP="00255B2F">
      <w:pPr>
        <w:pStyle w:val="Bulletlevel2"/>
        <w:rPr>
          <w:lang w:eastAsia="en-GB"/>
        </w:rPr>
      </w:pPr>
      <w:r w:rsidRPr="00D13AF1">
        <w:rPr>
          <w:lang w:eastAsia="en-GB"/>
        </w:rPr>
        <w:t>a</w:t>
      </w:r>
      <w:r w:rsidR="00255B2F" w:rsidRPr="00D13AF1">
        <w:rPr>
          <w:lang w:eastAsia="en-GB"/>
        </w:rPr>
        <w:t>dvises the Minister of Health regarding healthcare IT strategy, overall IT architecture, standardisation etc. with a view to keep eHealth in line with the national requirements and standards for eHealth</w:t>
      </w:r>
      <w:r w:rsidRPr="00D13AF1">
        <w:rPr>
          <w:lang w:eastAsia="en-GB"/>
        </w:rPr>
        <w:t>;</w:t>
      </w:r>
    </w:p>
    <w:p w14:paraId="53331738" w14:textId="6CEACAB8" w:rsidR="00255B2F" w:rsidRPr="00D13AF1" w:rsidRDefault="00D2458E" w:rsidP="00255B2F">
      <w:pPr>
        <w:pStyle w:val="Bulletlevel2"/>
        <w:rPr>
          <w:lang w:eastAsia="en-GB"/>
        </w:rPr>
      </w:pPr>
      <w:r w:rsidRPr="00D13AF1">
        <w:rPr>
          <w:lang w:eastAsia="en-GB"/>
        </w:rPr>
        <w:t>d</w:t>
      </w:r>
      <w:r w:rsidR="00255B2F" w:rsidRPr="00D13AF1">
        <w:rPr>
          <w:lang w:eastAsia="en-GB"/>
        </w:rPr>
        <w:t>iscusses the developments in the field and conducts the ongoing coordination of the policy and annual reporting regarding progress and milestones to the gov</w:t>
      </w:r>
      <w:r w:rsidRPr="00D13AF1">
        <w:rPr>
          <w:lang w:eastAsia="en-GB"/>
        </w:rPr>
        <w:t>ernment and the Danish Regions;</w:t>
      </w:r>
    </w:p>
    <w:p w14:paraId="6A0EA2FF" w14:textId="0C8F27C6" w:rsidR="00255B2F" w:rsidRPr="00D13AF1" w:rsidRDefault="00D2458E" w:rsidP="00255B2F">
      <w:pPr>
        <w:pStyle w:val="Bulletlevel2"/>
        <w:rPr>
          <w:lang w:eastAsia="en-GB"/>
        </w:rPr>
      </w:pPr>
      <w:r w:rsidRPr="00D13AF1">
        <w:rPr>
          <w:lang w:eastAsia="en-GB"/>
        </w:rPr>
        <w:t>c</w:t>
      </w:r>
      <w:r w:rsidR="00255B2F" w:rsidRPr="00D13AF1">
        <w:rPr>
          <w:lang w:eastAsia="en-GB"/>
        </w:rPr>
        <w:t xml:space="preserve">onducts quality assurance of proposals for new investments. </w:t>
      </w:r>
    </w:p>
    <w:p w14:paraId="4195A6AF" w14:textId="1691EFBC" w:rsidR="00235427" w:rsidRPr="00D13AF1" w:rsidRDefault="00235427" w:rsidP="00235427">
      <w:pPr>
        <w:pStyle w:val="Bulletlevel1"/>
      </w:pPr>
      <w:r w:rsidRPr="00D13AF1">
        <w:t xml:space="preserve">Danish Patient Safety Authority </w:t>
      </w:r>
    </w:p>
    <w:p w14:paraId="2A48B717" w14:textId="2A7A8242" w:rsidR="00D723A5" w:rsidRPr="00D13AF1" w:rsidRDefault="00D723A5" w:rsidP="00D723A5">
      <w:pPr>
        <w:pStyle w:val="Bulletlevel2"/>
        <w:rPr>
          <w:color w:val="auto"/>
        </w:rPr>
      </w:pPr>
      <w:r w:rsidRPr="00D13AF1">
        <w:rPr>
          <w:color w:val="auto"/>
        </w:rPr>
        <w:t>supervises authorised health professionals and health organisations;</w:t>
      </w:r>
    </w:p>
    <w:p w14:paraId="42A4A960" w14:textId="1814F33C" w:rsidR="00D723A5" w:rsidRPr="00D13AF1" w:rsidRDefault="00D723A5" w:rsidP="00D723A5">
      <w:pPr>
        <w:pStyle w:val="Bulletlevel2"/>
        <w:rPr>
          <w:color w:val="auto"/>
        </w:rPr>
      </w:pPr>
      <w:r w:rsidRPr="00D13AF1">
        <w:rPr>
          <w:color w:val="auto"/>
        </w:rPr>
        <w:t>offers advice about communicable diseases, health conditions relevant in the issuance of driving licences and to conduct inquests, etc.;</w:t>
      </w:r>
    </w:p>
    <w:p w14:paraId="42028E4F" w14:textId="6CFD650C" w:rsidR="00D723A5" w:rsidRPr="00D13AF1" w:rsidRDefault="00D723A5" w:rsidP="00D723A5">
      <w:pPr>
        <w:pStyle w:val="Bulletlevel2"/>
        <w:rPr>
          <w:color w:val="auto"/>
        </w:rPr>
      </w:pPr>
      <w:r w:rsidRPr="00D13AF1">
        <w:rPr>
          <w:color w:val="auto"/>
        </w:rPr>
        <w:t>issues registrations in 16 different healthcare professions to both Danish and foreign healthcare professionals;</w:t>
      </w:r>
    </w:p>
    <w:p w14:paraId="771A3CA5" w14:textId="267944DE" w:rsidR="00D723A5" w:rsidRPr="00D13AF1" w:rsidRDefault="00D723A5" w:rsidP="00D723A5">
      <w:pPr>
        <w:pStyle w:val="Bulletlevel2"/>
        <w:rPr>
          <w:color w:val="auto"/>
        </w:rPr>
      </w:pPr>
      <w:r w:rsidRPr="00D13AF1">
        <w:rPr>
          <w:color w:val="auto"/>
        </w:rPr>
        <w:t>issues permissions to practice independently as a medical doctor, dentist or chiropractor;</w:t>
      </w:r>
    </w:p>
    <w:p w14:paraId="44957EE0" w14:textId="63D8BF4B" w:rsidR="00D723A5" w:rsidRPr="00D13AF1" w:rsidRDefault="00D723A5" w:rsidP="00D723A5">
      <w:pPr>
        <w:pStyle w:val="Bulletlevel2"/>
        <w:rPr>
          <w:color w:val="auto"/>
        </w:rPr>
      </w:pPr>
      <w:r w:rsidRPr="00D13AF1">
        <w:rPr>
          <w:color w:val="auto"/>
        </w:rPr>
        <w:t>issues specialist registrations in the 38 medical specialities and specialist registrations in the two dental specialties;</w:t>
      </w:r>
    </w:p>
    <w:p w14:paraId="363137CF" w14:textId="49625382" w:rsidR="00D723A5" w:rsidRPr="00D13AF1" w:rsidRDefault="00D723A5" w:rsidP="00D723A5">
      <w:pPr>
        <w:pStyle w:val="Bulletlevel2"/>
        <w:rPr>
          <w:color w:val="auto"/>
        </w:rPr>
      </w:pPr>
      <w:r w:rsidRPr="00D13AF1">
        <w:rPr>
          <w:color w:val="auto"/>
        </w:rPr>
        <w:t>resolves complaints about </w:t>
      </w:r>
      <w:hyperlink r:id="rId55" w:history="1">
        <w:r w:rsidRPr="00D13AF1">
          <w:t>infringement of patient rights</w:t>
        </w:r>
      </w:hyperlink>
      <w:r w:rsidRPr="00D13AF1">
        <w:rPr>
          <w:color w:val="auto"/>
        </w:rPr>
        <w:t> and </w:t>
      </w:r>
      <w:hyperlink r:id="rId56" w:history="1">
        <w:r w:rsidRPr="00D13AF1">
          <w:t>complaints about treatment provided in the health service</w:t>
        </w:r>
      </w:hyperlink>
      <w:r w:rsidRPr="00D13AF1">
        <w:rPr>
          <w:color w:val="auto"/>
        </w:rPr>
        <w:t> when the criticism concerns a treatment facility and not an individual healthcare provider;</w:t>
      </w:r>
    </w:p>
    <w:p w14:paraId="1936D146" w14:textId="587AC8FB" w:rsidR="00D723A5" w:rsidRPr="00D13AF1" w:rsidRDefault="00D723A5" w:rsidP="00D723A5">
      <w:pPr>
        <w:pStyle w:val="Bulletlevel2"/>
        <w:rPr>
          <w:color w:val="auto"/>
        </w:rPr>
      </w:pPr>
      <w:r w:rsidRPr="00D13AF1">
        <w:rPr>
          <w:color w:val="auto"/>
        </w:rPr>
        <w:t>handles the central administration of the </w:t>
      </w:r>
      <w:hyperlink r:id="rId57" w:history="1">
        <w:r w:rsidRPr="00D13AF1">
          <w:t>reporting system for adverse events</w:t>
        </w:r>
      </w:hyperlink>
      <w:r w:rsidRPr="00D13AF1">
        <w:rPr>
          <w:color w:val="auto"/>
        </w:rPr>
        <w:t> in the health service and contribute to using knowledge about adverse events and knowledge from patient and compensation cases in a preventive way;</w:t>
      </w:r>
    </w:p>
    <w:p w14:paraId="6707326F" w14:textId="50585823" w:rsidR="00D723A5" w:rsidRPr="00D13AF1" w:rsidRDefault="00D723A5" w:rsidP="00D723A5">
      <w:pPr>
        <w:pStyle w:val="Bulletlevel2"/>
        <w:rPr>
          <w:color w:val="auto"/>
        </w:rPr>
      </w:pPr>
      <w:r w:rsidRPr="00D13AF1">
        <w:rPr>
          <w:color w:val="auto"/>
        </w:rPr>
        <w:t>gives advice about the right to </w:t>
      </w:r>
      <w:hyperlink r:id="rId58" w:history="1">
        <w:r w:rsidRPr="00D13AF1">
          <w:t>medical assistance in other countries</w:t>
        </w:r>
      </w:hyperlink>
      <w:r w:rsidRPr="00D13AF1">
        <w:rPr>
          <w:color w:val="auto"/>
        </w:rPr>
        <w:t xml:space="preserve"> pursuant to Danish legislation, EU regulation and other international agreements.</w:t>
      </w:r>
    </w:p>
    <w:p w14:paraId="4E9000CE" w14:textId="77777777" w:rsidR="00255B2F" w:rsidRPr="00D13AF1" w:rsidRDefault="00255B2F" w:rsidP="00255B2F">
      <w:pPr>
        <w:pStyle w:val="Heading3Pink"/>
      </w:pPr>
      <w:r w:rsidRPr="00D13AF1">
        <w:t xml:space="preserve">Regulatory frameworks </w:t>
      </w:r>
    </w:p>
    <w:p w14:paraId="057BB575" w14:textId="77777777" w:rsidR="00255B2F" w:rsidRPr="00D13AF1" w:rsidRDefault="00255B2F" w:rsidP="00255B2F">
      <w:pPr>
        <w:pStyle w:val="BodyEE"/>
      </w:pPr>
      <w:r w:rsidRPr="00D13AF1">
        <w:t xml:space="preserve">The main participants in the health care regulatory framework are public authorities at various administrative levels.   </w:t>
      </w:r>
    </w:p>
    <w:p w14:paraId="75ECFC14" w14:textId="77777777" w:rsidR="00255B2F" w:rsidRPr="00D13AF1" w:rsidRDefault="00255B2F" w:rsidP="00255B2F">
      <w:pPr>
        <w:pStyle w:val="BodyEE"/>
      </w:pPr>
      <w:r w:rsidRPr="00D13AF1">
        <w:lastRenderedPageBreak/>
        <w:t xml:space="preserve">The national government sets the regulatory framework for health services and is in charge of general planning and supervision. Five administrative regions governed by democratically elected councils are responsible for the planning and delivery of specialized services and also have tasks related to social care and coordination. The regions own, manage, and finance hospitals and finance the majority of services delivered by private general practitioners (GPs), office-based specialists, physiotherapists, dentists, and pharmacists. </w:t>
      </w:r>
    </w:p>
    <w:p w14:paraId="1F8F7C69" w14:textId="77777777" w:rsidR="00255B2F" w:rsidRPr="00D13AF1" w:rsidRDefault="00255B2F" w:rsidP="00255B2F">
      <w:pPr>
        <w:pStyle w:val="BodyEE"/>
      </w:pPr>
      <w:r w:rsidRPr="00D13AF1">
        <w:t>The general regulation, planning, and supervision of health services, including cost-control mechanisms, take place at the national level through the Parliament, the Ministry of Health, the Danish Health Authority, the Danish Medicines Agency, and the Danish Patient Safety Authority. The national authorities are responsible for the general supervision of health personnel and for development of quality management in line with national clinical guidelines and standards, usually in close collaboration with representatives from medical societies.</w:t>
      </w:r>
    </w:p>
    <w:p w14:paraId="5EA48669" w14:textId="77777777" w:rsidR="00255B2F" w:rsidRPr="00D13AF1" w:rsidRDefault="00255B2F" w:rsidP="00255B2F">
      <w:pPr>
        <w:pStyle w:val="BodyEE"/>
      </w:pPr>
      <w:r w:rsidRPr="00D13AF1">
        <w:t>The regions are in charge of supervising and paying general practitioners and specialists. Municipalities have important roles in prevention, health promotion, and long-term care. Doctors’ associations negotiate with a collective body of the regions, also including state representatives. Organized patient groups engage in policymaking at the national, regional, and municipal levels. The Danish Patient Safety Authority handles patient complaints and compensation claims, collects information about errors for systematic learning, and provides information about treatment abroad.</w:t>
      </w:r>
    </w:p>
    <w:p w14:paraId="68C541CF" w14:textId="77777777" w:rsidR="00255B2F" w:rsidRPr="00D13AF1" w:rsidRDefault="00255B2F" w:rsidP="00255B2F">
      <w:pPr>
        <w:pStyle w:val="BodyEE"/>
      </w:pPr>
      <w:r w:rsidRPr="00D13AF1">
        <w:t>Information technology (IT) is used at all levels of the health system as part of a national strategy supported by the National Agency for Health IT.</w:t>
      </w:r>
      <w:r w:rsidRPr="00D13AF1">
        <w:rPr>
          <w:rStyle w:val="FootnoteReference"/>
        </w:rPr>
        <w:footnoteReference w:id="92"/>
      </w:r>
      <w:r w:rsidRPr="00D13AF1">
        <w:t xml:space="preserve"> The Danish Medical Association is the professional body of medical professionals in Denmark. Almost all doctors working in Denmark are members of the organization, which represents the interests of doctors and health issues in general.</w:t>
      </w:r>
    </w:p>
    <w:p w14:paraId="727A8FF7" w14:textId="77777777" w:rsidR="00255B2F" w:rsidRPr="00D13AF1" w:rsidRDefault="00255B2F" w:rsidP="00255B2F">
      <w:pPr>
        <w:pStyle w:val="BodyEE"/>
      </w:pPr>
      <w:r w:rsidRPr="00D13AF1">
        <w:t>The DDKM is the national model for quality assessment and improvement. Its principal task is to provide ongoing feedback to individual health care institutions, including processed indicator data. The National Board of Health registers and supervises qualified practitioners and other health care personnel. It is in charge of granting and, if necessary, removing authorization. The 2004 Act on Patient Safety states that authorization can be revoked or activity can be reduced if a qualified health care worker takes an unnecessary risk regarding a patient’s health or has shown serious or repeated unsafe professional activity.</w:t>
      </w:r>
      <w:r w:rsidRPr="00D13AF1">
        <w:rPr>
          <w:rStyle w:val="FootnoteReference"/>
        </w:rPr>
        <w:footnoteReference w:id="93"/>
      </w:r>
    </w:p>
    <w:p w14:paraId="62F1FAE7" w14:textId="77777777" w:rsidR="00255B2F" w:rsidRPr="00D13AF1" w:rsidRDefault="00255B2F" w:rsidP="00255B2F">
      <w:pPr>
        <w:pStyle w:val="BodyEE"/>
      </w:pPr>
      <w:r w:rsidRPr="00D13AF1">
        <w:t>Training is regulated centrally by the Ministry of Science, Technology and Innovation, together with a number of councils, such as the Health Training Council and the Social and Health Training Council, which work in cooperation with the Ministry of Health, the National Board of Health and others. Further training in the health sector for specialists is the responsibility of the National Board of Health, and it is adjusted continually to meet the needs of the health sector with regard to subjects, content and capacity.</w:t>
      </w:r>
    </w:p>
    <w:p w14:paraId="783359A4" w14:textId="77777777" w:rsidR="00255B2F" w:rsidRPr="00D13AF1" w:rsidRDefault="00255B2F" w:rsidP="00255B2F">
      <w:pPr>
        <w:pStyle w:val="Heading2Pink"/>
      </w:pPr>
      <w:bookmarkStart w:id="142" w:name="_Toc504484155"/>
      <w:bookmarkStart w:id="143" w:name="_Hlk494365476"/>
      <w:r w:rsidRPr="00D13AF1">
        <w:t>Danish Health Authority</w:t>
      </w:r>
      <w:bookmarkEnd w:id="142"/>
    </w:p>
    <w:p w14:paraId="6502CDBB" w14:textId="77777777" w:rsidR="00255B2F" w:rsidRPr="00D13AF1" w:rsidRDefault="00255B2F" w:rsidP="00255B2F">
      <w:pPr>
        <w:pStyle w:val="Heading3Pink"/>
      </w:pPr>
      <w:bookmarkStart w:id="144" w:name="_Ref499730681"/>
      <w:bookmarkEnd w:id="143"/>
      <w:r w:rsidRPr="00D13AF1">
        <w:t>Definition of telemedicine</w:t>
      </w:r>
      <w:bookmarkEnd w:id="144"/>
    </w:p>
    <w:p w14:paraId="379B612A" w14:textId="77777777" w:rsidR="00255B2F" w:rsidRPr="00D13AF1" w:rsidRDefault="00255B2F" w:rsidP="00255B2F">
      <w:pPr>
        <w:pStyle w:val="BodyEE"/>
      </w:pPr>
      <w:bookmarkStart w:id="145" w:name="_Hlk494365479"/>
      <w:r w:rsidRPr="00D13AF1">
        <w:t xml:space="preserve">Telemedicine is traditionally considered a health technology that can improve the accessibility of health care in sparsely populated and remote areas. The current use of telemedicine comprises a teleconference between physicians that does not involve the patients. </w:t>
      </w:r>
    </w:p>
    <w:p w14:paraId="5EEB671E" w14:textId="1F0B0E08" w:rsidR="00255B2F" w:rsidRPr="00D13AF1" w:rsidRDefault="00CC21D5" w:rsidP="00EA0F4D">
      <w:pPr>
        <w:pStyle w:val="BodyEE"/>
        <w:keepNext/>
      </w:pPr>
      <w:r w:rsidRPr="00D13AF1">
        <w:lastRenderedPageBreak/>
        <w:t xml:space="preserve">The “Guidance on responsibilities for doctors who use telemedicine” </w:t>
      </w:r>
      <w:r w:rsidR="00255B2F" w:rsidRPr="00D13AF1">
        <w:t>defines telemedicine as:</w:t>
      </w:r>
      <w:r w:rsidR="00255B2F" w:rsidRPr="00D13AF1">
        <w:rPr>
          <w:rStyle w:val="FootnoteReference"/>
        </w:rPr>
        <w:footnoteReference w:id="94"/>
      </w:r>
    </w:p>
    <w:p w14:paraId="5B54F649" w14:textId="77777777" w:rsidR="00205DCE" w:rsidRPr="00D13AF1" w:rsidRDefault="00255B2F" w:rsidP="00EA0F4D">
      <w:pPr>
        <w:pStyle w:val="LongQuotePurple"/>
      </w:pPr>
      <w:r w:rsidRPr="00D13AF1">
        <w:t>By telemedicine, this guide intends that a physician uses video, images, sound and measurement results to request an opinion of a specialist, who is not physically present at the same location as the patient</w:t>
      </w:r>
      <w:r w:rsidR="006833E5" w:rsidRPr="00D13AF1">
        <w:t xml:space="preserve"> </w:t>
      </w:r>
    </w:p>
    <w:p w14:paraId="2E25BE2E" w14:textId="77777777" w:rsidR="00255B2F" w:rsidRPr="00D13AF1" w:rsidRDefault="00255B2F" w:rsidP="00255B2F">
      <w:pPr>
        <w:pStyle w:val="Heading3Pink"/>
      </w:pPr>
      <w:bookmarkStart w:id="146" w:name="_Ref499731207"/>
      <w:bookmarkEnd w:id="145"/>
      <w:r w:rsidRPr="00D13AF1">
        <w:t>Regulation of individual doctors who provide telemedicine services</w:t>
      </w:r>
      <w:r w:rsidRPr="00D13AF1">
        <w:rPr>
          <w:rStyle w:val="FootnoteReference"/>
        </w:rPr>
        <w:footnoteReference w:id="95"/>
      </w:r>
      <w:bookmarkEnd w:id="146"/>
    </w:p>
    <w:p w14:paraId="78FDABAC" w14:textId="77777777" w:rsidR="00255B2F" w:rsidRPr="00D13AF1" w:rsidRDefault="00255B2F" w:rsidP="00255B2F">
      <w:pPr>
        <w:pStyle w:val="Bulletlevel1"/>
      </w:pPr>
      <w:r w:rsidRPr="00D13AF1">
        <w:t>The Guidance claims that with regards to the use of telemedicine services by doctors, no special liability is applicable. Thus, there is no independent regulation regarding these services.</w:t>
      </w:r>
    </w:p>
    <w:p w14:paraId="36AFD1D5" w14:textId="77777777" w:rsidR="00255B2F" w:rsidRPr="00D13AF1" w:rsidRDefault="00255B2F" w:rsidP="00255B2F">
      <w:pPr>
        <w:pStyle w:val="Bulletlevel1"/>
      </w:pPr>
      <w:r w:rsidRPr="00D13AF1">
        <w:t>A doctor's usual commitment to care and ethics is relevant in all situations in which the doctor participates and is responsible for patient treatment. This is applicable to both the physician involved in telemedicine as a specialist and the doctor who initiates treatment based on the specialist's assessment.</w:t>
      </w:r>
    </w:p>
    <w:p w14:paraId="1211A509" w14:textId="77777777" w:rsidR="00255B2F" w:rsidRPr="00D13AF1" w:rsidRDefault="00255B2F" w:rsidP="00255B2F">
      <w:pPr>
        <w:pStyle w:val="Bulletlevel1"/>
      </w:pPr>
      <w:r w:rsidRPr="00D13AF1">
        <w:t>The individual physician has as his/her sole responsibility to ensure that the assessments and treatments that he/she performs are sound and substantiated by the necessary studies and information.</w:t>
      </w:r>
    </w:p>
    <w:p w14:paraId="49F4F6C7" w14:textId="77777777" w:rsidR="00255B2F" w:rsidRPr="00D13AF1" w:rsidRDefault="00255B2F" w:rsidP="00255B2F">
      <w:pPr>
        <w:pStyle w:val="Bulletlevel1"/>
      </w:pPr>
      <w:r w:rsidRPr="00D13AF1">
        <w:t>In the case of telemedicine services, it should be clear to all involved parties (the patient and the specialist) which assumptions are being taken, in particular what is the role of the specialist in obtaining assessment.</w:t>
      </w:r>
    </w:p>
    <w:p w14:paraId="55AC0616" w14:textId="77777777" w:rsidR="00255B2F" w:rsidRPr="00D13AF1" w:rsidRDefault="00255B2F" w:rsidP="00255B2F">
      <w:pPr>
        <w:pStyle w:val="Bulletlevel1"/>
      </w:pPr>
      <w:r w:rsidRPr="00D13AF1">
        <w:t>The doctor who initiates treatment on the basis of a telemedicine assessment is responsible for the treatment to be professionally sound.</w:t>
      </w:r>
    </w:p>
    <w:p w14:paraId="43725302" w14:textId="77777777" w:rsidR="00255B2F" w:rsidRPr="00D13AF1" w:rsidRDefault="00255B2F" w:rsidP="00255B2F">
      <w:pPr>
        <w:pStyle w:val="Bulletlevel1"/>
      </w:pPr>
      <w:r w:rsidRPr="00D13AF1">
        <w:t>The physician, who requests the specialist consultation is responsible for ensuring that the information being used for the treatment is sufficient for the purpose of providing a professional treatment.</w:t>
      </w:r>
    </w:p>
    <w:p w14:paraId="13E7457A" w14:textId="16770B38" w:rsidR="00255B2F" w:rsidRPr="00D13AF1" w:rsidRDefault="00255B2F" w:rsidP="00255B2F">
      <w:pPr>
        <w:pStyle w:val="Bulletlevel1"/>
      </w:pPr>
      <w:r w:rsidRPr="00D13AF1">
        <w:t xml:space="preserve">The doctor who requests telemedicine assistance is responsible for documenting how and when the request has been sent. It is also </w:t>
      </w:r>
      <w:r w:rsidR="00AD5883">
        <w:t>their</w:t>
      </w:r>
      <w:r w:rsidR="00AD5883" w:rsidRPr="00D13AF1">
        <w:t xml:space="preserve"> </w:t>
      </w:r>
      <w:r w:rsidRPr="00D13AF1">
        <w:t>responsibility for ensuring that feedback is received and to follow up on it.</w:t>
      </w:r>
    </w:p>
    <w:p w14:paraId="2A611351" w14:textId="77777777" w:rsidR="00255B2F" w:rsidRPr="00D13AF1" w:rsidRDefault="00255B2F" w:rsidP="00255B2F">
      <w:pPr>
        <w:pStyle w:val="Bulletlevel1"/>
      </w:pPr>
      <w:r w:rsidRPr="00D13AF1">
        <w:t>The patient's informed consent must be obtainable before examination and treatment. Such consent shall in principle also be deemed to be requested when telemedicine assessment is used to treat.</w:t>
      </w:r>
    </w:p>
    <w:p w14:paraId="692ED487" w14:textId="77777777" w:rsidR="00255B2F" w:rsidRPr="00D13AF1" w:rsidRDefault="00255B2F" w:rsidP="00255B2F">
      <w:pPr>
        <w:pStyle w:val="Bulletlevel1"/>
      </w:pPr>
      <w:r w:rsidRPr="00D13AF1">
        <w:t>It must be ensured that confidentiality is complied with in the provision of confidential information and disclosure of health information. As a starting point, the relevant disclosure of health information during telemedicine treatment should be subject to the patient's consent.</w:t>
      </w:r>
    </w:p>
    <w:p w14:paraId="449C3189" w14:textId="77777777" w:rsidR="00255B2F" w:rsidRPr="00D13AF1" w:rsidRDefault="00255B2F" w:rsidP="00255B2F">
      <w:pPr>
        <w:pStyle w:val="Heading3Pink"/>
      </w:pPr>
      <w:bookmarkStart w:id="147" w:name="_Ref499731998"/>
      <w:r w:rsidRPr="00D13AF1">
        <w:t>Cross-jurisdiction issues in telemedicine</w:t>
      </w:r>
      <w:bookmarkEnd w:id="147"/>
    </w:p>
    <w:p w14:paraId="37251D3A" w14:textId="77777777" w:rsidR="00255B2F" w:rsidRPr="00D13AF1" w:rsidRDefault="00255B2F" w:rsidP="00255B2F">
      <w:pPr>
        <w:pStyle w:val="BodyEE"/>
      </w:pPr>
      <w:r w:rsidRPr="00D13AF1">
        <w:t xml:space="preserve">In cases where specialist attention for diagnostics, treatment, etc. is obtained outside Denmark’s borders, it is the physician in Denmark, who initiated the treatment, who is responsible for the treatment and the reporting obligations. </w:t>
      </w:r>
    </w:p>
    <w:p w14:paraId="25DF0659" w14:textId="77777777" w:rsidR="00255B2F" w:rsidRPr="00D13AF1" w:rsidRDefault="00255B2F" w:rsidP="00255B2F">
      <w:pPr>
        <w:pStyle w:val="Heading2Pink"/>
      </w:pPr>
      <w:bookmarkStart w:id="148" w:name="_Toc504484156"/>
      <w:bookmarkStart w:id="149" w:name="_Hlk494365484"/>
      <w:r w:rsidRPr="00D13AF1">
        <w:lastRenderedPageBreak/>
        <w:t>National Board of eHealth</w:t>
      </w:r>
      <w:bookmarkEnd w:id="148"/>
    </w:p>
    <w:bookmarkEnd w:id="149"/>
    <w:p w14:paraId="78035AB9" w14:textId="77777777" w:rsidR="00255B2F" w:rsidRPr="00D13AF1" w:rsidRDefault="00255B2F" w:rsidP="00255B2F">
      <w:pPr>
        <w:pStyle w:val="Heading3Pink"/>
      </w:pPr>
      <w:r w:rsidRPr="00D13AF1">
        <w:t>Definition of telemedicine</w:t>
      </w:r>
    </w:p>
    <w:p w14:paraId="33BC559B" w14:textId="77777777" w:rsidR="00255B2F" w:rsidRPr="00D13AF1" w:rsidRDefault="00255B2F" w:rsidP="00255B2F">
      <w:pPr>
        <w:pStyle w:val="BodyEE"/>
      </w:pPr>
      <w:bookmarkStart w:id="150" w:name="_Hlk494365490"/>
      <w:r w:rsidRPr="00D13AF1">
        <w:t>In a report</w:t>
      </w:r>
      <w:r w:rsidRPr="00D13AF1">
        <w:rPr>
          <w:rStyle w:val="FootnoteReference"/>
        </w:rPr>
        <w:footnoteReference w:id="96"/>
      </w:r>
      <w:r w:rsidRPr="00D13AF1">
        <w:t xml:space="preserve"> by the Danish Government, Local Government Denmark and the Danish Regions</w:t>
      </w:r>
      <w:r w:rsidRPr="00D13AF1">
        <w:rPr>
          <w:rStyle w:val="FootnoteReference"/>
        </w:rPr>
        <w:footnoteReference w:id="97"/>
      </w:r>
      <w:r w:rsidRPr="00D13AF1">
        <w:t xml:space="preserve"> briefly defines telemedicine solutions “as videoconferencing, digital exchange of images and monitoring patients in their own homes”. </w:t>
      </w:r>
    </w:p>
    <w:bookmarkEnd w:id="150"/>
    <w:p w14:paraId="5B2CF273" w14:textId="77777777" w:rsidR="00255B2F" w:rsidRPr="00D13AF1" w:rsidRDefault="00255B2F" w:rsidP="00255B2F">
      <w:pPr>
        <w:pStyle w:val="Heading3Pink"/>
      </w:pPr>
      <w:r w:rsidRPr="00D13AF1">
        <w:t>Regulation of individual doctors who provide telemedicine services</w:t>
      </w:r>
    </w:p>
    <w:p w14:paraId="665E0921" w14:textId="77777777" w:rsidR="00255B2F" w:rsidRPr="00D13AF1" w:rsidRDefault="00255B2F" w:rsidP="00255B2F">
      <w:pPr>
        <w:pStyle w:val="BodyEE"/>
      </w:pPr>
      <w:r w:rsidRPr="00D13AF1">
        <w:t xml:space="preserve">The Board does not regulate doctors or institutions per se. Rather its functions involve guiding and monitoring the progress of the National Strategy for Digitalisation of the Danish Healthcare Sector 2013-2017. </w:t>
      </w:r>
    </w:p>
    <w:p w14:paraId="409131A5" w14:textId="77777777" w:rsidR="00255B2F" w:rsidRPr="00D13AF1" w:rsidRDefault="00255B2F" w:rsidP="00255B2F">
      <w:pPr>
        <w:pStyle w:val="Heading3Pink"/>
      </w:pPr>
      <w:r w:rsidRPr="00D13AF1">
        <w:t>Cross-jurisdiction issues in telemedicine</w:t>
      </w:r>
    </w:p>
    <w:p w14:paraId="77A6BD56" w14:textId="77777777" w:rsidR="00235427" w:rsidRPr="00D13AF1" w:rsidRDefault="00255B2F" w:rsidP="00255B2F">
      <w:pPr>
        <w:pStyle w:val="BodyEE"/>
      </w:pPr>
      <w:r w:rsidRPr="00D13AF1">
        <w:t>The Board has not dealt with the issue of cross-jurisdiction.</w:t>
      </w:r>
    </w:p>
    <w:p w14:paraId="04C9B147" w14:textId="6BC86F6C" w:rsidR="00E817FB" w:rsidRPr="00D13AF1" w:rsidRDefault="00E817FB" w:rsidP="00E817FB">
      <w:pPr>
        <w:pStyle w:val="Heading2Pink"/>
      </w:pPr>
      <w:bookmarkStart w:id="151" w:name="_Toc504484157"/>
      <w:r w:rsidRPr="00D13AF1">
        <w:t>Danish Patient Safety Authority</w:t>
      </w:r>
      <w:r w:rsidR="00012586" w:rsidRPr="00D13AF1">
        <w:rPr>
          <w:rStyle w:val="FootnoteReference"/>
        </w:rPr>
        <w:footnoteReference w:id="98"/>
      </w:r>
      <w:bookmarkEnd w:id="151"/>
    </w:p>
    <w:p w14:paraId="56D03731" w14:textId="0EAEC5ED" w:rsidR="00E817FB" w:rsidRPr="00D13AF1" w:rsidRDefault="00E817FB" w:rsidP="00E817FB">
      <w:pPr>
        <w:pStyle w:val="BodyEE"/>
      </w:pPr>
      <w:r w:rsidRPr="00D13AF1">
        <w:t xml:space="preserve">The Authority supervises both individuals and organizations. </w:t>
      </w:r>
    </w:p>
    <w:p w14:paraId="0CE22A52" w14:textId="77777777" w:rsidR="00E817FB" w:rsidRPr="00D13AF1" w:rsidRDefault="00E817FB" w:rsidP="00E817FB">
      <w:pPr>
        <w:pStyle w:val="Heading3Pink"/>
      </w:pPr>
      <w:r w:rsidRPr="00D13AF1">
        <w:t>Definition of telemedicine</w:t>
      </w:r>
    </w:p>
    <w:p w14:paraId="2FB96736" w14:textId="7BB6AF87" w:rsidR="00E817FB" w:rsidRPr="00D13AF1" w:rsidRDefault="00E817FB" w:rsidP="00E817FB">
      <w:pPr>
        <w:pStyle w:val="BodyEE"/>
      </w:pPr>
      <w:r w:rsidRPr="00D13AF1">
        <w:t xml:space="preserve">The Authority defines telemedicine as </w:t>
      </w:r>
      <w:r w:rsidR="00DE0E9C" w:rsidRPr="00D13AF1">
        <w:t>a</w:t>
      </w:r>
      <w:r w:rsidRPr="00D13AF1">
        <w:t xml:space="preserve">n opportunity for a specialist, who is not physically present around the patient, to be included in the patient's diagnostics and treatment. This is done </w:t>
      </w:r>
      <w:proofErr w:type="gramStart"/>
      <w:r w:rsidRPr="00D13AF1">
        <w:t>by the use of</w:t>
      </w:r>
      <w:proofErr w:type="gramEnd"/>
      <w:r w:rsidRPr="00D13AF1">
        <w:t xml:space="preserve"> video, pictures, sound and test results.</w:t>
      </w:r>
    </w:p>
    <w:p w14:paraId="7F38110C" w14:textId="77777777" w:rsidR="00E817FB" w:rsidRPr="00D13AF1" w:rsidRDefault="00E817FB" w:rsidP="00E817FB">
      <w:pPr>
        <w:pStyle w:val="Heading3Pink"/>
      </w:pPr>
      <w:r w:rsidRPr="00D13AF1">
        <w:t>Frameworks for telemedicine regulation</w:t>
      </w:r>
    </w:p>
    <w:p w14:paraId="49327B9E" w14:textId="0D41DA10" w:rsidR="00E817FB" w:rsidRPr="00D13AF1" w:rsidRDefault="00E817FB" w:rsidP="00301059">
      <w:pPr>
        <w:pStyle w:val="BodyEE"/>
      </w:pPr>
      <w:r w:rsidRPr="00D13AF1">
        <w:t xml:space="preserve">The DPSA has in place telemedicine-related requirements on </w:t>
      </w:r>
      <w:r w:rsidR="00301059" w:rsidRPr="00D13AF1">
        <w:t>the subjects of s</w:t>
      </w:r>
      <w:r w:rsidRPr="00D13AF1">
        <w:t>tandards of work</w:t>
      </w:r>
    </w:p>
    <w:p w14:paraId="30BD3C62" w14:textId="7B3006EE" w:rsidR="00E817FB" w:rsidRPr="00D13AF1" w:rsidRDefault="00E817FB" w:rsidP="00E817FB">
      <w:pPr>
        <w:pStyle w:val="BodyEE"/>
      </w:pPr>
      <w:r w:rsidRPr="00D13AF1">
        <w:t>The Authority cooperates with Danish Medical Agency regarding medical devices.</w:t>
      </w:r>
    </w:p>
    <w:p w14:paraId="1633DB08" w14:textId="77777777" w:rsidR="00E817FB" w:rsidRPr="00D13AF1" w:rsidRDefault="00E817FB" w:rsidP="00E817FB">
      <w:pPr>
        <w:pStyle w:val="Heading3Pink"/>
      </w:pPr>
      <w:r w:rsidRPr="00D13AF1">
        <w:t>Regulation of individual doctors who provide telemedicine services</w:t>
      </w:r>
    </w:p>
    <w:p w14:paraId="3EEBCFFA" w14:textId="608A9EAE" w:rsidR="003570E6" w:rsidRPr="00D13AF1" w:rsidRDefault="00CC21D5" w:rsidP="00CC21D5">
      <w:pPr>
        <w:pStyle w:val="Bulletlevel1"/>
        <w:numPr>
          <w:ilvl w:val="0"/>
          <w:numId w:val="0"/>
        </w:numPr>
      </w:pPr>
      <w:r w:rsidRPr="00D13AF1">
        <w:t>The Authorities refers to the “Guidance on responsibilities for doctors who use telemedicine” as the key document in the area of telemedicine regulation in Denmark (see section 3.2.1 above for the Guidance summary).</w:t>
      </w:r>
    </w:p>
    <w:p w14:paraId="1DF6A827" w14:textId="77777777" w:rsidR="00E817FB" w:rsidRPr="00D13AF1" w:rsidRDefault="00E817FB" w:rsidP="00E817FB">
      <w:pPr>
        <w:pStyle w:val="Heading3Pink"/>
      </w:pPr>
      <w:r w:rsidRPr="00D13AF1">
        <w:t>Cross-jurisdiction issues in telemedicine</w:t>
      </w:r>
    </w:p>
    <w:p w14:paraId="2A9C2D92" w14:textId="1D69AA2F" w:rsidR="003570E6" w:rsidRPr="00D13AF1" w:rsidRDefault="003570E6" w:rsidP="003570E6">
      <w:pPr>
        <w:pStyle w:val="BodyEE"/>
      </w:pPr>
      <w:r w:rsidRPr="00D13AF1">
        <w:t>The Authority admits it is difficult to regulate when the health professional treats patients in other countries, and calls for common European regulations.</w:t>
      </w:r>
    </w:p>
    <w:p w14:paraId="7FCC736F" w14:textId="77777777" w:rsidR="00255B2F" w:rsidRPr="00D13AF1" w:rsidRDefault="00255B2F" w:rsidP="001E393E">
      <w:pPr>
        <w:pStyle w:val="Heading1"/>
        <w:rPr>
          <w:color w:val="C64187" w:themeColor="accent2"/>
        </w:rPr>
      </w:pPr>
      <w:bookmarkStart w:id="152" w:name="_Toc504484158"/>
      <w:r w:rsidRPr="00D13AF1">
        <w:rPr>
          <w:color w:val="C64187" w:themeColor="accent2"/>
        </w:rPr>
        <w:lastRenderedPageBreak/>
        <w:t>France</w:t>
      </w:r>
      <w:bookmarkEnd w:id="152"/>
      <w:r w:rsidRPr="00D13AF1">
        <w:rPr>
          <w:color w:val="C64187" w:themeColor="accent2"/>
        </w:rPr>
        <w:t xml:space="preserve"> </w:t>
      </w:r>
    </w:p>
    <w:p w14:paraId="6175688D" w14:textId="77777777" w:rsidR="00255B2F" w:rsidRPr="00D13AF1" w:rsidRDefault="00255B2F" w:rsidP="00466452">
      <w:pPr>
        <w:pStyle w:val="Heading2Pink"/>
      </w:pPr>
      <w:bookmarkStart w:id="153" w:name="_Toc504484159"/>
      <w:r w:rsidRPr="00D13AF1">
        <w:t>Country level overview</w:t>
      </w:r>
      <w:bookmarkEnd w:id="153"/>
    </w:p>
    <w:p w14:paraId="7038D38B" w14:textId="77777777" w:rsidR="00255B2F" w:rsidRPr="00D13AF1" w:rsidRDefault="00255B2F" w:rsidP="00255B2F">
      <w:pPr>
        <w:pStyle w:val="Heading3Pink"/>
      </w:pPr>
      <w:r w:rsidRPr="00D13AF1">
        <w:t xml:space="preserve">Relevant organisations </w:t>
      </w:r>
    </w:p>
    <w:p w14:paraId="3553FDBB" w14:textId="20986A8C" w:rsidR="004F2CAF" w:rsidRPr="00D13AF1" w:rsidRDefault="00255B2F" w:rsidP="004B25D3">
      <w:pPr>
        <w:pStyle w:val="Bulletlevel1"/>
      </w:pPr>
      <w:r w:rsidRPr="00D13AF1">
        <w:t xml:space="preserve">Haute </w:t>
      </w:r>
      <w:proofErr w:type="spellStart"/>
      <w:r w:rsidRPr="00D13AF1">
        <w:t>Autorité</w:t>
      </w:r>
      <w:proofErr w:type="spellEnd"/>
      <w:r w:rsidRPr="00D13AF1">
        <w:t xml:space="preserve"> de Santé (HAS) (National Authority for Health)</w:t>
      </w:r>
      <w:r w:rsidR="00323444" w:rsidRPr="00D13AF1">
        <w:t xml:space="preserve"> </w:t>
      </w:r>
      <w:r w:rsidR="006833E5" w:rsidRPr="00D13AF1">
        <w:t xml:space="preserve">— </w:t>
      </w:r>
      <w:r w:rsidR="00323444" w:rsidRPr="00D13AF1">
        <w:t xml:space="preserve">the </w:t>
      </w:r>
      <w:r w:rsidR="00182938" w:rsidRPr="00D13AF1">
        <w:t>authority</w:t>
      </w:r>
      <w:r w:rsidR="00323444" w:rsidRPr="00D13AF1">
        <w:t xml:space="preserve"> </w:t>
      </w:r>
      <w:r w:rsidRPr="00D13AF1">
        <w:t xml:space="preserve">was set up by the French government in order to bring together under a single roof a number of activities designed to improve the quality of patient care and to guarantee equity within the healthcare system. HAS activities range from assessment of drugs, medical devices, and procedures to publication of guidelines to accreditation of healthcare organisations and certification of doctors. HAS is not a government body, but an independent public body with financial autonomy. It is mandated by law to carry out specific </w:t>
      </w:r>
      <w:r w:rsidR="00AD5883">
        <w:t>roles</w:t>
      </w:r>
      <w:r w:rsidR="00AD5883" w:rsidRPr="00D13AF1">
        <w:t xml:space="preserve"> </w:t>
      </w:r>
      <w:r w:rsidRPr="00D13AF1">
        <w:t>which it reports</w:t>
      </w:r>
      <w:r w:rsidR="00AD5883">
        <w:t xml:space="preserve"> on</w:t>
      </w:r>
      <w:r w:rsidRPr="00D13AF1">
        <w:t xml:space="preserve"> to Government and Parliament. It liaises closely with government health agencies, national health insurance funds, research organization, unions of healthcare professionals, and patient representatives.</w:t>
      </w:r>
      <w:r w:rsidRPr="00D13AF1">
        <w:rPr>
          <w:rStyle w:val="FootnoteReference"/>
          <w:rFonts w:cs="Calibri"/>
          <w:vertAlign w:val="baseline"/>
        </w:rPr>
        <w:footnoteReference w:id="99"/>
      </w:r>
    </w:p>
    <w:p w14:paraId="040C65FC" w14:textId="77777777" w:rsidR="004F2CAF" w:rsidRPr="00D13AF1" w:rsidRDefault="00255B2F" w:rsidP="004B25D3">
      <w:pPr>
        <w:pStyle w:val="Bulletlevel1"/>
      </w:pPr>
      <w:r w:rsidRPr="00D13AF1">
        <w:t xml:space="preserve">Haut Conseil de la Santé </w:t>
      </w:r>
      <w:proofErr w:type="spellStart"/>
      <w:r w:rsidRPr="00D13AF1">
        <w:t>Publique</w:t>
      </w:r>
      <w:proofErr w:type="spellEnd"/>
      <w:r w:rsidRPr="00D13AF1">
        <w:t xml:space="preserve"> (HCSP) (National Council of Public Healthcare) </w:t>
      </w:r>
      <w:r w:rsidR="00182938" w:rsidRPr="00D13AF1">
        <w:t>— t</w:t>
      </w:r>
      <w:r w:rsidRPr="00D13AF1">
        <w:t>he HCSP co-ordinates the preparation of forward-looking opinions on public health issues, engages in annual monitoring and evaluation of the national health strategy, illness prevention and health security, including economic dimension of healthcare policy in terms</w:t>
      </w:r>
      <w:r w:rsidR="00323444" w:rsidRPr="00D13AF1">
        <w:t xml:space="preserve"> of the resources and benefits.</w:t>
      </w:r>
    </w:p>
    <w:p w14:paraId="1A239C0F" w14:textId="6AB12672" w:rsidR="00255B2F" w:rsidRPr="00D13AF1" w:rsidRDefault="00255B2F" w:rsidP="004B25D3">
      <w:pPr>
        <w:pStyle w:val="Bulletlevel1"/>
      </w:pPr>
      <w:proofErr w:type="spellStart"/>
      <w:r w:rsidRPr="00D13AF1">
        <w:t>L’Ordre</w:t>
      </w:r>
      <w:proofErr w:type="spellEnd"/>
      <w:r w:rsidRPr="00D13AF1">
        <w:t xml:space="preserve"> National des Médecins (National Order of Doctors)</w:t>
      </w:r>
      <w:r w:rsidR="00182938" w:rsidRPr="00D13AF1">
        <w:t xml:space="preserve"> — t</w:t>
      </w:r>
      <w:r w:rsidRPr="00D13AF1">
        <w:t>he Order is an independent body financed by doctors’ subscriptions, and which has Councils at each administrative level operating different regulatory functions. For example, the Order produces the medical Code of Ethics, which is part of a broader Code of Public Health. In recent years, greater emphasis has been placed on aspects of the doctor-patient relationship in ethical medical practice, such as issues of confidentiality, the importance of explaining the options for treatment and the risks involved, and gaining informed consent.</w:t>
      </w:r>
      <w:r w:rsidRPr="00D13AF1">
        <w:rPr>
          <w:rStyle w:val="FootnoteReference"/>
          <w:rFonts w:cs="Calibri"/>
          <w:vertAlign w:val="baseline"/>
        </w:rPr>
        <w:footnoteReference w:id="100"/>
      </w:r>
      <w:r w:rsidRPr="00D13AF1">
        <w:t xml:space="preserve"> The Order also registers doctors and manages their licenses. </w:t>
      </w:r>
    </w:p>
    <w:p w14:paraId="6326ABBC" w14:textId="77777777" w:rsidR="00255B2F" w:rsidRPr="00D13AF1" w:rsidRDefault="00255B2F" w:rsidP="00255B2F">
      <w:pPr>
        <w:pStyle w:val="Heading3Pink"/>
      </w:pPr>
      <w:r w:rsidRPr="00D13AF1">
        <w:t xml:space="preserve">Regulatory frameworks </w:t>
      </w:r>
    </w:p>
    <w:p w14:paraId="5D9745A7" w14:textId="0672ED87" w:rsidR="00255B2F" w:rsidRPr="00D13AF1" w:rsidRDefault="00255B2F" w:rsidP="00255B2F">
      <w:pPr>
        <w:pStyle w:val="Tablelastnote"/>
        <w:rPr>
          <w:sz w:val="22"/>
          <w:szCs w:val="18"/>
        </w:rPr>
      </w:pPr>
      <w:r w:rsidRPr="00D13AF1">
        <w:rPr>
          <w:sz w:val="22"/>
          <w:szCs w:val="18"/>
        </w:rPr>
        <w:t>There are three main levels of government in France</w:t>
      </w:r>
      <w:r w:rsidR="006833E5" w:rsidRPr="00D13AF1">
        <w:rPr>
          <w:sz w:val="22"/>
          <w:szCs w:val="18"/>
        </w:rPr>
        <w:t xml:space="preserve"> — </w:t>
      </w:r>
      <w:r w:rsidRPr="00D13AF1">
        <w:rPr>
          <w:sz w:val="22"/>
          <w:szCs w:val="18"/>
        </w:rPr>
        <w:t>national, regional and departmental, each of which plays a role in regulation of medical professionals. In addition, the National Order of Doctors is responsible for working with those bodies in establishing regulatory standards. The National Doctors’ Order does not report to the Government, representatives from both the Ministry of Health and the Ministry of Higher Education and Research sit on the Council of the National Order. The Ministry of Health has a particular remit to ensure that the training options and career options available to students of medicine in France are aligned to the country’s workforce needs. It works closely with the Ministry of Higher Education and Research.</w:t>
      </w:r>
    </w:p>
    <w:p w14:paraId="21D11A9F" w14:textId="77777777" w:rsidR="00960A9E" w:rsidRPr="00D13AF1" w:rsidRDefault="00255B2F" w:rsidP="00960A9E">
      <w:pPr>
        <w:pStyle w:val="BodyEE"/>
      </w:pPr>
      <w:r w:rsidRPr="00D13AF1">
        <w:t xml:space="preserve">There is no accreditation based system for assuring the quality of medical education and training in France. The general framework which governs medical education and training is set by the MHER, but within this broad framework, individual faculties have considerable latitude to innovate with respect to teaching methods, curriculum content and student assessment. Another indirect mechanism used to ensure the quality </w:t>
      </w:r>
      <w:r w:rsidRPr="00D13AF1">
        <w:lastRenderedPageBreak/>
        <w:t>of education is through national competitive examinations which determine the appointment of clinical teach</w:t>
      </w:r>
      <w:r w:rsidR="00960A9E" w:rsidRPr="00D13AF1">
        <w:t>ing staff to medical faculties.</w:t>
      </w:r>
    </w:p>
    <w:p w14:paraId="0F580943" w14:textId="45CDEF90" w:rsidR="00255B2F" w:rsidRPr="00D13AF1" w:rsidRDefault="00255B2F" w:rsidP="00960A9E">
      <w:pPr>
        <w:pStyle w:val="BodyEE"/>
      </w:pPr>
      <w:r w:rsidRPr="00D13AF1">
        <w:t>In France, registration is a precursor to licensure, but both are managed by the Departmental Council of the National Order of Doctors in the Department where the doctors plans to practise medicine. In order to register a doctor must pro</w:t>
      </w:r>
      <w:r w:rsidR="00D2198E" w:rsidRPr="00D13AF1">
        <w:t>ve</w:t>
      </w:r>
      <w:r w:rsidRPr="00D13AF1">
        <w:t xml:space="preserve"> to the Departmental Council that the full medical degree (the State Diploma of Doctor of Medicine) and that they fulfil citizenship requirements. Once registered, a doctor can practise anywhere in France, but they cannot be registered with two different departments of the National Order at the same time.</w:t>
      </w:r>
    </w:p>
    <w:p w14:paraId="3F6810E7" w14:textId="60FF9715" w:rsidR="00255B2F" w:rsidRPr="00D13AF1" w:rsidRDefault="00255B2F" w:rsidP="00255B2F">
      <w:pPr>
        <w:pStyle w:val="BodyEE"/>
      </w:pPr>
      <w:r w:rsidRPr="00D13AF1">
        <w:t xml:space="preserve">France is one of the first countries in the EU to vote a specific legal framework for telemedicine, with implementation of Article 78 of Law 2009-879 and a decree a year later. This decree has been inserted in the public health code, which is a way to consider, from legal point of view, </w:t>
      </w:r>
      <w:r w:rsidR="00960A9E" w:rsidRPr="00D13AF1">
        <w:t>telemedicine</w:t>
      </w:r>
      <w:r w:rsidRPr="00D13AF1">
        <w:t xml:space="preserve"> as a standard medical act (which adds to and does not replace current medical acts).</w:t>
      </w:r>
    </w:p>
    <w:p w14:paraId="165D454A" w14:textId="77777777" w:rsidR="00255B2F" w:rsidRPr="00D13AF1" w:rsidRDefault="00255B2F" w:rsidP="00255B2F">
      <w:pPr>
        <w:pStyle w:val="Heading2Pink"/>
      </w:pPr>
      <w:bookmarkStart w:id="154" w:name="_Toc504484160"/>
      <w:bookmarkStart w:id="155" w:name="_Hlk494365501"/>
      <w:r w:rsidRPr="00D13AF1">
        <w:t>National legal system</w:t>
      </w:r>
      <w:bookmarkEnd w:id="154"/>
    </w:p>
    <w:p w14:paraId="1337D36B" w14:textId="77777777" w:rsidR="00255B2F" w:rsidRPr="00D13AF1" w:rsidRDefault="00255B2F" w:rsidP="00255B2F">
      <w:pPr>
        <w:pStyle w:val="Heading3Pink"/>
      </w:pPr>
      <w:bookmarkStart w:id="156" w:name="_Ref499730717"/>
      <w:bookmarkEnd w:id="155"/>
      <w:r w:rsidRPr="00D13AF1">
        <w:t>Definition of telemedicine</w:t>
      </w:r>
      <w:bookmarkEnd w:id="156"/>
    </w:p>
    <w:p w14:paraId="5FB677CD" w14:textId="77777777" w:rsidR="00255B2F" w:rsidRPr="00D13AF1" w:rsidRDefault="00255B2F" w:rsidP="00495FE5">
      <w:pPr>
        <w:pStyle w:val="BodyEE"/>
        <w:keepNext/>
      </w:pPr>
      <w:bookmarkStart w:id="157" w:name="_Hlk494365510"/>
      <w:r w:rsidRPr="00D13AF1">
        <w:t>Article 78 of Law 2009-879 states that:</w:t>
      </w:r>
    </w:p>
    <w:p w14:paraId="761EDBB2" w14:textId="39AC265B" w:rsidR="00255B2F" w:rsidRPr="00D13AF1" w:rsidRDefault="00255B2F" w:rsidP="00255B2F">
      <w:pPr>
        <w:pStyle w:val="LongQuotePurple"/>
      </w:pPr>
      <w:r w:rsidRPr="00D13AF1">
        <w:t>Telemedicine is a form of remote medical practice using information and communication technologies. It connects two or more healthcare professionals to each other, or a patient to one or more healthcare professionals. Amongst them at least one has to be a medical professional, and where appropri</w:t>
      </w:r>
      <w:r w:rsidR="00D30BB8" w:rsidRPr="00D13AF1">
        <w:t>ate, more than one professional</w:t>
      </w:r>
      <w:r w:rsidRPr="00D13AF1">
        <w:t xml:space="preserve"> can provide care to the patient.</w:t>
      </w:r>
    </w:p>
    <w:p w14:paraId="18DF2EE8" w14:textId="55AA69DD" w:rsidR="00255B2F" w:rsidRPr="00D13AF1" w:rsidRDefault="00255B2F" w:rsidP="00255B2F">
      <w:pPr>
        <w:pStyle w:val="LongQuotePurple"/>
      </w:pPr>
      <w:r w:rsidRPr="00D13AF1">
        <w:t>"Telemedicine makes it possible to establish a diagnosis, to provide preventive follow-up or post-therapeutic care for a patient at risk, to request specialized advice, to decide on a therapeutic path, to prescribe products, to prescribe or to perform medical services, or to monitor the condition of patients.</w:t>
      </w:r>
    </w:p>
    <w:p w14:paraId="45173BD8" w14:textId="77777777" w:rsidR="00255B2F" w:rsidRPr="00D13AF1" w:rsidRDefault="00255B2F" w:rsidP="00255B2F">
      <w:pPr>
        <w:pStyle w:val="LongQuotePurple"/>
      </w:pPr>
      <w:r w:rsidRPr="00D13AF1">
        <w:t>"What constitutes telemedicine activities, as well as their conditions for implementation and the financial support a patient is entitled to, are set by decree that takes into account the deficiencies in the provision of care due to insularity and geographical isolation."</w:t>
      </w:r>
    </w:p>
    <w:p w14:paraId="275FA4D6" w14:textId="6A52C3FF" w:rsidR="00255B2F" w:rsidRPr="00D13AF1" w:rsidRDefault="00205DCE" w:rsidP="00255B2F">
      <w:pPr>
        <w:pStyle w:val="LongQuotePurple"/>
      </w:pPr>
      <w:r w:rsidRPr="00D13AF1">
        <w:t xml:space="preserve">— </w:t>
      </w:r>
      <w:proofErr w:type="spellStart"/>
      <w:r w:rsidR="00255B2F" w:rsidRPr="00D13AF1">
        <w:t>Loi</w:t>
      </w:r>
      <w:proofErr w:type="spellEnd"/>
      <w:r w:rsidR="00255B2F" w:rsidRPr="00D13AF1">
        <w:t xml:space="preserve"> nº 2009-879 du 21 </w:t>
      </w:r>
      <w:proofErr w:type="spellStart"/>
      <w:r w:rsidR="00255B2F" w:rsidRPr="00D13AF1">
        <w:t>juillet</w:t>
      </w:r>
      <w:proofErr w:type="spellEnd"/>
      <w:r w:rsidR="00255B2F" w:rsidRPr="00D13AF1">
        <w:t xml:space="preserve"> 2009.</w:t>
      </w:r>
    </w:p>
    <w:p w14:paraId="1B4377A4" w14:textId="6D4DF256" w:rsidR="00255B2F" w:rsidRPr="00D13AF1" w:rsidRDefault="00133C67" w:rsidP="00255B2F">
      <w:pPr>
        <w:pStyle w:val="BodyEE"/>
      </w:pPr>
      <w:r w:rsidRPr="00D13AF1">
        <w:t xml:space="preserve">The October 2010 Decree </w:t>
      </w:r>
      <w:r w:rsidR="00255B2F" w:rsidRPr="00D13AF1">
        <w:t xml:space="preserve">has defined the main telemedicine fields (teleconsultation, </w:t>
      </w:r>
      <w:proofErr w:type="spellStart"/>
      <w:r w:rsidR="00255B2F" w:rsidRPr="00D13AF1">
        <w:t>teleexpertise</w:t>
      </w:r>
      <w:proofErr w:type="spellEnd"/>
      <w:r w:rsidR="00255B2F" w:rsidRPr="00D13AF1">
        <w:t xml:space="preserve">, </w:t>
      </w:r>
      <w:proofErr w:type="spellStart"/>
      <w:r w:rsidR="00255B2F" w:rsidRPr="00D13AF1">
        <w:t>telemomitoring</w:t>
      </w:r>
      <w:proofErr w:type="spellEnd"/>
      <w:r w:rsidR="00255B2F" w:rsidRPr="00D13AF1">
        <w:t xml:space="preserve">, teleassistance and </w:t>
      </w:r>
      <w:proofErr w:type="spellStart"/>
      <w:r w:rsidR="00255B2F" w:rsidRPr="00D13AF1">
        <w:t>telesurveillance</w:t>
      </w:r>
      <w:proofErr w:type="spellEnd"/>
      <w:r w:rsidR="00255B2F" w:rsidRPr="00D13AF1">
        <w:t xml:space="preserve">), the implementation of telemedicine (in particular authentication of health professionals involved in the telemedicine act, identification of the patient, access by the professionals to patient’s data) and telemedicine organisation (by programs, contracts or agreements). </w:t>
      </w:r>
    </w:p>
    <w:p w14:paraId="06519683" w14:textId="77777777" w:rsidR="00255B2F" w:rsidRPr="00D13AF1" w:rsidRDefault="00255B2F" w:rsidP="00255B2F">
      <w:pPr>
        <w:pStyle w:val="Heading3Pink"/>
      </w:pPr>
      <w:bookmarkStart w:id="158" w:name="_Ref499731246"/>
      <w:bookmarkEnd w:id="157"/>
      <w:r w:rsidRPr="00D13AF1">
        <w:t>Regulation of individual doctors who provide telemedicine services</w:t>
      </w:r>
      <w:bookmarkEnd w:id="158"/>
    </w:p>
    <w:p w14:paraId="0307E175" w14:textId="77777777" w:rsidR="00255B2F" w:rsidRPr="00D13AF1" w:rsidRDefault="00255B2F" w:rsidP="00255B2F">
      <w:pPr>
        <w:pStyle w:val="BodyEE"/>
      </w:pPr>
      <w:r w:rsidRPr="00D13AF1">
        <w:t xml:space="preserve">Telemedicine was recognised as a legal form of providing medical services in 2009 and a year later, a description of its regulatory framework was published. After which, a national deployment strategy was put in place. </w:t>
      </w:r>
    </w:p>
    <w:p w14:paraId="6060EC04" w14:textId="77777777" w:rsidR="00255B2F" w:rsidRPr="00D13AF1" w:rsidRDefault="00255B2F" w:rsidP="00495FE5">
      <w:pPr>
        <w:pStyle w:val="EmphasisPink"/>
        <w:keepNext/>
        <w:rPr>
          <w:i/>
          <w:shd w:val="clear" w:color="auto" w:fill="FFFFFF"/>
        </w:rPr>
      </w:pPr>
      <w:r w:rsidRPr="00D13AF1">
        <w:rPr>
          <w:i/>
          <w:shd w:val="clear" w:color="auto" w:fill="FFFFFF"/>
        </w:rPr>
        <w:t>Doctors’ eligibility to perform telemedicine</w:t>
      </w:r>
    </w:p>
    <w:p w14:paraId="014B3D3C" w14:textId="123C4671" w:rsidR="00255B2F" w:rsidRPr="00D13AF1" w:rsidRDefault="00255B2F" w:rsidP="00495FE5">
      <w:pPr>
        <w:pStyle w:val="BodyEE"/>
        <w:rPr>
          <w:shd w:val="clear" w:color="auto" w:fill="FFFFFF"/>
        </w:rPr>
      </w:pPr>
      <w:r w:rsidRPr="00D13AF1">
        <w:rPr>
          <w:shd w:val="clear" w:color="auto" w:fill="FFFFFF"/>
        </w:rPr>
        <w:t>Companies and health professional willing to participate must get the agreement of their local ARS (</w:t>
      </w:r>
      <w:proofErr w:type="spellStart"/>
      <w:r w:rsidRPr="00D13AF1">
        <w:rPr>
          <w:shd w:val="clear" w:color="auto" w:fill="FFFFFF"/>
        </w:rPr>
        <w:t>Agence</w:t>
      </w:r>
      <w:proofErr w:type="spellEnd"/>
      <w:r w:rsidRPr="00D13AF1">
        <w:rPr>
          <w:shd w:val="clear" w:color="auto" w:fill="FFFFFF"/>
        </w:rPr>
        <w:t xml:space="preserve"> </w:t>
      </w:r>
      <w:proofErr w:type="spellStart"/>
      <w:r w:rsidRPr="00D13AF1">
        <w:rPr>
          <w:shd w:val="clear" w:color="auto" w:fill="FFFFFF"/>
        </w:rPr>
        <w:t>Régionale</w:t>
      </w:r>
      <w:proofErr w:type="spellEnd"/>
      <w:r w:rsidRPr="00D13AF1">
        <w:rPr>
          <w:shd w:val="clear" w:color="auto" w:fill="FFFFFF"/>
        </w:rPr>
        <w:t xml:space="preserve"> de Santé, i.e. Regional Health Agency). Those public entities check if patients’ personal records are well-secured and if the telemedical activity doesn’t </w:t>
      </w:r>
      <w:r w:rsidR="00AD5883">
        <w:rPr>
          <w:shd w:val="clear" w:color="auto" w:fill="FFFFFF"/>
        </w:rPr>
        <w:t>compete with</w:t>
      </w:r>
      <w:r w:rsidRPr="00D13AF1">
        <w:rPr>
          <w:shd w:val="clear" w:color="auto" w:fill="FFFFFF"/>
        </w:rPr>
        <w:t xml:space="preserve"> existing medical facilities or doctors of the </w:t>
      </w:r>
      <w:r w:rsidRPr="00D13AF1">
        <w:rPr>
          <w:shd w:val="clear" w:color="auto" w:fill="FFFFFF"/>
        </w:rPr>
        <w:lastRenderedPageBreak/>
        <w:t xml:space="preserve">area. When getting this agreement, remote consultations can be reimbursed by social security and doctors will even be authorized to deliver prescriptions. </w:t>
      </w:r>
    </w:p>
    <w:p w14:paraId="3E78E0DE" w14:textId="77777777" w:rsidR="00255B2F" w:rsidRPr="00D13AF1" w:rsidRDefault="00255B2F" w:rsidP="00495FE5">
      <w:pPr>
        <w:pStyle w:val="BodyEE"/>
        <w:rPr>
          <w:shd w:val="clear" w:color="auto" w:fill="FFFFFF"/>
        </w:rPr>
      </w:pPr>
      <w:r w:rsidRPr="00D13AF1">
        <w:rPr>
          <w:shd w:val="clear" w:color="auto" w:fill="FFFFFF"/>
        </w:rPr>
        <w:t>Otherwise, doctors would be able to practice "</w:t>
      </w:r>
      <w:proofErr w:type="spellStart"/>
      <w:r w:rsidRPr="00D13AF1">
        <w:rPr>
          <w:shd w:val="clear" w:color="auto" w:fill="FFFFFF"/>
        </w:rPr>
        <w:t>telecounseil</w:t>
      </w:r>
      <w:proofErr w:type="spellEnd"/>
      <w:r w:rsidRPr="00D13AF1">
        <w:rPr>
          <w:shd w:val="clear" w:color="auto" w:fill="FFFFFF"/>
        </w:rPr>
        <w:t>" via Internet, under several conditions:</w:t>
      </w:r>
    </w:p>
    <w:p w14:paraId="3E5775B9" w14:textId="6BC3FA06" w:rsidR="00255B2F" w:rsidRPr="00D13AF1" w:rsidRDefault="00497BFA" w:rsidP="00495FE5">
      <w:pPr>
        <w:pStyle w:val="Bulletlevel1"/>
        <w:rPr>
          <w:shd w:val="clear" w:color="auto" w:fill="FFFFFF"/>
        </w:rPr>
      </w:pPr>
      <w:r w:rsidRPr="00D13AF1">
        <w:rPr>
          <w:shd w:val="clear" w:color="auto" w:fill="FFFFFF"/>
        </w:rPr>
        <w:t>t</w:t>
      </w:r>
      <w:r w:rsidR="00255B2F" w:rsidRPr="00D13AF1">
        <w:rPr>
          <w:shd w:val="clear" w:color="auto" w:fill="FFFFFF"/>
        </w:rPr>
        <w:t>he authentication of health professionals intervening in the process</w:t>
      </w:r>
      <w:r w:rsidRPr="00D13AF1">
        <w:rPr>
          <w:shd w:val="clear" w:color="auto" w:fill="FFFFFF"/>
        </w:rPr>
        <w:t>;</w:t>
      </w:r>
    </w:p>
    <w:p w14:paraId="3C4C0DAD" w14:textId="1BDD2031" w:rsidR="00255B2F" w:rsidRPr="00D13AF1" w:rsidRDefault="00497BFA" w:rsidP="00495FE5">
      <w:pPr>
        <w:pStyle w:val="Bulletlevel1"/>
        <w:rPr>
          <w:shd w:val="clear" w:color="auto" w:fill="FFFFFF"/>
        </w:rPr>
      </w:pPr>
      <w:r w:rsidRPr="00D13AF1">
        <w:rPr>
          <w:shd w:val="clear" w:color="auto" w:fill="FFFFFF"/>
        </w:rPr>
        <w:t>t</w:t>
      </w:r>
      <w:r w:rsidR="00255B2F" w:rsidRPr="00D13AF1">
        <w:rPr>
          <w:shd w:val="clear" w:color="auto" w:fill="FFFFFF"/>
        </w:rPr>
        <w:t>he identification of the patient</w:t>
      </w:r>
      <w:r w:rsidRPr="00D13AF1">
        <w:rPr>
          <w:shd w:val="clear" w:color="auto" w:fill="FFFFFF"/>
        </w:rPr>
        <w:t>;</w:t>
      </w:r>
    </w:p>
    <w:p w14:paraId="4CB58D06" w14:textId="5389448A" w:rsidR="00255B2F" w:rsidRPr="00D13AF1" w:rsidRDefault="00497BFA" w:rsidP="00495FE5">
      <w:pPr>
        <w:pStyle w:val="Bulletlevel1"/>
        <w:rPr>
          <w:shd w:val="clear" w:color="auto" w:fill="FFFFFF"/>
        </w:rPr>
      </w:pPr>
      <w:r w:rsidRPr="00D13AF1">
        <w:rPr>
          <w:shd w:val="clear" w:color="auto" w:fill="FFFFFF"/>
        </w:rPr>
        <w:t>t</w:t>
      </w:r>
      <w:r w:rsidR="00255B2F" w:rsidRPr="00D13AF1">
        <w:rPr>
          <w:shd w:val="clear" w:color="auto" w:fill="FFFFFF"/>
        </w:rPr>
        <w:t xml:space="preserve">he access to patient’s medical record </w:t>
      </w:r>
      <w:proofErr w:type="gramStart"/>
      <w:r w:rsidR="00255B2F" w:rsidRPr="00D13AF1">
        <w:rPr>
          <w:shd w:val="clear" w:color="auto" w:fill="FFFFFF"/>
        </w:rPr>
        <w:t>in order to</w:t>
      </w:r>
      <w:proofErr w:type="gramEnd"/>
      <w:r w:rsidR="00255B2F" w:rsidRPr="00D13AF1">
        <w:rPr>
          <w:shd w:val="clear" w:color="auto" w:fill="FFFFFF"/>
        </w:rPr>
        <w:t xml:space="preserve"> perform the act</w:t>
      </w:r>
      <w:r w:rsidRPr="00D13AF1">
        <w:rPr>
          <w:shd w:val="clear" w:color="auto" w:fill="FFFFFF"/>
        </w:rPr>
        <w:t>.</w:t>
      </w:r>
    </w:p>
    <w:p w14:paraId="6BEFFD96" w14:textId="77777777" w:rsidR="00255B2F" w:rsidRPr="00D13AF1" w:rsidRDefault="00255B2F" w:rsidP="00255B2F">
      <w:pPr>
        <w:pStyle w:val="BodyEE"/>
      </w:pPr>
      <w:r w:rsidRPr="00D13AF1">
        <w:t>Above all, only doctors that are allowed to provide services in France are authorized to perform telemedicine activity.</w:t>
      </w:r>
    </w:p>
    <w:p w14:paraId="70E05E99" w14:textId="77777777" w:rsidR="00255B2F" w:rsidRPr="00D13AF1" w:rsidRDefault="00255B2F" w:rsidP="00495FE5">
      <w:pPr>
        <w:pStyle w:val="EmphasisPink"/>
        <w:keepNext/>
        <w:rPr>
          <w:i/>
          <w:shd w:val="clear" w:color="auto" w:fill="FFFFFF"/>
        </w:rPr>
      </w:pPr>
      <w:r w:rsidRPr="00D13AF1">
        <w:rPr>
          <w:i/>
          <w:shd w:val="clear" w:color="auto" w:fill="FFFFFF"/>
        </w:rPr>
        <w:t xml:space="preserve">Billing </w:t>
      </w:r>
    </w:p>
    <w:p w14:paraId="6A99FE34" w14:textId="77777777" w:rsidR="00255B2F" w:rsidRPr="00D13AF1" w:rsidRDefault="00255B2F" w:rsidP="00495FE5">
      <w:pPr>
        <w:pStyle w:val="BodyEE"/>
        <w:rPr>
          <w:shd w:val="clear" w:color="auto" w:fill="FFFFFF"/>
        </w:rPr>
      </w:pPr>
      <w:r w:rsidRPr="00D13AF1">
        <w:rPr>
          <w:shd w:val="clear" w:color="auto" w:fill="FFFFFF"/>
        </w:rPr>
        <w:t>French doctors are entitled to bill the government for some medical services provided over the phone at the same rate that they invoice for services provided in their offices or hospitals, under new French legislation aimed at promoting the use of telemedicine and redressing regional inequities in the availability of medical services.</w:t>
      </w:r>
    </w:p>
    <w:p w14:paraId="6A2C3A0C" w14:textId="408A46A6" w:rsidR="00255B2F" w:rsidRPr="00D13AF1" w:rsidRDefault="00255B2F" w:rsidP="00495FE5">
      <w:pPr>
        <w:pStyle w:val="BodyEE"/>
        <w:rPr>
          <w:shd w:val="clear" w:color="auto" w:fill="FFFFFF"/>
        </w:rPr>
      </w:pPr>
      <w:r w:rsidRPr="00D13AF1">
        <w:rPr>
          <w:shd w:val="clear" w:color="auto" w:fill="FFFFFF"/>
        </w:rPr>
        <w:t>Physicians will be entitled to bill for telemedicine services in four situations: consultations without the physical presence of the patient, in which the patient may be alone or accompanied by another physician in loco, in order to clarify clinical data or collaborate in the physical examination; the exchange of medical information between two physicians or specialists; medical follow-ups; and during “teleassistance” of a physician performing a medical procedure.</w:t>
      </w:r>
      <w:r w:rsidRPr="00D13AF1">
        <w:rPr>
          <w:rStyle w:val="FootnoteReference"/>
          <w:color w:val="000000"/>
          <w:shd w:val="clear" w:color="auto" w:fill="FFFFFF"/>
        </w:rPr>
        <w:footnoteReference w:id="101"/>
      </w:r>
    </w:p>
    <w:p w14:paraId="3DBBD605" w14:textId="77777777" w:rsidR="00255B2F" w:rsidRPr="00D13AF1" w:rsidRDefault="00255B2F" w:rsidP="00495FE5">
      <w:pPr>
        <w:pStyle w:val="EmphasisPink"/>
        <w:keepNext/>
        <w:rPr>
          <w:i/>
          <w:shd w:val="clear" w:color="auto" w:fill="FFFFFF"/>
        </w:rPr>
      </w:pPr>
      <w:r w:rsidRPr="00D13AF1">
        <w:rPr>
          <w:i/>
          <w:shd w:val="clear" w:color="auto" w:fill="FFFFFF"/>
        </w:rPr>
        <w:t xml:space="preserve">Privacy concerns </w:t>
      </w:r>
    </w:p>
    <w:p w14:paraId="6A0E5ABA" w14:textId="62EFC918" w:rsidR="00255B2F" w:rsidRPr="00D13AF1" w:rsidRDefault="00255B2F" w:rsidP="00495FE5">
      <w:pPr>
        <w:pStyle w:val="BodyEE"/>
      </w:pPr>
      <w:r w:rsidRPr="00D13AF1">
        <w:t>The protection of patients</w:t>
      </w:r>
      <w:r w:rsidR="00AD5883">
        <w:t>’</w:t>
      </w:r>
      <w:r w:rsidRPr="00D13AF1">
        <w:t xml:space="preserve"> medical record</w:t>
      </w:r>
      <w:r w:rsidR="00AD5883">
        <w:t>s</w:t>
      </w:r>
      <w:r w:rsidRPr="00D13AF1">
        <w:t xml:space="preserve"> is one significant legal barrier </w:t>
      </w:r>
      <w:r w:rsidR="00AD5883">
        <w:t>to</w:t>
      </w:r>
      <w:r w:rsidR="00AD5883" w:rsidRPr="00D13AF1">
        <w:t xml:space="preserve"> </w:t>
      </w:r>
      <w:r w:rsidRPr="00D13AF1">
        <w:t xml:space="preserve">the </w:t>
      </w:r>
      <w:r w:rsidR="00AD5883">
        <w:t>development of telemedicine</w:t>
      </w:r>
      <w:r w:rsidRPr="00D13AF1">
        <w:t xml:space="preserve"> in France. The decree n° 2015-1263 from October the 9th, 2015, sets the strict control on the collect and the transfer of medical data between patients, medical professionals and social entities.</w:t>
      </w:r>
      <w:r w:rsidRPr="00D13AF1">
        <w:rPr>
          <w:rStyle w:val="FootnoteReference"/>
        </w:rPr>
        <w:footnoteReference w:id="102"/>
      </w:r>
    </w:p>
    <w:p w14:paraId="43BB7467" w14:textId="77777777" w:rsidR="00255B2F" w:rsidRPr="00D13AF1" w:rsidRDefault="00255B2F" w:rsidP="00255B2F">
      <w:pPr>
        <w:pStyle w:val="Heading3Pink"/>
      </w:pPr>
      <w:bookmarkStart w:id="159" w:name="_Ref499732031"/>
      <w:r w:rsidRPr="00D13AF1">
        <w:t>Cross-jurisdiction issues in telemedicine</w:t>
      </w:r>
      <w:bookmarkEnd w:id="159"/>
    </w:p>
    <w:p w14:paraId="096D5D4D" w14:textId="77777777" w:rsidR="00255B2F" w:rsidRPr="00D13AF1" w:rsidRDefault="00255B2F" w:rsidP="00255B2F">
      <w:pPr>
        <w:pStyle w:val="Caption"/>
        <w:rPr>
          <w:rFonts w:ascii="Gill Sans MT" w:eastAsia="Gill Sans MT" w:hAnsi="Gill Sans MT" w:cs="Times New Roman"/>
          <w:b w:val="0"/>
          <w:bCs w:val="0"/>
          <w:color w:val="38383A"/>
          <w:sz w:val="22"/>
          <w:szCs w:val="60"/>
        </w:rPr>
      </w:pPr>
      <w:r w:rsidRPr="00D13AF1">
        <w:rPr>
          <w:rFonts w:ascii="Gill Sans MT" w:eastAsia="Gill Sans MT" w:hAnsi="Gill Sans MT" w:cs="Times New Roman"/>
          <w:b w:val="0"/>
          <w:bCs w:val="0"/>
          <w:color w:val="38383A"/>
          <w:sz w:val="22"/>
          <w:szCs w:val="60"/>
        </w:rPr>
        <w:t xml:space="preserve">The Law and the Decree do not touch upon the cross-jurisdiction issues in telemedicine. </w:t>
      </w:r>
    </w:p>
    <w:p w14:paraId="0065D031" w14:textId="101F5F55" w:rsidR="00EF6132" w:rsidRPr="00D13AF1" w:rsidRDefault="00EF6132" w:rsidP="00466452">
      <w:pPr>
        <w:pStyle w:val="Heading2Pink"/>
      </w:pPr>
      <w:bookmarkStart w:id="160" w:name="_Toc504484161"/>
      <w:bookmarkStart w:id="161" w:name="_Hlk494365528"/>
      <w:proofErr w:type="spellStart"/>
      <w:r w:rsidRPr="00D13AF1">
        <w:t>L’Ordre</w:t>
      </w:r>
      <w:proofErr w:type="spellEnd"/>
      <w:r w:rsidRPr="00D13AF1">
        <w:t xml:space="preserve"> National des Médecins</w:t>
      </w:r>
      <w:r w:rsidRPr="009E13EE">
        <w:rPr>
          <w:rStyle w:val="FootnoteReference"/>
        </w:rPr>
        <w:footnoteReference w:id="103"/>
      </w:r>
      <w:bookmarkEnd w:id="160"/>
    </w:p>
    <w:p w14:paraId="5CF09A27" w14:textId="77777777" w:rsidR="00EF6132" w:rsidRPr="00D13AF1" w:rsidRDefault="00EF6132" w:rsidP="00EF6132">
      <w:pPr>
        <w:pStyle w:val="Heading3Pink"/>
      </w:pPr>
      <w:bookmarkStart w:id="162" w:name="_Ref499730729"/>
      <w:bookmarkEnd w:id="161"/>
      <w:r w:rsidRPr="00D13AF1">
        <w:t>Definition of telemedicine</w:t>
      </w:r>
      <w:bookmarkEnd w:id="162"/>
    </w:p>
    <w:p w14:paraId="1556A669" w14:textId="77777777" w:rsidR="00EF6132" w:rsidRPr="00D13AF1" w:rsidRDefault="00EF6132" w:rsidP="00EF6132">
      <w:pPr>
        <w:pStyle w:val="BodyEE"/>
        <w:keepNext/>
      </w:pPr>
      <w:bookmarkStart w:id="163" w:name="_Hlk494365536"/>
      <w:r w:rsidRPr="00D13AF1">
        <w:t>In its publication “Telemedicine: Recommendations of the Council of the National Order of Doctors the following definition is provided:</w:t>
      </w:r>
    </w:p>
    <w:p w14:paraId="383ABCA6" w14:textId="77777777" w:rsidR="00EF6132" w:rsidRPr="00D13AF1" w:rsidRDefault="00EF6132" w:rsidP="00EF6132">
      <w:pPr>
        <w:pStyle w:val="LongQuotePurple"/>
      </w:pPr>
      <w:r w:rsidRPr="00D13AF1">
        <w:t>Telemedicine is one form of cooperation in medical practice, putting in contact a patient (and/or the necessary medical data) and one or more physicians and health professionals, with the means of information and communication technology, for the purpose of medical diagnosis, decision-making, care and treatment in accordance with the rules of medical ethics.</w:t>
      </w:r>
    </w:p>
    <w:p w14:paraId="4063F01D" w14:textId="77777777" w:rsidR="00EF6132" w:rsidRPr="00D13AF1" w:rsidRDefault="00EF6132" w:rsidP="00EF6132">
      <w:pPr>
        <w:pStyle w:val="LongQuotePurple"/>
      </w:pPr>
      <w:r w:rsidRPr="00D13AF1">
        <w:t xml:space="preserve">— Council of the National Order of Doctors </w:t>
      </w:r>
    </w:p>
    <w:p w14:paraId="54FF7122" w14:textId="77777777" w:rsidR="00EF6132" w:rsidRPr="00D13AF1" w:rsidRDefault="00EF6132" w:rsidP="00EF6132">
      <w:pPr>
        <w:pStyle w:val="BodyEE"/>
      </w:pPr>
      <w:r w:rsidRPr="00D13AF1">
        <w:lastRenderedPageBreak/>
        <w:t>Additionally, the French Law defines telemedicine as a way of medical practice using information and communication technologies, which is a definition supported by the Council of the National Order of Doctors.</w:t>
      </w:r>
    </w:p>
    <w:p w14:paraId="66A41511" w14:textId="074D0E36" w:rsidR="00EF6132" w:rsidRPr="00D13AF1" w:rsidRDefault="00EF6132" w:rsidP="00EF6132">
      <w:pPr>
        <w:pStyle w:val="BodyEE"/>
      </w:pPr>
      <w:r w:rsidRPr="00D13AF1">
        <w:t>Also, the FMC’s White Book on e-Health makes</w:t>
      </w:r>
      <w:r w:rsidR="00AD5883">
        <w:t xml:space="preserve"> a</w:t>
      </w:r>
      <w:r w:rsidRPr="00D13AF1">
        <w:t xml:space="preserve"> distinction between telemedicine as defined by the legislation and e-Health as a broader concept that implies “the combined use of the internet and of information technologies for clinical, educational and administrative purposes, both locally and at a distance”. </w:t>
      </w:r>
    </w:p>
    <w:bookmarkEnd w:id="163"/>
    <w:p w14:paraId="3FC926B6" w14:textId="77777777" w:rsidR="00EF6132" w:rsidRPr="00D13AF1" w:rsidRDefault="00EF6132" w:rsidP="00EF6132">
      <w:pPr>
        <w:pStyle w:val="Heading3Pink"/>
      </w:pPr>
      <w:r w:rsidRPr="00D13AF1">
        <w:t>Framework for telemedicine regulation</w:t>
      </w:r>
    </w:p>
    <w:p w14:paraId="22DEDF6C" w14:textId="77777777" w:rsidR="00EF6132" w:rsidRPr="00D13AF1" w:rsidRDefault="00EF6132" w:rsidP="00EF6132">
      <w:pPr>
        <w:pStyle w:val="BodyEE"/>
      </w:pPr>
      <w:r w:rsidRPr="00D13AF1">
        <w:t>The Council of the Order has specific regulations and/or policies regarding telemedicine, which fall broadly under the following categories:</w:t>
      </w:r>
    </w:p>
    <w:p w14:paraId="5B2DFAC3" w14:textId="706D1F65" w:rsidR="00EF6132" w:rsidRPr="00D13AF1" w:rsidRDefault="00EF6132" w:rsidP="00EF6132">
      <w:pPr>
        <w:pStyle w:val="Bulletlevel1"/>
      </w:pPr>
      <w:r w:rsidRPr="00D13AF1">
        <w:t>qualifications and training, including continuing professional development;</w:t>
      </w:r>
    </w:p>
    <w:p w14:paraId="0DFA0474" w14:textId="7B3BD6C4" w:rsidR="00EF6132" w:rsidRPr="00D13AF1" w:rsidRDefault="00EF6132" w:rsidP="00EF6132">
      <w:pPr>
        <w:pStyle w:val="Bulletlevel1"/>
      </w:pPr>
      <w:r w:rsidRPr="00D13AF1">
        <w:t>discipline and/or fitness to practise.</w:t>
      </w:r>
    </w:p>
    <w:p w14:paraId="4B89820C" w14:textId="77777777" w:rsidR="00EF6132" w:rsidRPr="00D13AF1" w:rsidRDefault="00EF6132" w:rsidP="00EF6132">
      <w:pPr>
        <w:pStyle w:val="BodyEE"/>
      </w:pPr>
      <w:r w:rsidRPr="00D13AF1">
        <w:t>They also issue non-binding recommendations.</w:t>
      </w:r>
    </w:p>
    <w:p w14:paraId="754EF121" w14:textId="24028CC4" w:rsidR="00EF6132" w:rsidRPr="00D13AF1" w:rsidRDefault="00EF6132" w:rsidP="00EF6132">
      <w:pPr>
        <w:pStyle w:val="BodyEE"/>
      </w:pPr>
      <w:r w:rsidRPr="00D13AF1">
        <w:t>In addition to the national law regarding telemedicine in France, the Council is also expecting to produce a “soft law” document to be publicly available for physicians and other healthcare professionals.</w:t>
      </w:r>
    </w:p>
    <w:p w14:paraId="708578F8" w14:textId="10DEF606" w:rsidR="00EF6132" w:rsidRPr="00D13AF1" w:rsidRDefault="00EF6132" w:rsidP="00EF6132">
      <w:pPr>
        <w:pStyle w:val="BodyEE"/>
      </w:pPr>
      <w:r w:rsidRPr="00D13AF1">
        <w:t>The Council works in cooperation with the French government</w:t>
      </w:r>
      <w:r w:rsidR="00AD5883">
        <w:t>,</w:t>
      </w:r>
      <w:r w:rsidRPr="00D13AF1">
        <w:t xml:space="preserve"> </w:t>
      </w:r>
      <w:r w:rsidR="00AD5883">
        <w:t>regional health</w:t>
      </w:r>
      <w:r w:rsidRPr="00D13AF1">
        <w:t xml:space="preserve"> agencies and the French National Commission on Informatics and Liberty (Commission Nationale de </w:t>
      </w:r>
      <w:proofErr w:type="spellStart"/>
      <w:r w:rsidRPr="00D13AF1">
        <w:t>l'Informatique</w:t>
      </w:r>
      <w:proofErr w:type="spellEnd"/>
      <w:r w:rsidRPr="00D13AF1">
        <w:t xml:space="preserve"> et des </w:t>
      </w:r>
      <w:proofErr w:type="spellStart"/>
      <w:r w:rsidRPr="00D13AF1">
        <w:t>Libertés</w:t>
      </w:r>
      <w:proofErr w:type="spellEnd"/>
      <w:r w:rsidRPr="00D13AF1">
        <w:t>, CNIL).</w:t>
      </w:r>
    </w:p>
    <w:p w14:paraId="4B7EB735" w14:textId="77777777" w:rsidR="00EF6132" w:rsidRPr="00D13AF1" w:rsidRDefault="00EF6132" w:rsidP="00EF6132">
      <w:pPr>
        <w:pStyle w:val="Heading3Pink"/>
      </w:pPr>
      <w:r w:rsidRPr="00D13AF1">
        <w:t>Regulation of individual doctors who provide telemedicine services</w:t>
      </w:r>
      <w:r w:rsidRPr="00D13AF1">
        <w:rPr>
          <w:rStyle w:val="FootnoteReference"/>
        </w:rPr>
        <w:footnoteReference w:id="104"/>
      </w:r>
    </w:p>
    <w:p w14:paraId="5747427F" w14:textId="77777777" w:rsidR="00EF6132" w:rsidRPr="00D13AF1" w:rsidRDefault="00EF6132" w:rsidP="00EF6132">
      <w:pPr>
        <w:pStyle w:val="BodyEE"/>
      </w:pPr>
      <w:r w:rsidRPr="00D13AF1">
        <w:t xml:space="preserve">The Council regulates individual healthcare professionals. It regulates all registered physicians in France whatever their specialties. </w:t>
      </w:r>
    </w:p>
    <w:p w14:paraId="63CEDE99" w14:textId="77777777" w:rsidR="00EF6132" w:rsidRPr="00D13AF1" w:rsidRDefault="00EF6132" w:rsidP="00EF6132">
      <w:pPr>
        <w:pStyle w:val="BodyEE"/>
      </w:pPr>
      <w:r w:rsidRPr="00D13AF1">
        <w:t>The Council has adopted formal regulations and/or policies regarding telemedicine. They also issue non-binding recommendations. The Council places telemedicine-related requirements in the following categories:</w:t>
      </w:r>
    </w:p>
    <w:p w14:paraId="123E72F8" w14:textId="77777777" w:rsidR="00EF6132" w:rsidRPr="00D13AF1" w:rsidRDefault="00EF6132" w:rsidP="00EF6132">
      <w:pPr>
        <w:pStyle w:val="Bulletlevel1"/>
        <w:ind w:left="284" w:hanging="284"/>
      </w:pPr>
      <w:r w:rsidRPr="00D13AF1">
        <w:t>Qualifications and training, including continuing professional development;</w:t>
      </w:r>
    </w:p>
    <w:p w14:paraId="00CD5057" w14:textId="77777777" w:rsidR="00EF6132" w:rsidRPr="00D13AF1" w:rsidRDefault="00EF6132" w:rsidP="00EF6132">
      <w:pPr>
        <w:pStyle w:val="Bulletlevel1"/>
        <w:ind w:left="284" w:hanging="284"/>
      </w:pPr>
      <w:r w:rsidRPr="00D13AF1">
        <w:t>Discipline and/or fitness to practise;</w:t>
      </w:r>
    </w:p>
    <w:p w14:paraId="5F8FCE94" w14:textId="77777777" w:rsidR="00EF6132" w:rsidRPr="00D13AF1" w:rsidRDefault="00EF6132" w:rsidP="00EF6132">
      <w:pPr>
        <w:pStyle w:val="Bulletlevel1"/>
        <w:ind w:left="284" w:hanging="284"/>
      </w:pPr>
      <w:r w:rsidRPr="00D13AF1">
        <w:t>Ethical framework of the medical practice.</w:t>
      </w:r>
    </w:p>
    <w:p w14:paraId="2AF4EDB8" w14:textId="54910E35" w:rsidR="00EF6132" w:rsidRPr="00D13AF1" w:rsidRDefault="00EF6132" w:rsidP="00EF6132">
      <w:pPr>
        <w:pStyle w:val="BodyEE"/>
      </w:pPr>
      <w:r w:rsidRPr="00D13AF1">
        <w:t>An overview of doctors</w:t>
      </w:r>
      <w:r w:rsidR="00AD5883">
        <w:t>’</w:t>
      </w:r>
      <w:r w:rsidRPr="00D13AF1">
        <w:t xml:space="preserve"> responsibilities when practicing telemedicine (included in the 2009 Telemedicine Statement) includes:</w:t>
      </w:r>
    </w:p>
    <w:p w14:paraId="115064A4" w14:textId="77777777" w:rsidR="00EF6132" w:rsidRPr="00D13AF1" w:rsidRDefault="00EF6132" w:rsidP="00EF6132">
      <w:pPr>
        <w:pStyle w:val="Bulletlevel1"/>
      </w:pPr>
      <w:r w:rsidRPr="00D13AF1">
        <w:t>The general responsibilities that apply to telemedicine.</w:t>
      </w:r>
    </w:p>
    <w:p w14:paraId="5431B547" w14:textId="77777777" w:rsidR="00EF6132" w:rsidRPr="00D13AF1" w:rsidRDefault="00EF6132" w:rsidP="00EF6132">
      <w:pPr>
        <w:pStyle w:val="Bulletlevel1"/>
      </w:pPr>
      <w:r w:rsidRPr="00D13AF1">
        <w:t>The patient should provide his/her consent for a telemedicine consultation or treatment.</w:t>
      </w:r>
    </w:p>
    <w:p w14:paraId="12044C7F" w14:textId="277D58E3" w:rsidR="00EF6132" w:rsidRPr="00D13AF1" w:rsidRDefault="00EF6132" w:rsidP="00EF6132">
      <w:pPr>
        <w:pStyle w:val="Bulletlevel1"/>
      </w:pPr>
      <w:r w:rsidRPr="00D13AF1">
        <w:t xml:space="preserve">The doctor must ensure </w:t>
      </w:r>
      <w:r w:rsidR="00AD5883">
        <w:t xml:space="preserve">the </w:t>
      </w:r>
      <w:r w:rsidRPr="00D13AF1">
        <w:t>confidentiality of data.</w:t>
      </w:r>
    </w:p>
    <w:p w14:paraId="49F76699" w14:textId="77777777" w:rsidR="00EF6132" w:rsidRPr="00D13AF1" w:rsidRDefault="00EF6132" w:rsidP="00EF6132">
      <w:pPr>
        <w:pStyle w:val="Bulletlevel1"/>
      </w:pPr>
      <w:r w:rsidRPr="00D13AF1">
        <w:t>The doctor should be familiar with the equipment, ensure that it functions properly and recognise the limitations of technology.</w:t>
      </w:r>
    </w:p>
    <w:p w14:paraId="3327D9D8" w14:textId="77777777" w:rsidR="00EF6132" w:rsidRPr="00D13AF1" w:rsidRDefault="00EF6132" w:rsidP="00EF6132">
      <w:pPr>
        <w:pStyle w:val="BodyEE"/>
      </w:pPr>
      <w:r w:rsidRPr="00D13AF1">
        <w:t>The 2009 Telemedicine statement suggests that national healthcare regulators should define the situations and conditions when telemedicine could be used, how the referring doctor and the telemedicine specialist should interact, as well as technical requirements.</w:t>
      </w:r>
    </w:p>
    <w:p w14:paraId="1ADCFA47" w14:textId="77777777" w:rsidR="00EF6132" w:rsidRPr="00D13AF1" w:rsidRDefault="00EF6132" w:rsidP="00EF6132">
      <w:pPr>
        <w:pStyle w:val="Heading3Pink"/>
      </w:pPr>
      <w:r w:rsidRPr="00D13AF1">
        <w:lastRenderedPageBreak/>
        <w:t>Cross-jurisdiction issues in telemedicine</w:t>
      </w:r>
    </w:p>
    <w:p w14:paraId="2A7A4239" w14:textId="77777777" w:rsidR="00EF6132" w:rsidRPr="00D13AF1" w:rsidRDefault="00EF6132" w:rsidP="00EF6132">
      <w:pPr>
        <w:pStyle w:val="BodyEE"/>
      </w:pPr>
      <w:r w:rsidRPr="00D13AF1">
        <w:t>[not mentioned in the survey]</w:t>
      </w:r>
    </w:p>
    <w:p w14:paraId="54B3440B" w14:textId="77777777" w:rsidR="00F01992" w:rsidRPr="00D13AF1" w:rsidRDefault="00F01992" w:rsidP="00F01992">
      <w:pPr>
        <w:pStyle w:val="Heading1"/>
        <w:rPr>
          <w:color w:val="C64187" w:themeColor="accent2"/>
        </w:rPr>
      </w:pPr>
      <w:bookmarkStart w:id="164" w:name="_Toc504484162"/>
      <w:r w:rsidRPr="00D13AF1">
        <w:rPr>
          <w:color w:val="C64187" w:themeColor="accent2"/>
        </w:rPr>
        <w:lastRenderedPageBreak/>
        <w:t>New Zealand</w:t>
      </w:r>
      <w:bookmarkEnd w:id="164"/>
    </w:p>
    <w:p w14:paraId="7C464BBC" w14:textId="77777777" w:rsidR="00F01992" w:rsidRPr="00D13AF1" w:rsidRDefault="00F01992" w:rsidP="00F01992">
      <w:pPr>
        <w:pStyle w:val="Heading2Pink"/>
      </w:pPr>
      <w:bookmarkStart w:id="165" w:name="_Toc504484163"/>
      <w:bookmarkStart w:id="166" w:name="_Hlk494365591"/>
      <w:r w:rsidRPr="00D13AF1">
        <w:t>Medical Council of New Zealand</w:t>
      </w:r>
      <w:r w:rsidRPr="00D13AF1">
        <w:rPr>
          <w:rStyle w:val="FootnoteReference"/>
        </w:rPr>
        <w:footnoteReference w:id="105"/>
      </w:r>
      <w:bookmarkEnd w:id="165"/>
    </w:p>
    <w:bookmarkEnd w:id="166"/>
    <w:p w14:paraId="2FD46129" w14:textId="77777777" w:rsidR="00F01992" w:rsidRPr="00D13AF1" w:rsidRDefault="00F01992" w:rsidP="00F01992">
      <w:pPr>
        <w:pStyle w:val="BodyEE"/>
      </w:pPr>
      <w:r w:rsidRPr="00D13AF1">
        <w:t>The Council regulates all medical doctors in New Zealand.</w:t>
      </w:r>
    </w:p>
    <w:p w14:paraId="01A03119" w14:textId="77777777" w:rsidR="00F01992" w:rsidRPr="00D13AF1" w:rsidRDefault="00F01992" w:rsidP="00F01992">
      <w:pPr>
        <w:pStyle w:val="Heading3Pink"/>
      </w:pPr>
      <w:bookmarkStart w:id="167" w:name="_Ref499730743"/>
      <w:r w:rsidRPr="00D13AF1">
        <w:t>Definition of telemedicine</w:t>
      </w:r>
      <w:bookmarkEnd w:id="167"/>
    </w:p>
    <w:p w14:paraId="79883F54" w14:textId="266B5E37" w:rsidR="00F01992" w:rsidRPr="00D13AF1" w:rsidRDefault="0092520D" w:rsidP="00F01992">
      <w:pPr>
        <w:pStyle w:val="BodyEE"/>
      </w:pPr>
      <w:bookmarkStart w:id="168" w:name="_Hlk494365594"/>
      <w:r w:rsidRPr="00D13AF1">
        <w:t>The Council</w:t>
      </w:r>
      <w:r w:rsidR="00F01992" w:rsidRPr="00D13AF1">
        <w:t xml:space="preserve"> use</w:t>
      </w:r>
      <w:r w:rsidRPr="00D13AF1">
        <w:t>s</w:t>
      </w:r>
      <w:r w:rsidR="00F01992" w:rsidRPr="00D13AF1">
        <w:t xml:space="preserve"> the term "telehealth" rather than "telemedicine".</w:t>
      </w:r>
      <w:r w:rsidR="00CC7382" w:rsidRPr="00D13AF1">
        <w:t xml:space="preserve"> Telehealth is defined by t</w:t>
      </w:r>
      <w:r w:rsidR="00F01992" w:rsidRPr="00D13AF1">
        <w:t>he use of information and video conferencing technologies, to deliver health services to a patient and/or transmit health information regarding that patient between two or more locations at least one of which is within New Zealand.</w:t>
      </w:r>
    </w:p>
    <w:p w14:paraId="7AF28302" w14:textId="77777777" w:rsidR="00F01992" w:rsidRPr="00D13AF1" w:rsidRDefault="00F01992" w:rsidP="00F01992">
      <w:pPr>
        <w:pStyle w:val="Heading3Pink"/>
      </w:pPr>
      <w:bookmarkStart w:id="169" w:name="_Ref499738020"/>
      <w:bookmarkEnd w:id="168"/>
      <w:r w:rsidRPr="00D13AF1">
        <w:t>Frameworks for telemedicine regulation</w:t>
      </w:r>
      <w:bookmarkEnd w:id="169"/>
    </w:p>
    <w:p w14:paraId="4498D518" w14:textId="77777777" w:rsidR="00F01992" w:rsidRPr="00D13AF1" w:rsidRDefault="00F01992" w:rsidP="00F01992">
      <w:pPr>
        <w:pStyle w:val="BodyEE"/>
      </w:pPr>
      <w:r w:rsidRPr="00D13AF1">
        <w:t xml:space="preserve">The Council has formal regulations and/or policies regarding telemedicine. </w:t>
      </w:r>
    </w:p>
    <w:p w14:paraId="3633CCD1" w14:textId="77777777" w:rsidR="00F01992" w:rsidRPr="00D13AF1" w:rsidRDefault="00F01992" w:rsidP="00F01992">
      <w:pPr>
        <w:pStyle w:val="BodyEE"/>
      </w:pPr>
      <w:r w:rsidRPr="00D13AF1">
        <w:t>It develops requirements in the following areas:</w:t>
      </w:r>
    </w:p>
    <w:p w14:paraId="7C453242" w14:textId="77777777" w:rsidR="00F01992" w:rsidRPr="00D13AF1" w:rsidRDefault="00F01992" w:rsidP="00F01992">
      <w:pPr>
        <w:pStyle w:val="Bulletlevel1"/>
      </w:pPr>
      <w:r w:rsidRPr="00D13AF1">
        <w:t>licensing and/or registration;</w:t>
      </w:r>
    </w:p>
    <w:p w14:paraId="05A600FF" w14:textId="77777777" w:rsidR="00F01992" w:rsidRPr="00D13AF1" w:rsidRDefault="00F01992" w:rsidP="00F01992">
      <w:pPr>
        <w:pStyle w:val="Bulletlevel1"/>
      </w:pPr>
      <w:r w:rsidRPr="00D13AF1">
        <w:t>qualifications and training, including continuing professional development;</w:t>
      </w:r>
    </w:p>
    <w:p w14:paraId="4C80E338" w14:textId="77777777" w:rsidR="00F01992" w:rsidRPr="00D13AF1" w:rsidRDefault="00F01992" w:rsidP="00F01992">
      <w:pPr>
        <w:pStyle w:val="Bulletlevel1"/>
      </w:pPr>
      <w:r w:rsidRPr="00D13AF1">
        <w:t>standards of work;</w:t>
      </w:r>
    </w:p>
    <w:p w14:paraId="0799B81C" w14:textId="77777777" w:rsidR="00F01992" w:rsidRPr="00D13AF1" w:rsidRDefault="00F01992" w:rsidP="00F01992">
      <w:pPr>
        <w:pStyle w:val="Bulletlevel1"/>
      </w:pPr>
      <w:r w:rsidRPr="00D13AF1">
        <w:t>discipline and/or fitness to practise.</w:t>
      </w:r>
    </w:p>
    <w:p w14:paraId="2F38B8B4" w14:textId="7625BF89" w:rsidR="00F01992" w:rsidRPr="00D13AF1" w:rsidRDefault="00731270" w:rsidP="00F01992">
      <w:pPr>
        <w:pStyle w:val="BodyEE"/>
      </w:pPr>
      <w:r w:rsidRPr="00D13AF1">
        <w:t>They</w:t>
      </w:r>
      <w:r w:rsidR="00F01992" w:rsidRPr="00D13AF1">
        <w:t xml:space="preserve"> insist</w:t>
      </w:r>
      <w:r w:rsidRPr="00D13AF1">
        <w:t xml:space="preserve"> that there are </w:t>
      </w:r>
      <w:r w:rsidR="00F01992" w:rsidRPr="00D13AF1">
        <w:t>contracts between the parties to the agreement (i.e. NZ health provider and telehealth provider) including patient complaint procedures and dispute resolution procedures, taking account of the fact that the practitioner is not local.</w:t>
      </w:r>
    </w:p>
    <w:p w14:paraId="2E12A383" w14:textId="3434BC35" w:rsidR="00F01992" w:rsidRPr="00D13AF1" w:rsidRDefault="00731270" w:rsidP="00F01992">
      <w:pPr>
        <w:pStyle w:val="BodyEE"/>
      </w:pPr>
      <w:r w:rsidRPr="00D13AF1">
        <w:t>The Council i</w:t>
      </w:r>
      <w:r w:rsidR="00F01992" w:rsidRPr="00D13AF1">
        <w:t>nteraction with</w:t>
      </w:r>
      <w:r w:rsidRPr="00D13AF1">
        <w:t xml:space="preserve"> the following bodies on a regular basis</w:t>
      </w:r>
      <w:r w:rsidR="00F01992" w:rsidRPr="00D13AF1">
        <w:t>:</w:t>
      </w:r>
    </w:p>
    <w:p w14:paraId="1C17B56E" w14:textId="77777777" w:rsidR="00F01992" w:rsidRPr="00D13AF1" w:rsidRDefault="00F01992" w:rsidP="00F01992">
      <w:pPr>
        <w:pStyle w:val="Bulletlevel1"/>
      </w:pPr>
      <w:r w:rsidRPr="00D13AF1">
        <w:t>Health and Disability Commissioner - ensures rights of health consumers are upheld. Making sure that complaints about health or disability services providers are taken care of fairly and efficiently.</w:t>
      </w:r>
    </w:p>
    <w:p w14:paraId="5497F275" w14:textId="77777777" w:rsidR="00F01992" w:rsidRPr="00D13AF1" w:rsidRDefault="00F01992" w:rsidP="00F01992">
      <w:pPr>
        <w:pStyle w:val="Bulletlevel1"/>
      </w:pPr>
      <w:r w:rsidRPr="00D13AF1">
        <w:t>Vocational colleges such as the Royal Australian and New Zealand College of Radiologists (RANZCR) in relation to registration requirements in the special purpose scope of teleradiology.</w:t>
      </w:r>
    </w:p>
    <w:p w14:paraId="643D66DE" w14:textId="77777777" w:rsidR="00F01992" w:rsidRPr="00D13AF1" w:rsidRDefault="00F01992" w:rsidP="00F01992">
      <w:pPr>
        <w:pStyle w:val="Heading3Pink"/>
      </w:pPr>
      <w:bookmarkStart w:id="170" w:name="_Ref499731258"/>
      <w:r w:rsidRPr="00D13AF1">
        <w:t>Regulation of individual doctors who provide telemedicine services</w:t>
      </w:r>
      <w:bookmarkEnd w:id="170"/>
    </w:p>
    <w:p w14:paraId="22A02FDD" w14:textId="0F83A1D6" w:rsidR="00F01992" w:rsidRPr="00D13AF1" w:rsidRDefault="00731270" w:rsidP="00F01992">
      <w:pPr>
        <w:pStyle w:val="BodyEE"/>
      </w:pPr>
      <w:r w:rsidRPr="00D13AF1">
        <w:t>If a physician</w:t>
      </w:r>
      <w:r w:rsidR="00F01992" w:rsidRPr="00D13AF1">
        <w:t xml:space="preserve"> provide</w:t>
      </w:r>
      <w:r w:rsidRPr="00D13AF1">
        <w:t>s</w:t>
      </w:r>
      <w:r w:rsidR="00F01992" w:rsidRPr="00D13AF1">
        <w:t xml:space="preserve"> care to New Zealand-based patients via telehealth, the Council holds the view that </w:t>
      </w:r>
      <w:r w:rsidRPr="00D13AF1">
        <w:t>this is</w:t>
      </w:r>
      <w:r w:rsidR="00F01992" w:rsidRPr="00D13AF1">
        <w:t xml:space="preserve"> practising m</w:t>
      </w:r>
      <w:r w:rsidRPr="00D13AF1">
        <w:t>edicine within New Zealand and the practitioner</w:t>
      </w:r>
      <w:r w:rsidR="00F01992" w:rsidRPr="00D13AF1">
        <w:t xml:space="preserve"> should therefore be registered with the Council</w:t>
      </w:r>
      <w:r w:rsidRPr="00D13AF1">
        <w:t>.</w:t>
      </w:r>
    </w:p>
    <w:p w14:paraId="7658E342" w14:textId="38CF17D6" w:rsidR="00F01992" w:rsidRPr="00D13AF1" w:rsidRDefault="00731270" w:rsidP="00F01992">
      <w:pPr>
        <w:pStyle w:val="EmphasisPink"/>
      </w:pPr>
      <w:r w:rsidRPr="00D13AF1">
        <w:t>In p</w:t>
      </w:r>
      <w:r w:rsidR="00F01992" w:rsidRPr="00D13AF1">
        <w:t>roviding care</w:t>
      </w:r>
      <w:r w:rsidRPr="00D13AF1">
        <w:t>, the physician should ensure that:</w:t>
      </w:r>
      <w:r w:rsidR="00F01992" w:rsidRPr="00D13AF1">
        <w:t xml:space="preserve"> </w:t>
      </w:r>
    </w:p>
    <w:p w14:paraId="4B136119" w14:textId="4A5B3149" w:rsidR="00F01992" w:rsidRPr="00D13AF1" w:rsidRDefault="00F01992" w:rsidP="00F01992">
      <w:pPr>
        <w:pStyle w:val="Bulletlevel1"/>
      </w:pPr>
      <w:r w:rsidRPr="00D13AF1">
        <w:t>Any device, software or service use</w:t>
      </w:r>
      <w:r w:rsidR="00731270" w:rsidRPr="00D13AF1">
        <w:t>d</w:t>
      </w:r>
      <w:r w:rsidRPr="00D13AF1">
        <w:t xml:space="preserve"> for the purposes of telehealth should be secure and fit for purpose, and must preserve the quality of the information or image being transmitted. </w:t>
      </w:r>
    </w:p>
    <w:p w14:paraId="4180DB51" w14:textId="552D240E" w:rsidR="00F01992" w:rsidRPr="00D13AF1" w:rsidRDefault="00F01992" w:rsidP="00F01992">
      <w:pPr>
        <w:pStyle w:val="Bulletlevel1"/>
      </w:pPr>
      <w:r w:rsidRPr="00D13AF1">
        <w:t>If a patient</w:t>
      </w:r>
      <w:r w:rsidR="00731270" w:rsidRPr="00D13AF1">
        <w:t xml:space="preserve"> is treated</w:t>
      </w:r>
      <w:r w:rsidRPr="00D13AF1">
        <w:t xml:space="preserve">, </w:t>
      </w:r>
      <w:r w:rsidR="00731270" w:rsidRPr="00D13AF1">
        <w:t>the physician</w:t>
      </w:r>
      <w:r w:rsidRPr="00D13AF1">
        <w:t xml:space="preserve"> </w:t>
      </w:r>
      <w:r w:rsidR="00731270" w:rsidRPr="00D13AF1">
        <w:t>is</w:t>
      </w:r>
      <w:r w:rsidRPr="00D13AF1">
        <w:t xml:space="preserve"> responsible for gathering and assessing the information used to form a diagnosis, irrespective of its source. If </w:t>
      </w:r>
      <w:r w:rsidR="00731270" w:rsidRPr="00D13AF1">
        <w:t>the physician</w:t>
      </w:r>
      <w:r w:rsidRPr="00D13AF1">
        <w:t xml:space="preserve"> receive a referral which does not contain the information required to make a fair assessment, </w:t>
      </w:r>
      <w:r w:rsidR="00731270" w:rsidRPr="00D13AF1">
        <w:t xml:space="preserve">the </w:t>
      </w:r>
      <w:r w:rsidRPr="00D13AF1">
        <w:t xml:space="preserve">Council expects that </w:t>
      </w:r>
      <w:r w:rsidR="00731270" w:rsidRPr="00D13AF1">
        <w:t>the practitioner</w:t>
      </w:r>
      <w:r w:rsidRPr="00D13AF1">
        <w:t xml:space="preserve"> request</w:t>
      </w:r>
      <w:r w:rsidR="00731270" w:rsidRPr="00D13AF1">
        <w:t>s</w:t>
      </w:r>
      <w:r w:rsidRPr="00D13AF1">
        <w:t xml:space="preserve"> the relevant information or return the referral to the referrer with a request for more specific information. </w:t>
      </w:r>
    </w:p>
    <w:p w14:paraId="076A8719" w14:textId="79A088DE" w:rsidR="00F01992" w:rsidRPr="00D13AF1" w:rsidRDefault="00F01992" w:rsidP="00F01992">
      <w:pPr>
        <w:pStyle w:val="Bulletlevel1"/>
      </w:pPr>
      <w:r w:rsidRPr="00D13AF1">
        <w:lastRenderedPageBreak/>
        <w:t>Council expects that the treatment provide</w:t>
      </w:r>
      <w:r w:rsidR="00731270" w:rsidRPr="00D13AF1">
        <w:t>d</w:t>
      </w:r>
      <w:r w:rsidRPr="00D13AF1">
        <w:t xml:space="preserve"> to a patient in another location meets the same required standards as care provided in an in-person consultation. This includes standards relating to patient selection, identification, cultural competence, assessment, diagnosis, consent, maintaining the patient’s privacy and confidentiality, updating the patient’s clinical records and communicating with the patient’s relevant primary care provider in a timely manner (unless the patient expressly states that the details of the telehealth consultation are not to be shared with their primary care provider), and follow-up. If, because of the limits of technology, </w:t>
      </w:r>
      <w:r w:rsidR="00731270" w:rsidRPr="00D13AF1">
        <w:t>the physician</w:t>
      </w:r>
      <w:r w:rsidRPr="00D13AF1">
        <w:t xml:space="preserve"> </w:t>
      </w:r>
      <w:r w:rsidR="00731270" w:rsidRPr="00D13AF1">
        <w:t>is</w:t>
      </w:r>
      <w:r w:rsidRPr="00D13AF1">
        <w:t xml:space="preserve"> unable to provide a service to the same standard as an in-person consultation then </w:t>
      </w:r>
      <w:r w:rsidR="0043336A">
        <w:t>they</w:t>
      </w:r>
      <w:r w:rsidR="0043336A" w:rsidRPr="00D13AF1">
        <w:t xml:space="preserve"> </w:t>
      </w:r>
      <w:r w:rsidRPr="00D13AF1">
        <w:t xml:space="preserve">must advise the patient of this. </w:t>
      </w:r>
    </w:p>
    <w:p w14:paraId="1CCD874D" w14:textId="200796A9" w:rsidR="00F01992" w:rsidRPr="00D13AF1" w:rsidRDefault="00F01992" w:rsidP="00F01992">
      <w:pPr>
        <w:pStyle w:val="Bulletlevel1"/>
      </w:pPr>
      <w:r w:rsidRPr="00D13AF1">
        <w:t xml:space="preserve">It is particularly important that </w:t>
      </w:r>
      <w:r w:rsidR="00731270" w:rsidRPr="00D13AF1">
        <w:t>the physician</w:t>
      </w:r>
      <w:r w:rsidRPr="00D13AF1">
        <w:t xml:space="preserve"> consider</w:t>
      </w:r>
      <w:r w:rsidR="00731270" w:rsidRPr="00D13AF1">
        <w:t>s</w:t>
      </w:r>
      <w:r w:rsidRPr="00D13AF1">
        <w:t xml:space="preserve"> whether a physical examination would add critical information before providing treatment to a patient or before referring the patient to another health practitioner for services including diagnostic imaging and pathology testing. If a physical examination is likely to add critical information, then </w:t>
      </w:r>
      <w:r w:rsidR="00731270" w:rsidRPr="00D13AF1">
        <w:t>it should</w:t>
      </w:r>
      <w:r w:rsidRPr="00D13AF1">
        <w:t xml:space="preserve"> not proceed until a physical examination can be arranged. In some circumstances, it may be reasonable to ask another practitioner in the patient’s locality to conduct a physical examination on your behalf. In those instances, it is important that patient’s consent</w:t>
      </w:r>
      <w:r w:rsidR="00731270" w:rsidRPr="00D13AF1">
        <w:t xml:space="preserve"> is obtained for that arrangement, the</w:t>
      </w:r>
      <w:r w:rsidRPr="00D13AF1">
        <w:t xml:space="preserve"> request</w:t>
      </w:r>
      <w:r w:rsidR="00731270" w:rsidRPr="00D13AF1">
        <w:t xml:space="preserve"> should be communicated</w:t>
      </w:r>
      <w:r w:rsidRPr="00D13AF1">
        <w:t xml:space="preserve"> clearly to the other practitioner, and </w:t>
      </w:r>
      <w:r w:rsidR="00731270" w:rsidRPr="00D13AF1">
        <w:t>the primary physician should be</w:t>
      </w:r>
      <w:r w:rsidRPr="00D13AF1">
        <w:t xml:space="preserve"> available to answer any queries that the other practitioner might have. </w:t>
      </w:r>
    </w:p>
    <w:p w14:paraId="13CC57D0" w14:textId="77777777" w:rsidR="00F01992" w:rsidRPr="00D13AF1" w:rsidRDefault="00F01992" w:rsidP="00F01992">
      <w:pPr>
        <w:pStyle w:val="Bulletlevel1"/>
      </w:pPr>
      <w:r w:rsidRPr="00D13AF1">
        <w:t>Specific distance medical services have been demonstrated to provide safe and effective care and are the subject of College approved clinical guidelines. Such guidelines may place additional requirements on your practice.</w:t>
      </w:r>
      <w:r w:rsidRPr="00D13AF1">
        <w:rPr>
          <w:rStyle w:val="FootnoteReference"/>
        </w:rPr>
        <w:footnoteReference w:id="106"/>
      </w:r>
      <w:r w:rsidRPr="00D13AF1">
        <w:t xml:space="preserve"> </w:t>
      </w:r>
    </w:p>
    <w:p w14:paraId="21517AF1" w14:textId="527050FF" w:rsidR="00F01992" w:rsidRPr="00D13AF1" w:rsidRDefault="00F01992" w:rsidP="00F01992">
      <w:pPr>
        <w:pStyle w:val="Bulletlevel1"/>
      </w:pPr>
      <w:r w:rsidRPr="00D13AF1">
        <w:t xml:space="preserve">If </w:t>
      </w:r>
      <w:r w:rsidR="00CC110B" w:rsidRPr="00D13AF1">
        <w:t>a physician</w:t>
      </w:r>
      <w:r w:rsidRPr="00D13AF1">
        <w:t xml:space="preserve"> work</w:t>
      </w:r>
      <w:r w:rsidR="00CC110B" w:rsidRPr="00D13AF1">
        <w:t>s</w:t>
      </w:r>
      <w:r w:rsidRPr="00D13AF1">
        <w:t xml:space="preserve"> with or receive</w:t>
      </w:r>
      <w:r w:rsidR="00CC110B" w:rsidRPr="00D13AF1">
        <w:t>s</w:t>
      </w:r>
      <w:r w:rsidRPr="00D13AF1">
        <w:t xml:space="preserve"> reports from telehealth providers, </w:t>
      </w:r>
      <w:r w:rsidR="0043336A">
        <w:t>they</w:t>
      </w:r>
      <w:r w:rsidR="0043336A" w:rsidRPr="00D13AF1">
        <w:t xml:space="preserve"> </w:t>
      </w:r>
      <w:r w:rsidRPr="00D13AF1">
        <w:t xml:space="preserve">should ensure that the above standards are followed and must notify that telehealth provider, their management and /or other appropriate reporting channels if </w:t>
      </w:r>
      <w:r w:rsidR="00CC110B" w:rsidRPr="00D13AF1">
        <w:t>there are</w:t>
      </w:r>
      <w:r w:rsidRPr="00D13AF1">
        <w:t xml:space="preserve"> concerns about the quality of care being provided. </w:t>
      </w:r>
    </w:p>
    <w:p w14:paraId="4DE621C1" w14:textId="77777777" w:rsidR="00F01992" w:rsidRPr="00D13AF1" w:rsidRDefault="00F01992" w:rsidP="00F01992">
      <w:pPr>
        <w:pStyle w:val="Heading3Pink"/>
      </w:pPr>
      <w:bookmarkStart w:id="171" w:name="_Ref499732048"/>
      <w:r w:rsidRPr="00D13AF1">
        <w:t>Cross-jurisdiction issues in telemedicine</w:t>
      </w:r>
      <w:bookmarkEnd w:id="171"/>
    </w:p>
    <w:p w14:paraId="726D4F09" w14:textId="39E0263F" w:rsidR="00D932D6" w:rsidRPr="00D13AF1" w:rsidRDefault="00F01992" w:rsidP="00F01992">
      <w:pPr>
        <w:pStyle w:val="BodyEE"/>
      </w:pPr>
      <w:r w:rsidRPr="00D13AF1">
        <w:t xml:space="preserve">Medical Council of New Zealand is governed by the Health Practitioners Competence Assurance Act 2003 (HPCAA). The purpose of the HPCAA is to protect the health and safety of the NZ public by establishing mechanisms to ensure that health practitioners are competent and fit to practise their professions (Nb. other health professions such as nurses, dentists and pharmacists are also governed by the HPCAA). Under the HPCAA, </w:t>
      </w:r>
      <w:r w:rsidR="0043336A">
        <w:t>they</w:t>
      </w:r>
      <w:r w:rsidR="0043336A" w:rsidRPr="00D13AF1">
        <w:t xml:space="preserve"> </w:t>
      </w:r>
      <w:r w:rsidRPr="00D13AF1">
        <w:t xml:space="preserve">do not have any authority to require doctors who are overseas and who are providing care to patients in NZ to be registered with MCNZ. As such, clause 5 of MCNZ's statement on Telehealth uses the phrase "you should therefore be registered with the Council" rather than "you must therefore be registered with the Council". </w:t>
      </w:r>
    </w:p>
    <w:p w14:paraId="10A9B76B" w14:textId="34D6BDA7" w:rsidR="00F01992" w:rsidRPr="00D13AF1" w:rsidRDefault="00F01992" w:rsidP="00F01992">
      <w:pPr>
        <w:pStyle w:val="BodyEE"/>
      </w:pPr>
      <w:r w:rsidRPr="00D13AF1">
        <w:t xml:space="preserve">To protect the health and safety of patients in NZ, </w:t>
      </w:r>
      <w:r w:rsidR="00D932D6" w:rsidRPr="00D13AF1">
        <w:t>the</w:t>
      </w:r>
      <w:r w:rsidRPr="00D13AF1">
        <w:t xml:space="preserve"> special purpose scope in teleradiology lists a number of requirements that overseas-based doctors practising telehealth must meet in order to be registered with us. We also encourage such doctors to have a robust contractual relationship with a NZ body which creates or enables an effective mechanism for dealing with performance and service provision concerns (see footnote 3). </w:t>
      </w:r>
    </w:p>
    <w:p w14:paraId="40E39C83" w14:textId="77777777" w:rsidR="00255B2F" w:rsidRPr="00D13AF1" w:rsidRDefault="00255B2F" w:rsidP="001E393E">
      <w:pPr>
        <w:pStyle w:val="Heading1"/>
        <w:rPr>
          <w:color w:val="C64187" w:themeColor="accent2"/>
        </w:rPr>
      </w:pPr>
      <w:bookmarkStart w:id="172" w:name="_Toc504484164"/>
      <w:r w:rsidRPr="00D13AF1">
        <w:rPr>
          <w:color w:val="C64187" w:themeColor="accent2"/>
        </w:rPr>
        <w:lastRenderedPageBreak/>
        <w:t>Portugal</w:t>
      </w:r>
      <w:bookmarkEnd w:id="172"/>
      <w:r w:rsidRPr="00D13AF1">
        <w:rPr>
          <w:color w:val="C64187" w:themeColor="accent2"/>
        </w:rPr>
        <w:t xml:space="preserve">  </w:t>
      </w:r>
    </w:p>
    <w:p w14:paraId="76F81C7C" w14:textId="77777777" w:rsidR="00255B2F" w:rsidRPr="00D13AF1" w:rsidRDefault="00255B2F" w:rsidP="00255B2F">
      <w:pPr>
        <w:pStyle w:val="Heading2Pink"/>
      </w:pPr>
      <w:bookmarkStart w:id="173" w:name="_Toc504484165"/>
      <w:r w:rsidRPr="00D13AF1">
        <w:t>Country level overview</w:t>
      </w:r>
      <w:bookmarkEnd w:id="173"/>
    </w:p>
    <w:p w14:paraId="2769CB84" w14:textId="6687236B" w:rsidR="00255B2F" w:rsidRPr="00D13AF1" w:rsidRDefault="00255B2F" w:rsidP="00255B2F">
      <w:pPr>
        <w:pStyle w:val="BodyEE"/>
      </w:pPr>
      <w:r w:rsidRPr="00D13AF1">
        <w:t>The government centralizes policy-making in the health sector. Health policymaking often involves the government officially hearing the opinion of several organized interest groups. These include professional associations such as the Portuguese Medical Association</w:t>
      </w:r>
      <w:r w:rsidR="006833E5" w:rsidRPr="00D13AF1">
        <w:t xml:space="preserve"> — </w:t>
      </w:r>
      <w:proofErr w:type="spellStart"/>
      <w:r w:rsidRPr="00D13AF1">
        <w:t>Ordem</w:t>
      </w:r>
      <w:proofErr w:type="spellEnd"/>
      <w:r w:rsidRPr="00D13AF1">
        <w:t xml:space="preserve"> dos </w:t>
      </w:r>
      <w:proofErr w:type="spellStart"/>
      <w:r w:rsidRPr="00D13AF1">
        <w:t>Médicos</w:t>
      </w:r>
      <w:proofErr w:type="spellEnd"/>
      <w:r w:rsidRPr="00D13AF1">
        <w:t>, the Portuguese Nurse Association</w:t>
      </w:r>
      <w:r w:rsidR="006833E5" w:rsidRPr="00D13AF1">
        <w:t xml:space="preserve"> — </w:t>
      </w:r>
      <w:proofErr w:type="spellStart"/>
      <w:r w:rsidRPr="00D13AF1">
        <w:t>Ordem</w:t>
      </w:r>
      <w:proofErr w:type="spellEnd"/>
      <w:r w:rsidRPr="00D13AF1">
        <w:t xml:space="preserve"> dos </w:t>
      </w:r>
      <w:proofErr w:type="spellStart"/>
      <w:r w:rsidRPr="00D13AF1">
        <w:t>Enfermeiros</w:t>
      </w:r>
      <w:proofErr w:type="spellEnd"/>
      <w:r w:rsidRPr="00D13AF1">
        <w:t>, the Portuguese Pharmacists’ Association</w:t>
      </w:r>
      <w:r w:rsidR="006833E5" w:rsidRPr="00D13AF1">
        <w:t xml:space="preserve"> — </w:t>
      </w:r>
      <w:proofErr w:type="spellStart"/>
      <w:r w:rsidRPr="00D13AF1">
        <w:t>Ordem</w:t>
      </w:r>
      <w:proofErr w:type="spellEnd"/>
      <w:r w:rsidRPr="00D13AF1">
        <w:t xml:space="preserve"> dos </w:t>
      </w:r>
      <w:proofErr w:type="spellStart"/>
      <w:r w:rsidRPr="00D13AF1">
        <w:t>Farmacêuticos</w:t>
      </w:r>
      <w:proofErr w:type="spellEnd"/>
      <w:r w:rsidRPr="00D13AF1">
        <w:t xml:space="preserve">, while others are traditional unions and nongovernmental organizations, most notably patients’ associations. </w:t>
      </w:r>
    </w:p>
    <w:p w14:paraId="20B15435" w14:textId="0A2B490A" w:rsidR="00255B2F" w:rsidRPr="00D13AF1" w:rsidRDefault="00255B2F" w:rsidP="00255B2F">
      <w:pPr>
        <w:pStyle w:val="BodyEE"/>
      </w:pPr>
      <w:r w:rsidRPr="00D13AF1">
        <w:t xml:space="preserve">The EU’s </w:t>
      </w:r>
      <w:r w:rsidR="00BF4980" w:rsidRPr="00D13AF1">
        <w:t>D</w:t>
      </w:r>
      <w:r w:rsidRPr="00D13AF1">
        <w:t>irectives on public health and the organization of the different groups of health professionals’ policies largely determine national policies on those topics.</w:t>
      </w:r>
      <w:r w:rsidRPr="00D13AF1">
        <w:rPr>
          <w:rStyle w:val="FootnoteReference"/>
        </w:rPr>
        <w:footnoteReference w:id="107"/>
      </w:r>
    </w:p>
    <w:p w14:paraId="4DF83325" w14:textId="77777777" w:rsidR="00255B2F" w:rsidRPr="00D13AF1" w:rsidRDefault="00255B2F" w:rsidP="00255B2F">
      <w:pPr>
        <w:pStyle w:val="Heading3Pink"/>
      </w:pPr>
      <w:r w:rsidRPr="00D13AF1">
        <w:t xml:space="preserve">Relevant organisations </w:t>
      </w:r>
    </w:p>
    <w:p w14:paraId="45CEEDA1" w14:textId="77777777" w:rsidR="00255B2F" w:rsidRPr="00D13AF1" w:rsidRDefault="00255B2F" w:rsidP="00255B2F">
      <w:pPr>
        <w:pStyle w:val="Bulletlevel1"/>
      </w:pPr>
      <w:r w:rsidRPr="00D13AF1">
        <w:t>Public healthcare system</w:t>
      </w:r>
    </w:p>
    <w:p w14:paraId="2E7F1580" w14:textId="1D5254AD" w:rsidR="00255B2F" w:rsidRPr="00D13AF1" w:rsidRDefault="00255B2F" w:rsidP="004544F9">
      <w:pPr>
        <w:pStyle w:val="Bulletlevel2"/>
      </w:pPr>
      <w:r w:rsidRPr="00D13AF1">
        <w:t xml:space="preserve">Ministry of Health </w:t>
      </w:r>
      <w:r w:rsidR="0060618F" w:rsidRPr="00D13AF1">
        <w:t>i</w:t>
      </w:r>
      <w:r w:rsidRPr="00D13AF1">
        <w:t>s responsible for healthcare policy-</w:t>
      </w:r>
      <w:r w:rsidR="004544F9" w:rsidRPr="00D13AF1">
        <w:t>making, planning and regulation;</w:t>
      </w:r>
    </w:p>
    <w:p w14:paraId="5C68AB70" w14:textId="7FAD371A" w:rsidR="00255B2F" w:rsidRPr="00D13AF1" w:rsidRDefault="004544F9" w:rsidP="004544F9">
      <w:pPr>
        <w:pStyle w:val="Bulletlevel2"/>
      </w:pPr>
      <w:r w:rsidRPr="00D13AF1">
        <w:t>t</w:t>
      </w:r>
      <w:r w:rsidR="00255B2F" w:rsidRPr="00D13AF1">
        <w:t>he National Health System provi</w:t>
      </w:r>
      <w:r w:rsidRPr="00D13AF1">
        <w:t>des universal medical coverage;</w:t>
      </w:r>
    </w:p>
    <w:p w14:paraId="3685BCA8" w14:textId="77777777" w:rsidR="00255B2F" w:rsidRPr="00D13AF1" w:rsidRDefault="00255B2F" w:rsidP="004544F9">
      <w:pPr>
        <w:pStyle w:val="Bulletlevel2"/>
      </w:pPr>
      <w:r w:rsidRPr="00D13AF1">
        <w:t xml:space="preserve">High Commissariat for Health (ACS) is responsible for the design, implementation and evaluation of the National Health Plan. </w:t>
      </w:r>
    </w:p>
    <w:p w14:paraId="43A3521F" w14:textId="77777777" w:rsidR="00255B2F" w:rsidRPr="00D13AF1" w:rsidRDefault="00255B2F" w:rsidP="00255B2F">
      <w:pPr>
        <w:pStyle w:val="Bulletlevel1"/>
      </w:pPr>
      <w:r w:rsidRPr="00D13AF1">
        <w:t>National legal framework (Order 3571/2013 of 6</w:t>
      </w:r>
      <w:r w:rsidRPr="00D13AF1">
        <w:rPr>
          <w:vertAlign w:val="superscript"/>
        </w:rPr>
        <w:t>th</w:t>
      </w:r>
      <w:r w:rsidRPr="00D13AF1">
        <w:t xml:space="preserve"> March 2013) </w:t>
      </w:r>
    </w:p>
    <w:p w14:paraId="6B9247F9" w14:textId="1AF93C9B" w:rsidR="00255B2F" w:rsidRPr="00D13AF1" w:rsidRDefault="004544F9" w:rsidP="004544F9">
      <w:pPr>
        <w:pStyle w:val="Bulletlevel2"/>
      </w:pPr>
      <w:r w:rsidRPr="00D13AF1">
        <w:t>a</w:t>
      </w:r>
      <w:r w:rsidR="00255B2F" w:rsidRPr="00D13AF1">
        <w:t xml:space="preserve"> Ministry of Health-issued governmental decree </w:t>
      </w:r>
      <w:r w:rsidRPr="00D13AF1">
        <w:t>regarding telemedicine adoption;</w:t>
      </w:r>
    </w:p>
    <w:p w14:paraId="65E01E0E" w14:textId="3FAFC233" w:rsidR="00255B2F" w:rsidRPr="00D13AF1" w:rsidRDefault="004544F9" w:rsidP="004544F9">
      <w:pPr>
        <w:pStyle w:val="Bulletlevel2"/>
      </w:pPr>
      <w:r w:rsidRPr="00D13AF1">
        <w:t>e</w:t>
      </w:r>
      <w:r w:rsidR="00255B2F" w:rsidRPr="00D13AF1">
        <w:t>stablishes gene</w:t>
      </w:r>
      <w:r w:rsidRPr="00D13AF1">
        <w:t>ral rules of using telemedicine;</w:t>
      </w:r>
    </w:p>
    <w:p w14:paraId="61EDF000" w14:textId="7DFB59FF" w:rsidR="00255B2F" w:rsidRPr="00D13AF1" w:rsidRDefault="004544F9" w:rsidP="00255B2F">
      <w:pPr>
        <w:pStyle w:val="Bulletlevel2"/>
      </w:pPr>
      <w:r w:rsidRPr="00D13AF1">
        <w:t>p</w:t>
      </w:r>
      <w:r w:rsidR="00255B2F" w:rsidRPr="00D13AF1">
        <w:t>rovides working definition of telemedicine</w:t>
      </w:r>
      <w:r w:rsidRPr="00D13AF1">
        <w:t>;</w:t>
      </w:r>
      <w:r w:rsidR="00255B2F" w:rsidRPr="00D13AF1">
        <w:rPr>
          <w:rStyle w:val="FootnoteReference"/>
        </w:rPr>
        <w:footnoteReference w:id="108"/>
      </w:r>
    </w:p>
    <w:p w14:paraId="001D25F1" w14:textId="77777777" w:rsidR="00255B2F" w:rsidRPr="00D13AF1" w:rsidRDefault="00255B2F" w:rsidP="00255B2F">
      <w:pPr>
        <w:pStyle w:val="Bulletlevel1"/>
      </w:pPr>
      <w:proofErr w:type="spellStart"/>
      <w:r w:rsidRPr="00D13AF1">
        <w:t>Ordem</w:t>
      </w:r>
      <w:proofErr w:type="spellEnd"/>
      <w:r w:rsidRPr="00D13AF1">
        <w:t xml:space="preserve"> dos </w:t>
      </w:r>
      <w:proofErr w:type="spellStart"/>
      <w:r w:rsidRPr="00D13AF1">
        <w:t>Médicos</w:t>
      </w:r>
      <w:proofErr w:type="spellEnd"/>
      <w:r w:rsidRPr="00D13AF1">
        <w:t xml:space="preserve"> (Order of Physicians) </w:t>
      </w:r>
    </w:p>
    <w:p w14:paraId="79453E47" w14:textId="79BC9EB5" w:rsidR="00255B2F" w:rsidRPr="00D13AF1" w:rsidRDefault="004544F9" w:rsidP="00255B2F">
      <w:pPr>
        <w:pStyle w:val="Bulletlevel2"/>
      </w:pPr>
      <w:r w:rsidRPr="00D13AF1">
        <w:t>r</w:t>
      </w:r>
      <w:r w:rsidR="00255B2F" w:rsidRPr="00D13AF1">
        <w:t xml:space="preserve">esponsible (jointly with the Ministry of Health) about </w:t>
      </w:r>
      <w:r w:rsidRPr="00D13AF1">
        <w:t>specialty postgraduate training;</w:t>
      </w:r>
      <w:r w:rsidR="00255B2F" w:rsidRPr="00D13AF1">
        <w:t xml:space="preserve"> </w:t>
      </w:r>
    </w:p>
    <w:p w14:paraId="70731EAE" w14:textId="245682C0" w:rsidR="00255B2F" w:rsidRPr="00D13AF1" w:rsidRDefault="004544F9" w:rsidP="00255B2F">
      <w:pPr>
        <w:pStyle w:val="Bulletlevel2"/>
      </w:pPr>
      <w:r w:rsidRPr="00D13AF1">
        <w:t>m</w:t>
      </w:r>
      <w:r w:rsidR="00255B2F" w:rsidRPr="00D13AF1">
        <w:t>embership is mandatory for practising physic</w:t>
      </w:r>
      <w:r w:rsidRPr="00D13AF1">
        <w:t>ians;</w:t>
      </w:r>
    </w:p>
    <w:p w14:paraId="0B6CEF3A" w14:textId="0966772E" w:rsidR="00255B2F" w:rsidRPr="00D13AF1" w:rsidRDefault="004544F9" w:rsidP="00255B2F">
      <w:pPr>
        <w:pStyle w:val="Bulletlevel2"/>
      </w:pPr>
      <w:r w:rsidRPr="00D13AF1">
        <w:t>g</w:t>
      </w:r>
      <w:r w:rsidR="00255B2F" w:rsidRPr="00D13AF1">
        <w:t>rants accreditation and licences to practise;</w:t>
      </w:r>
    </w:p>
    <w:p w14:paraId="6D223AD7" w14:textId="29FC8B04" w:rsidR="00255B2F" w:rsidRPr="00D13AF1" w:rsidRDefault="004544F9" w:rsidP="00255B2F">
      <w:pPr>
        <w:pStyle w:val="Bulletlevel2"/>
      </w:pPr>
      <w:r w:rsidRPr="00D13AF1">
        <w:t>g</w:t>
      </w:r>
      <w:r w:rsidR="00255B2F" w:rsidRPr="00D13AF1">
        <w:t>rants certifications of specialist training; and</w:t>
      </w:r>
    </w:p>
    <w:p w14:paraId="553841D7" w14:textId="0B76AA1F" w:rsidR="00255B2F" w:rsidRPr="00D13AF1" w:rsidRDefault="004544F9" w:rsidP="00255B2F">
      <w:pPr>
        <w:pStyle w:val="Bulletlevel2"/>
      </w:pPr>
      <w:r w:rsidRPr="00D13AF1">
        <w:t>a</w:t>
      </w:r>
      <w:r w:rsidR="00255B2F" w:rsidRPr="00D13AF1">
        <w:t>pplies the disciplinary code, with powers to warn and punish doctors.</w:t>
      </w:r>
    </w:p>
    <w:p w14:paraId="6A42B922" w14:textId="77777777" w:rsidR="00255B2F" w:rsidRPr="00D13AF1" w:rsidRDefault="00255B2F" w:rsidP="00255B2F">
      <w:pPr>
        <w:pStyle w:val="Heading3Pink"/>
      </w:pPr>
      <w:r w:rsidRPr="00D13AF1">
        <w:t xml:space="preserve">Regulatory frameworks </w:t>
      </w:r>
    </w:p>
    <w:p w14:paraId="1CC53A00" w14:textId="77777777" w:rsidR="00255B2F" w:rsidRPr="00D13AF1" w:rsidRDefault="00255B2F" w:rsidP="00255B2F">
      <w:pPr>
        <w:pStyle w:val="BodyEE"/>
      </w:pPr>
      <w:r w:rsidRPr="00D13AF1">
        <w:t xml:space="preserve">Planning and regulation take place largely at the central level in the Ministry of Health and its institutions. The Ministry is responsible for the design, implementation and evaluation of the National Health System (NHS). The management of the NHS takes place at the regional level. The Order of Physicians is responsible for granting licenses to practice and applying the disciplinary code. </w:t>
      </w:r>
    </w:p>
    <w:p w14:paraId="554ED403" w14:textId="77777777" w:rsidR="00255B2F" w:rsidRPr="00D13AF1" w:rsidRDefault="00255B2F" w:rsidP="00255B2F">
      <w:pPr>
        <w:pStyle w:val="Heading2Pink"/>
      </w:pPr>
      <w:bookmarkStart w:id="174" w:name="_Toc504484166"/>
      <w:bookmarkStart w:id="175" w:name="_Hlk494365553"/>
      <w:r w:rsidRPr="00D13AF1">
        <w:lastRenderedPageBreak/>
        <w:t>Order 3571/2013 of 6th March 2013</w:t>
      </w:r>
      <w:bookmarkEnd w:id="174"/>
    </w:p>
    <w:p w14:paraId="4C2851E7" w14:textId="77777777" w:rsidR="00255B2F" w:rsidRPr="00D13AF1" w:rsidRDefault="00255B2F" w:rsidP="00255B2F">
      <w:pPr>
        <w:pStyle w:val="Heading3Pink"/>
      </w:pPr>
      <w:bookmarkStart w:id="176" w:name="_Ref499730776"/>
      <w:bookmarkEnd w:id="175"/>
      <w:r w:rsidRPr="00D13AF1">
        <w:t>Definition of telemedicine</w:t>
      </w:r>
      <w:bookmarkEnd w:id="176"/>
    </w:p>
    <w:p w14:paraId="41DAEA74" w14:textId="77777777" w:rsidR="00255B2F" w:rsidRPr="00D13AF1" w:rsidRDefault="00255B2F" w:rsidP="00255B2F">
      <w:pPr>
        <w:pStyle w:val="BodyEE"/>
      </w:pPr>
      <w:bookmarkStart w:id="177" w:name="_Hlk494365560"/>
      <w:r w:rsidRPr="00D13AF1">
        <w:t>In the context of the provision of telemedicine services, the following are considered:</w:t>
      </w:r>
    </w:p>
    <w:p w14:paraId="06612E53" w14:textId="77777777" w:rsidR="00255B2F" w:rsidRPr="00D13AF1" w:rsidRDefault="00255B2F" w:rsidP="00255B2F">
      <w:pPr>
        <w:pStyle w:val="Bulletlevel1"/>
      </w:pPr>
      <w:r w:rsidRPr="00D13AF1">
        <w:t>"Real-time” teleconsultation: provided by a doctor, who is physically away from the patient, using  interactive, audio-visual and data communication and through specialist equipment and when the communication takes place simultaneously (synchronously);</w:t>
      </w:r>
    </w:p>
    <w:p w14:paraId="593AD2E2" w14:textId="77777777" w:rsidR="00255B2F" w:rsidRPr="00D13AF1" w:rsidRDefault="00255B2F" w:rsidP="00255B2F">
      <w:pPr>
        <w:pStyle w:val="Bulletlevel1"/>
      </w:pPr>
      <w:r w:rsidRPr="00D13AF1">
        <w:t>"Store and forward" teleconsultation: the use of interactive, audio-visual and data communications, which is collected in the presence of the patient and sent to a receiving entity who will evaluate and give a qualified opinion at a later time (asynchronously);</w:t>
      </w:r>
    </w:p>
    <w:p w14:paraId="40B912CD" w14:textId="77777777" w:rsidR="00255B2F" w:rsidRPr="00D13AF1" w:rsidRDefault="00255B2F" w:rsidP="00255B2F">
      <w:pPr>
        <w:pStyle w:val="Bulletlevel1"/>
      </w:pPr>
      <w:r w:rsidRPr="00D13AF1">
        <w:t xml:space="preserve">"Dermatological </w:t>
      </w:r>
      <w:proofErr w:type="spellStart"/>
      <w:r w:rsidRPr="00D13AF1">
        <w:t>teletracking</w:t>
      </w:r>
      <w:proofErr w:type="spellEnd"/>
      <w:r w:rsidRPr="00D13AF1">
        <w:t>": consultation involving a dermatologist examining digital images with sufficient quality to ensure the work of screening for skin lesions and subsequent referral of the case.</w:t>
      </w:r>
    </w:p>
    <w:p w14:paraId="17130F21" w14:textId="77777777" w:rsidR="00255B2F" w:rsidRPr="00D13AF1" w:rsidRDefault="00255B2F" w:rsidP="00255B2F">
      <w:pPr>
        <w:pStyle w:val="Heading3Pink"/>
      </w:pPr>
      <w:bookmarkStart w:id="178" w:name="_Ref499732522"/>
      <w:bookmarkEnd w:id="177"/>
      <w:r w:rsidRPr="00D13AF1">
        <w:t>Regulation of individual doctors who provide telemedicine services</w:t>
      </w:r>
      <w:bookmarkEnd w:id="178"/>
    </w:p>
    <w:p w14:paraId="5138117F" w14:textId="77777777" w:rsidR="00255B2F" w:rsidRPr="00D13AF1" w:rsidRDefault="00255B2F" w:rsidP="00255B2F">
      <w:pPr>
        <w:pStyle w:val="BodyEE"/>
      </w:pPr>
      <w:r w:rsidRPr="00D13AF1">
        <w:t xml:space="preserve">In the area of </w:t>
      </w:r>
      <w:r w:rsidRPr="00D13AF1">
        <w:rPr>
          <w:rFonts w:ascii="Arial" w:hAnsi="Arial" w:cs="Arial"/>
        </w:rPr>
        <w:t>​​</w:t>
      </w:r>
      <w:r w:rsidRPr="00D13AF1">
        <w:rPr>
          <w:rStyle w:val="EmphasisPurpleChar"/>
        </w:rPr>
        <w:t>dermatology</w:t>
      </w:r>
      <w:r w:rsidRPr="00D13AF1">
        <w:t>, the use of telemedicine should follow these recommendations:</w:t>
      </w:r>
    </w:p>
    <w:p w14:paraId="6F040AED" w14:textId="226B9A2D" w:rsidR="00255B2F" w:rsidRPr="00D13AF1" w:rsidRDefault="00E315ED" w:rsidP="00255B2F">
      <w:pPr>
        <w:pStyle w:val="Bulletlevel1"/>
      </w:pPr>
      <w:r w:rsidRPr="00D13AF1">
        <w:t>t</w:t>
      </w:r>
      <w:r w:rsidR="00255B2F" w:rsidRPr="00D13AF1">
        <w:t>he first consultation should be, whenever possible, a real-time teleconsultation;</w:t>
      </w:r>
    </w:p>
    <w:p w14:paraId="0924257B" w14:textId="33750D34" w:rsidR="00255B2F" w:rsidRPr="00D13AF1" w:rsidRDefault="00E315ED" w:rsidP="00255B2F">
      <w:pPr>
        <w:pStyle w:val="Bulletlevel1"/>
      </w:pPr>
      <w:r w:rsidRPr="00D13AF1">
        <w:t>t</w:t>
      </w:r>
      <w:r w:rsidR="00255B2F" w:rsidRPr="00D13AF1">
        <w:t>he use of store and forward teleconsultation as a form of screening must be contracted by an ARS (Regional Health Administration) to hospitals that have the necessary conditions;</w:t>
      </w:r>
    </w:p>
    <w:p w14:paraId="4ABE8B11" w14:textId="026A4FAF" w:rsidR="00255B2F" w:rsidRPr="00D13AF1" w:rsidRDefault="00E315ED" w:rsidP="00255B2F">
      <w:pPr>
        <w:pStyle w:val="Bulletlevel1"/>
      </w:pPr>
      <w:r w:rsidRPr="00D13AF1">
        <w:t>s</w:t>
      </w:r>
      <w:r w:rsidR="00255B2F" w:rsidRPr="00D13AF1">
        <w:t>ubsequent consultations, whenever possible, should be real-time teleconsultations;</w:t>
      </w:r>
    </w:p>
    <w:p w14:paraId="0AE9EB8A" w14:textId="12B01E73" w:rsidR="00255B2F" w:rsidRPr="00D13AF1" w:rsidRDefault="00E315ED" w:rsidP="00255B2F">
      <w:pPr>
        <w:pStyle w:val="Bulletlevel1"/>
      </w:pPr>
      <w:proofErr w:type="spellStart"/>
      <w:r w:rsidRPr="00D13AF1">
        <w:t>t</w:t>
      </w:r>
      <w:r w:rsidR="00255B2F" w:rsidRPr="00D13AF1">
        <w:t>eledermatoscopy</w:t>
      </w:r>
      <w:proofErr w:type="spellEnd"/>
      <w:r w:rsidR="00255B2F" w:rsidRPr="00D13AF1">
        <w:t xml:space="preserve"> or equipment of equivalent quality should be used whenever possible;</w:t>
      </w:r>
    </w:p>
    <w:p w14:paraId="4AFDB0E0" w14:textId="7E95657A" w:rsidR="00255B2F" w:rsidRPr="00D13AF1" w:rsidRDefault="00E315ED" w:rsidP="00255B2F">
      <w:pPr>
        <w:pStyle w:val="Bulletlevel1"/>
      </w:pPr>
      <w:r w:rsidRPr="00D13AF1">
        <w:t>h</w:t>
      </w:r>
      <w:r w:rsidR="00255B2F" w:rsidRPr="00D13AF1">
        <w:t>ospitals with waiting lists for dermatology appointments should articulate efforts with ACES (Decentralised Health Centre Groups) to promote teledermatological screenings.</w:t>
      </w:r>
    </w:p>
    <w:p w14:paraId="01774D82" w14:textId="77777777" w:rsidR="00255B2F" w:rsidRPr="00D13AF1" w:rsidRDefault="00255B2F" w:rsidP="00255B2F">
      <w:pPr>
        <w:pStyle w:val="BodyEE"/>
      </w:pPr>
      <w:r w:rsidRPr="00D13AF1">
        <w:t>In all other medical specialties, the first consultation must always be on-site, but subsequent consultations, should be conducted whenever possible in real-time.</w:t>
      </w:r>
      <w:r w:rsidRPr="00D13AF1">
        <w:rPr>
          <w:rStyle w:val="FootnoteReference"/>
        </w:rPr>
        <w:footnoteReference w:id="109"/>
      </w:r>
    </w:p>
    <w:p w14:paraId="58E51651" w14:textId="77777777" w:rsidR="00255B2F" w:rsidRPr="00D13AF1" w:rsidRDefault="00255B2F" w:rsidP="00255B2F">
      <w:pPr>
        <w:pStyle w:val="Heading3Pink"/>
      </w:pPr>
      <w:bookmarkStart w:id="179" w:name="_Ref499732079"/>
      <w:r w:rsidRPr="00D13AF1">
        <w:t>Cross-jurisdiction issues in telemedicine</w:t>
      </w:r>
      <w:bookmarkEnd w:id="179"/>
    </w:p>
    <w:p w14:paraId="67961411" w14:textId="77777777" w:rsidR="00255B2F" w:rsidRPr="00D13AF1" w:rsidRDefault="00255B2F" w:rsidP="00255B2F">
      <w:pPr>
        <w:pStyle w:val="BodyEE"/>
      </w:pPr>
      <w:r w:rsidRPr="00D13AF1">
        <w:t xml:space="preserve">The Decree does not mention cross-jurisdiction provision of telemedicine. </w:t>
      </w:r>
    </w:p>
    <w:p w14:paraId="038CB209" w14:textId="77777777" w:rsidR="00255B2F" w:rsidRPr="00D13AF1" w:rsidRDefault="00255B2F" w:rsidP="00255B2F">
      <w:pPr>
        <w:pStyle w:val="Heading2Pink"/>
      </w:pPr>
      <w:bookmarkStart w:id="180" w:name="_Toc504484167"/>
      <w:bookmarkStart w:id="181" w:name="_Hlk494365565"/>
      <w:proofErr w:type="spellStart"/>
      <w:r w:rsidRPr="00D13AF1">
        <w:t>Ordem</w:t>
      </w:r>
      <w:proofErr w:type="spellEnd"/>
      <w:r w:rsidRPr="00D13AF1">
        <w:t xml:space="preserve"> dos </w:t>
      </w:r>
      <w:proofErr w:type="spellStart"/>
      <w:r w:rsidRPr="00D13AF1">
        <w:t>Médicos</w:t>
      </w:r>
      <w:proofErr w:type="spellEnd"/>
      <w:r w:rsidRPr="00D13AF1">
        <w:t xml:space="preserve"> (Order of Physicians)</w:t>
      </w:r>
      <w:r w:rsidRPr="00D13AF1">
        <w:rPr>
          <w:rStyle w:val="FootnoteReference"/>
        </w:rPr>
        <w:footnoteReference w:id="110"/>
      </w:r>
      <w:bookmarkEnd w:id="180"/>
      <w:r w:rsidRPr="00D13AF1">
        <w:t xml:space="preserve"> </w:t>
      </w:r>
    </w:p>
    <w:p w14:paraId="4796BF49" w14:textId="77777777" w:rsidR="00255B2F" w:rsidRPr="00D13AF1" w:rsidRDefault="00255B2F" w:rsidP="00255B2F">
      <w:pPr>
        <w:pStyle w:val="Heading3Pink"/>
      </w:pPr>
      <w:bookmarkStart w:id="182" w:name="_Ref499730783"/>
      <w:bookmarkEnd w:id="181"/>
      <w:r w:rsidRPr="00D13AF1">
        <w:t>Definition of telemedicine</w:t>
      </w:r>
      <w:bookmarkEnd w:id="182"/>
    </w:p>
    <w:p w14:paraId="7D354050" w14:textId="77777777" w:rsidR="00255B2F" w:rsidRPr="00D13AF1" w:rsidRDefault="00255B2F" w:rsidP="00255B2F">
      <w:pPr>
        <w:pStyle w:val="BodyEE"/>
      </w:pPr>
      <w:bookmarkStart w:id="183" w:name="_Hlk494365569"/>
      <w:r w:rsidRPr="00D13AF1">
        <w:t xml:space="preserve">The Order is a member of the European Council of Medical Orders (CEOM), which has issued an official statement on telemedicine in 2014. </w:t>
      </w:r>
    </w:p>
    <w:p w14:paraId="7EF1335F" w14:textId="77777777" w:rsidR="00255B2F" w:rsidRPr="00D13AF1" w:rsidRDefault="00255B2F" w:rsidP="00255B2F">
      <w:pPr>
        <w:pStyle w:val="BodyEE"/>
      </w:pPr>
      <w:r w:rsidRPr="00D13AF1">
        <w:t xml:space="preserve">The CEOM calls for telemedicine to be defined as a form of medical activity in which ICT is used for the benefit of the patient. This technology allows for a remote link to be established with a patient and a physician or for two or more physicians, possibly assisted by other healthcare professionals, to exchange medical data and assist each other in making a diagnosis, taking decisions and providing care and treatment, whilst ensuring that the deontological rules incumbent upon each medical and healthcare profession are adhered to. They </w:t>
      </w:r>
      <w:r w:rsidRPr="00D13AF1">
        <w:lastRenderedPageBreak/>
        <w:t>must be licensed to practice their profession in the Member State of establishment and throughout the European Union.</w:t>
      </w:r>
    </w:p>
    <w:p w14:paraId="064CBC86" w14:textId="77777777" w:rsidR="00255B2F" w:rsidRPr="00D13AF1" w:rsidRDefault="00255B2F" w:rsidP="00255B2F">
      <w:pPr>
        <w:pStyle w:val="BodyEE"/>
        <w:rPr>
          <w:b/>
        </w:rPr>
      </w:pPr>
      <w:r w:rsidRPr="00D13AF1">
        <w:t>“CEOM reminds that a clear legal distinction should be drawn between telemedicine and other e-health services, including other health-related digital aspects. Whilst some e-healthcare applications may fall under the scope of e-commerce, telemedicine does not, as it is a medical act ruled by its own legal framework to ensure physician competence and respect of patients' rights.</w:t>
      </w:r>
    </w:p>
    <w:p w14:paraId="48E921A4" w14:textId="77777777" w:rsidR="00255B2F" w:rsidRPr="00D13AF1" w:rsidRDefault="00255B2F" w:rsidP="00255B2F">
      <w:pPr>
        <w:pStyle w:val="Heading3Pink"/>
      </w:pPr>
      <w:bookmarkStart w:id="184" w:name="_Ref499731312"/>
      <w:bookmarkEnd w:id="183"/>
      <w:r w:rsidRPr="00D13AF1">
        <w:t>Regulation of individual doctors who provide telemedicine services</w:t>
      </w:r>
      <w:bookmarkEnd w:id="184"/>
    </w:p>
    <w:p w14:paraId="32BC7CED" w14:textId="77777777" w:rsidR="00255B2F" w:rsidRPr="00D13AF1" w:rsidRDefault="00255B2F" w:rsidP="00255B2F">
      <w:pPr>
        <w:pStyle w:val="BodyEE"/>
      </w:pPr>
      <w:r w:rsidRPr="00D13AF1">
        <w:t>CEOM underscores that the use of ICT in the practice of telemedicine does not introduce any specific provisions in EU Member States' codes of medical ethics nor the European Charter of Medical Ethics. Existing ethical and deontological principles shall indeed remain in place and be applicable to telemedicine practice.</w:t>
      </w:r>
    </w:p>
    <w:p w14:paraId="04115C9A" w14:textId="77777777" w:rsidR="00255B2F" w:rsidRPr="00D13AF1" w:rsidRDefault="00255B2F" w:rsidP="00255B2F">
      <w:pPr>
        <w:pStyle w:val="BodyEE"/>
      </w:pPr>
      <w:r w:rsidRPr="00D13AF1">
        <w:t>CEOM reminds that in the practice of telemedicine, patients' rights are to be respected in the same way as when treatment is traditionally provided in person. In the practice of remote medical care, greater awareness is needed of the security restrictions regarding medical data confidentiality, the robustness and reliability of IT systems used. The patient must be informed of the need for treatment, the advantages, consequences and impact thereof and the means by which the treatment shall be administered and free consent must be given.</w:t>
      </w:r>
    </w:p>
    <w:p w14:paraId="291A44E2" w14:textId="06FBF83F" w:rsidR="00255B2F" w:rsidRPr="00D13AF1" w:rsidRDefault="00255B2F" w:rsidP="00255B2F">
      <w:pPr>
        <w:pStyle w:val="BodyEE"/>
      </w:pPr>
      <w:r w:rsidRPr="00D13AF1">
        <w:t xml:space="preserve">CEOM recommends that the scope of individual liability be defined for each party as well as the one which would be shared by all healthcare professionals engaged in a telemedicine act. These responsibilities are initially vis-a-vis the patient but are also shared by colleagues, other healthcare professionals or technical staff with whom physicians may be working. </w:t>
      </w:r>
    </w:p>
    <w:p w14:paraId="6FD149C5" w14:textId="77777777" w:rsidR="00255B2F" w:rsidRPr="00D13AF1" w:rsidRDefault="00255B2F" w:rsidP="00255B2F">
      <w:pPr>
        <w:pStyle w:val="BodyEE"/>
      </w:pPr>
      <w:r w:rsidRPr="00D13AF1">
        <w:t>All healthcare professionals shall work within their field of competency, for which there is a legal regulatory framework. In the framework of validated protocols and by ensuring IT security, the implementation of best practices must be guaranteed in remote communication including collecting, storing, sending and processing patients' personal health data. The safety, availability and reliability of technological devices whose responsibility falls under the technological third-party must be guaranteed.</w:t>
      </w:r>
    </w:p>
    <w:p w14:paraId="4B080932" w14:textId="77777777" w:rsidR="00255B2F" w:rsidRPr="00D13AF1" w:rsidRDefault="00255B2F" w:rsidP="00255B2F">
      <w:pPr>
        <w:pStyle w:val="Heading3Pink"/>
      </w:pPr>
      <w:bookmarkStart w:id="185" w:name="_Ref499732087"/>
      <w:r w:rsidRPr="00D13AF1">
        <w:t>Cross-jurisdiction issues in telemedicine</w:t>
      </w:r>
      <w:bookmarkEnd w:id="185"/>
    </w:p>
    <w:p w14:paraId="0E559C1B" w14:textId="77777777" w:rsidR="00255B2F" w:rsidRPr="00D13AF1" w:rsidRDefault="00255B2F" w:rsidP="00255B2F">
      <w:pPr>
        <w:pStyle w:val="BodyEE"/>
      </w:pPr>
      <w:r w:rsidRPr="00D13AF1">
        <w:t>All practitioners must be covered by liability insurance stating the competent jurisdiction in case of any disputes. Article 3d) of Directive 2011/24/EU on cross border healthcare states that the applicable law is that of the Member State in which the practitioner is established.</w:t>
      </w:r>
    </w:p>
    <w:p w14:paraId="05528297" w14:textId="77777777" w:rsidR="00255B2F" w:rsidRPr="00D13AF1" w:rsidRDefault="00255B2F" w:rsidP="001E393E">
      <w:pPr>
        <w:pStyle w:val="Heading1"/>
        <w:rPr>
          <w:color w:val="C64187" w:themeColor="accent2"/>
        </w:rPr>
      </w:pPr>
      <w:bookmarkStart w:id="186" w:name="_Toc504484168"/>
      <w:r w:rsidRPr="00D13AF1">
        <w:rPr>
          <w:color w:val="C64187" w:themeColor="accent2"/>
        </w:rPr>
        <w:lastRenderedPageBreak/>
        <w:t>Singapore</w:t>
      </w:r>
      <w:bookmarkEnd w:id="186"/>
    </w:p>
    <w:p w14:paraId="496898F9" w14:textId="77777777" w:rsidR="00255B2F" w:rsidRPr="00D13AF1" w:rsidRDefault="00255B2F" w:rsidP="00255B2F">
      <w:pPr>
        <w:pStyle w:val="Heading2Pink"/>
      </w:pPr>
      <w:bookmarkStart w:id="187" w:name="_Toc504484169"/>
      <w:r w:rsidRPr="00D13AF1">
        <w:t>Country level overview</w:t>
      </w:r>
      <w:bookmarkEnd w:id="187"/>
    </w:p>
    <w:p w14:paraId="4CC15230" w14:textId="77777777" w:rsidR="00255B2F" w:rsidRPr="00D13AF1" w:rsidRDefault="00255B2F" w:rsidP="00255B2F">
      <w:pPr>
        <w:pStyle w:val="Heading3Pink"/>
      </w:pPr>
      <w:r w:rsidRPr="00D13AF1">
        <w:t xml:space="preserve">Relevant organisations </w:t>
      </w:r>
    </w:p>
    <w:p w14:paraId="2F7ACB16" w14:textId="5E054664" w:rsidR="00255B2F" w:rsidRPr="00D13AF1" w:rsidRDefault="00CF4701" w:rsidP="00255B2F">
      <w:pPr>
        <w:pStyle w:val="Bulletlevel1"/>
        <w:rPr>
          <w:lang w:eastAsia="en-GB"/>
        </w:rPr>
      </w:pPr>
      <w:r w:rsidRPr="00D13AF1">
        <w:rPr>
          <w:lang w:eastAsia="en-GB"/>
        </w:rPr>
        <w:t>Ministry of Health of Singapore</w:t>
      </w:r>
    </w:p>
    <w:p w14:paraId="14CDE80E" w14:textId="09EDB2F5" w:rsidR="00255B2F" w:rsidRPr="00D13AF1" w:rsidRDefault="00CF4701" w:rsidP="00255B2F">
      <w:pPr>
        <w:pStyle w:val="Bulletlevel1"/>
        <w:rPr>
          <w:lang w:eastAsia="en-GB"/>
        </w:rPr>
      </w:pPr>
      <w:r w:rsidRPr="00D13AF1">
        <w:rPr>
          <w:lang w:eastAsia="en-GB"/>
        </w:rPr>
        <w:t>Singapore Medical Council</w:t>
      </w:r>
    </w:p>
    <w:p w14:paraId="3A4C2B7E" w14:textId="77777777" w:rsidR="00255B2F" w:rsidRPr="00D13AF1" w:rsidRDefault="00255B2F" w:rsidP="00255B2F">
      <w:pPr>
        <w:pStyle w:val="Heading3Pink"/>
      </w:pPr>
      <w:r w:rsidRPr="00D13AF1">
        <w:t xml:space="preserve">Regulatory frameworks </w:t>
      </w:r>
    </w:p>
    <w:p w14:paraId="3E59947B" w14:textId="7EEECDBF" w:rsidR="00255B2F" w:rsidRPr="00D13AF1" w:rsidRDefault="00255B2F" w:rsidP="00CF4701">
      <w:pPr>
        <w:pStyle w:val="BodyEE"/>
        <w:keepNext/>
      </w:pPr>
      <w:r w:rsidRPr="00D13AF1">
        <w:t>Regulation of health care in Singapore includes two main elements: licencing of medical organisations and regulation of medical professionals. The umbrella organisation is the Ministry of Health of Singapore (</w:t>
      </w:r>
      <w:proofErr w:type="spellStart"/>
      <w:r w:rsidRPr="00D13AF1">
        <w:t>MoH</w:t>
      </w:r>
      <w:r w:rsidR="009640B6" w:rsidRPr="00D13AF1">
        <w:t>S</w:t>
      </w:r>
      <w:proofErr w:type="spellEnd"/>
      <w:r w:rsidRPr="00D13AF1">
        <w:t>). There are seven professional bodies that cover different types of individual professionals:</w:t>
      </w:r>
      <w:r w:rsidRPr="00D13AF1">
        <w:rPr>
          <w:rStyle w:val="FootnoteReference"/>
        </w:rPr>
        <w:footnoteReference w:id="111"/>
      </w:r>
    </w:p>
    <w:p w14:paraId="0DA20076" w14:textId="7FF7E325" w:rsidR="00255B2F" w:rsidRPr="00D13AF1" w:rsidRDefault="00AA37A2" w:rsidP="00255B2F">
      <w:pPr>
        <w:pStyle w:val="Bulletlevel1"/>
      </w:pPr>
      <w:r w:rsidRPr="00D13AF1">
        <w:t>Singapore Medical Council;</w:t>
      </w:r>
    </w:p>
    <w:p w14:paraId="1AF8772D" w14:textId="092F978A" w:rsidR="00255B2F" w:rsidRPr="00D13AF1" w:rsidRDefault="00AA37A2" w:rsidP="00255B2F">
      <w:pPr>
        <w:pStyle w:val="Bulletlevel1"/>
      </w:pPr>
      <w:r w:rsidRPr="00D13AF1">
        <w:t>Singapore Dental Council;</w:t>
      </w:r>
    </w:p>
    <w:p w14:paraId="4900B7B0" w14:textId="6C7A5EBB" w:rsidR="00255B2F" w:rsidRPr="00D13AF1" w:rsidRDefault="00AA37A2" w:rsidP="00255B2F">
      <w:pPr>
        <w:pStyle w:val="Bulletlevel1"/>
      </w:pPr>
      <w:r w:rsidRPr="00D13AF1">
        <w:t>Singapore Nursing Board;</w:t>
      </w:r>
    </w:p>
    <w:p w14:paraId="3B93B993" w14:textId="3160711E" w:rsidR="00255B2F" w:rsidRPr="00D13AF1" w:rsidRDefault="00AA37A2" w:rsidP="00255B2F">
      <w:pPr>
        <w:pStyle w:val="Bulletlevel1"/>
      </w:pPr>
      <w:r w:rsidRPr="00D13AF1">
        <w:t>Singapore Pharmacy Council;</w:t>
      </w:r>
    </w:p>
    <w:p w14:paraId="2D42FFB0" w14:textId="49D43F08" w:rsidR="00255B2F" w:rsidRPr="00D13AF1" w:rsidRDefault="00255B2F" w:rsidP="00255B2F">
      <w:pPr>
        <w:pStyle w:val="Bulletlevel1"/>
      </w:pPr>
      <w:r w:rsidRPr="00D13AF1">
        <w:t>Traditional Chine</w:t>
      </w:r>
      <w:r w:rsidR="00AA37A2" w:rsidRPr="00D13AF1">
        <w:t>se Medicine Practitioners Board;</w:t>
      </w:r>
    </w:p>
    <w:p w14:paraId="7E57E11E" w14:textId="30766116" w:rsidR="00255B2F" w:rsidRPr="00D13AF1" w:rsidRDefault="00AA37A2" w:rsidP="00255B2F">
      <w:pPr>
        <w:pStyle w:val="Bulletlevel1"/>
      </w:pPr>
      <w:r w:rsidRPr="00D13AF1">
        <w:t>Optometrists &amp; Opticians Board;</w:t>
      </w:r>
    </w:p>
    <w:p w14:paraId="0C644878" w14:textId="77777777" w:rsidR="00255B2F" w:rsidRPr="00D13AF1" w:rsidRDefault="00255B2F" w:rsidP="00255B2F">
      <w:pPr>
        <w:pStyle w:val="Bulletlevel1"/>
      </w:pPr>
      <w:r w:rsidRPr="00D13AF1">
        <w:t>Allied Health Professions Council.</w:t>
      </w:r>
    </w:p>
    <w:p w14:paraId="7E3CCDC6" w14:textId="77777777" w:rsidR="00255B2F" w:rsidRPr="00D13AF1" w:rsidRDefault="00255B2F" w:rsidP="00255B2F">
      <w:pPr>
        <w:pStyle w:val="BodyEE"/>
      </w:pPr>
      <w:r w:rsidRPr="00D13AF1">
        <w:t>Further, the Health Science Authority is responsible for regulating health related products, medical equipment, and healthcare supplement.</w:t>
      </w:r>
    </w:p>
    <w:p w14:paraId="44B469B7" w14:textId="12B99354" w:rsidR="00255B2F" w:rsidRPr="00D13AF1" w:rsidRDefault="00255B2F" w:rsidP="00255B2F">
      <w:pPr>
        <w:pStyle w:val="BodyEE"/>
      </w:pPr>
      <w:r w:rsidRPr="00D13AF1">
        <w:t xml:space="preserve">The </w:t>
      </w:r>
      <w:proofErr w:type="spellStart"/>
      <w:r w:rsidRPr="00D13AF1">
        <w:t>MoH</w:t>
      </w:r>
      <w:r w:rsidR="009640B6" w:rsidRPr="00D13AF1">
        <w:t>S</w:t>
      </w:r>
      <w:proofErr w:type="spellEnd"/>
      <w:r w:rsidRPr="00D13AF1">
        <w:t xml:space="preserve"> is responsible for licencing medical organisations, clinics, hospitals, laboratories, etc. The </w:t>
      </w:r>
      <w:proofErr w:type="spellStart"/>
      <w:r w:rsidRPr="00D13AF1">
        <w:t>MoH</w:t>
      </w:r>
      <w:r w:rsidR="009640B6" w:rsidRPr="00D13AF1">
        <w:t>S</w:t>
      </w:r>
      <w:proofErr w:type="spellEnd"/>
      <w:r w:rsidRPr="00D13AF1">
        <w:t xml:space="preserve"> publishes guidelines for medical organisations, processes licencing application and conducts inspections</w:t>
      </w:r>
    </w:p>
    <w:p w14:paraId="3F45D45E" w14:textId="77777777" w:rsidR="00B07305" w:rsidRPr="00D13AF1" w:rsidRDefault="00B07305" w:rsidP="00B07305">
      <w:pPr>
        <w:pStyle w:val="BodyEE"/>
      </w:pPr>
      <w:r w:rsidRPr="00D13AF1">
        <w:t>The SMC regulates registered medical practitioners in Singapore. The functions of the SMC under section 5 of the Medical Registration Act (MRA) are as follows:</w:t>
      </w:r>
      <w:r w:rsidRPr="00D13AF1">
        <w:rPr>
          <w:rStyle w:val="FootnoteReference"/>
        </w:rPr>
        <w:footnoteReference w:id="112"/>
      </w:r>
    </w:p>
    <w:p w14:paraId="74F0DDE1" w14:textId="77777777" w:rsidR="00B07305" w:rsidRPr="00D13AF1" w:rsidRDefault="00B07305" w:rsidP="00B07305">
      <w:pPr>
        <w:pStyle w:val="Bulletlevel1"/>
      </w:pPr>
      <w:r w:rsidRPr="00D13AF1">
        <w:t>to keep and maintain registers of registered medical practitioners;</w:t>
      </w:r>
    </w:p>
    <w:p w14:paraId="577D08BB" w14:textId="77777777" w:rsidR="00B07305" w:rsidRPr="00D13AF1" w:rsidRDefault="00B07305" w:rsidP="00B07305">
      <w:pPr>
        <w:pStyle w:val="Bulletlevel1"/>
      </w:pPr>
      <w:r w:rsidRPr="00D13AF1">
        <w:t>to approve or reject applications for registration under the MRA or to approve any such application subject to such restrictions as it may think fit;</w:t>
      </w:r>
    </w:p>
    <w:p w14:paraId="72C4E1D8" w14:textId="77777777" w:rsidR="00B07305" w:rsidRPr="00D13AF1" w:rsidRDefault="00B07305" w:rsidP="00B07305">
      <w:pPr>
        <w:pStyle w:val="Bulletlevel1"/>
      </w:pPr>
      <w:r w:rsidRPr="00D13AF1">
        <w:t>to issue practising certificates to registered medical practitioners;</w:t>
      </w:r>
    </w:p>
    <w:p w14:paraId="06191B9A" w14:textId="77777777" w:rsidR="00B07305" w:rsidRPr="00D13AF1" w:rsidRDefault="00B07305" w:rsidP="00B07305">
      <w:pPr>
        <w:pStyle w:val="Bulletlevel1"/>
      </w:pPr>
      <w:r w:rsidRPr="00D13AF1">
        <w:t>to make recommendations to the appropriate authorities on the courses of instructions and examinations leading to the Singapore degree;</w:t>
      </w:r>
    </w:p>
    <w:p w14:paraId="0C448770" w14:textId="77777777" w:rsidR="00B07305" w:rsidRPr="00D13AF1" w:rsidRDefault="00B07305" w:rsidP="00B07305">
      <w:pPr>
        <w:pStyle w:val="Bulletlevel1"/>
      </w:pPr>
      <w:r w:rsidRPr="00D13AF1">
        <w:t>to make recommendations to the appropriate authorities for the training and education of registered medical practitioners;</w:t>
      </w:r>
    </w:p>
    <w:p w14:paraId="3C0C98C6" w14:textId="77777777" w:rsidR="00B07305" w:rsidRPr="00D13AF1" w:rsidRDefault="00B07305" w:rsidP="00B07305">
      <w:pPr>
        <w:pStyle w:val="Bulletlevel1"/>
      </w:pPr>
      <w:r w:rsidRPr="00D13AF1">
        <w:t>to determine and regulate the conduct and ethics of registered medical practitioners;</w:t>
      </w:r>
    </w:p>
    <w:p w14:paraId="4A4DA98A" w14:textId="77777777" w:rsidR="00B07305" w:rsidRPr="00D13AF1" w:rsidRDefault="00B07305" w:rsidP="00B07305">
      <w:pPr>
        <w:pStyle w:val="Bulletlevel1"/>
      </w:pPr>
      <w:r w:rsidRPr="00D13AF1">
        <w:t>to determine and regulate standards of practice and the competence of registered medical practitioners within the medical profession;</w:t>
      </w:r>
    </w:p>
    <w:p w14:paraId="206DE329" w14:textId="77777777" w:rsidR="00B07305" w:rsidRPr="00D13AF1" w:rsidRDefault="00B07305" w:rsidP="00B07305">
      <w:pPr>
        <w:pStyle w:val="Bulletlevel1"/>
      </w:pPr>
      <w:r w:rsidRPr="00D13AF1">
        <w:t>to provide administrative services to other bodies (whether corporate or unincorporate) responsible for the regulation of healthcare professionals; and</w:t>
      </w:r>
    </w:p>
    <w:p w14:paraId="32B04F12" w14:textId="77777777" w:rsidR="00B07305" w:rsidRPr="00D13AF1" w:rsidRDefault="00B07305" w:rsidP="00B07305">
      <w:pPr>
        <w:pStyle w:val="Bulletlevel1"/>
      </w:pPr>
      <w:proofErr w:type="gramStart"/>
      <w:r w:rsidRPr="00D13AF1">
        <w:lastRenderedPageBreak/>
        <w:t>generally</w:t>
      </w:r>
      <w:proofErr w:type="gramEnd"/>
      <w:r w:rsidRPr="00D13AF1">
        <w:t xml:space="preserve"> to do all such acts and matters and things as are necessary to be carried out under the MRA.</w:t>
      </w:r>
    </w:p>
    <w:p w14:paraId="79F8CA7E" w14:textId="7EF70CE9" w:rsidR="00255B2F" w:rsidRPr="00D13AF1" w:rsidRDefault="00255B2F" w:rsidP="00255B2F">
      <w:pPr>
        <w:pStyle w:val="BodyEE"/>
      </w:pPr>
      <w:r w:rsidRPr="00D13AF1">
        <w:t xml:space="preserve">Regulation of telemedicine is part of guidelines and ethics standards for doctors published by the SMC. </w:t>
      </w:r>
    </w:p>
    <w:p w14:paraId="46A68FF4" w14:textId="24752E83" w:rsidR="00177C38" w:rsidRPr="00D13AF1" w:rsidRDefault="00177C38" w:rsidP="00177C38">
      <w:pPr>
        <w:pStyle w:val="BodyEE"/>
      </w:pPr>
      <w:r w:rsidRPr="00D13AF1">
        <w:t>As per information from the online survey — the SMC has formal regulations and/or policies regarding telemedicine. It develops requirements in the following areas:</w:t>
      </w:r>
    </w:p>
    <w:p w14:paraId="727011A1" w14:textId="45ED3D51" w:rsidR="00177C38" w:rsidRPr="00D13AF1" w:rsidRDefault="00177C38" w:rsidP="00177C38">
      <w:pPr>
        <w:pStyle w:val="Bulletlevel1"/>
      </w:pPr>
      <w:r w:rsidRPr="00D13AF1">
        <w:t>standards of work;</w:t>
      </w:r>
    </w:p>
    <w:p w14:paraId="50614898" w14:textId="5980CE9B" w:rsidR="00177C38" w:rsidRPr="00D13AF1" w:rsidRDefault="00177C38" w:rsidP="00177C38">
      <w:pPr>
        <w:pStyle w:val="Bulletlevel1"/>
      </w:pPr>
      <w:r w:rsidRPr="00D13AF1">
        <w:t>discipline and/or fitness to practise.</w:t>
      </w:r>
    </w:p>
    <w:p w14:paraId="3F2AD9D8" w14:textId="7442F99A" w:rsidR="00177C38" w:rsidRPr="00D13AF1" w:rsidRDefault="00177C38" w:rsidP="00177C38">
      <w:pPr>
        <w:pStyle w:val="BodyEE"/>
      </w:pPr>
      <w:r w:rsidRPr="00D13AF1">
        <w:t>Interaction with the Ministry of Health of Singapore</w:t>
      </w:r>
      <w:r w:rsidR="009640B6" w:rsidRPr="00D13AF1">
        <w:t xml:space="preserve"> (</w:t>
      </w:r>
      <w:proofErr w:type="spellStart"/>
      <w:r w:rsidR="009640B6" w:rsidRPr="00D13AF1">
        <w:t>MoHS</w:t>
      </w:r>
      <w:proofErr w:type="spellEnd"/>
      <w:r w:rsidR="009640B6" w:rsidRPr="00D13AF1">
        <w:t>)</w:t>
      </w:r>
      <w:r w:rsidRPr="00D13AF1">
        <w:t>:</w:t>
      </w:r>
    </w:p>
    <w:p w14:paraId="69F3F926" w14:textId="4800AFB6" w:rsidR="00177C38" w:rsidRPr="00D13AF1" w:rsidRDefault="00177C38" w:rsidP="00177C38">
      <w:pPr>
        <w:pStyle w:val="Bulletlevel1"/>
      </w:pPr>
      <w:r w:rsidRPr="00D13AF1">
        <w:t xml:space="preserve">The </w:t>
      </w:r>
      <w:proofErr w:type="spellStart"/>
      <w:r w:rsidRPr="00D13AF1">
        <w:t>M</w:t>
      </w:r>
      <w:r w:rsidR="009640B6" w:rsidRPr="00D13AF1">
        <w:t>o</w:t>
      </w:r>
      <w:r w:rsidRPr="00D13AF1">
        <w:t>H</w:t>
      </w:r>
      <w:r w:rsidR="009640B6" w:rsidRPr="00D13AF1">
        <w:t>S</w:t>
      </w:r>
      <w:proofErr w:type="spellEnd"/>
      <w:r w:rsidRPr="00D13AF1">
        <w:t xml:space="preserve"> has issued a set of National Telemedicine Guidelines in 2015 via the National Telemedicine Advisory Committee (NTAC) to guide healthcare providers in the safe and appropriate delivery of healthcare services through the use of telemedicine. The Health Regulation Group in </w:t>
      </w:r>
      <w:r w:rsidR="009640B6" w:rsidRPr="00D13AF1">
        <w:t xml:space="preserve">the </w:t>
      </w:r>
      <w:proofErr w:type="spellStart"/>
      <w:r w:rsidRPr="00D13AF1">
        <w:t>M</w:t>
      </w:r>
      <w:r w:rsidR="009640B6" w:rsidRPr="00D13AF1">
        <w:t>o</w:t>
      </w:r>
      <w:r w:rsidRPr="00D13AF1">
        <w:t>H</w:t>
      </w:r>
      <w:r w:rsidR="009640B6" w:rsidRPr="00D13AF1">
        <w:t>S</w:t>
      </w:r>
      <w:proofErr w:type="spellEnd"/>
      <w:r w:rsidRPr="00D13AF1">
        <w:t xml:space="preserve"> is also looking into regulating telemedicine services under a new legislation, the Healthcare Services Act (HCSA), in the coming 1-2 years. In the interim, MOH will be actively engaging the telehealth providers to better understand their existing and emerging business models, so as to develop an efficient and effective regulatory regime for telemedicine under HCSA. SMC partners closely with MOH in complementing the regulation of telemedicine conducted by doctors in Singapore.</w:t>
      </w:r>
    </w:p>
    <w:p w14:paraId="4FAA2429" w14:textId="5D61BDBF" w:rsidR="00177C38" w:rsidRPr="00D13AF1" w:rsidRDefault="00177C38" w:rsidP="00177C38">
      <w:pPr>
        <w:pStyle w:val="BodyEE"/>
      </w:pPr>
      <w:r w:rsidRPr="00D13AF1">
        <w:t xml:space="preserve">There has been a recent interest and rise of telemedicine apps in Singapore. </w:t>
      </w:r>
      <w:proofErr w:type="spellStart"/>
      <w:r w:rsidRPr="00D13AF1">
        <w:t>M</w:t>
      </w:r>
      <w:r w:rsidR="009640B6" w:rsidRPr="00D13AF1">
        <w:t>o</w:t>
      </w:r>
      <w:r w:rsidRPr="00D13AF1">
        <w:t>H</w:t>
      </w:r>
      <w:r w:rsidR="009640B6" w:rsidRPr="00D13AF1">
        <w:t>S</w:t>
      </w:r>
      <w:proofErr w:type="spellEnd"/>
      <w:r w:rsidRPr="00D13AF1">
        <w:t xml:space="preserve"> and SMC’s views on this issue </w:t>
      </w:r>
      <w:r w:rsidR="0043336A">
        <w:t>were</w:t>
      </w:r>
      <w:r w:rsidR="0043336A" w:rsidRPr="00D13AF1">
        <w:t xml:space="preserve"> </w:t>
      </w:r>
      <w:r w:rsidRPr="00D13AF1">
        <w:t>reported in the press on Friday, 15 Sep 2017:</w:t>
      </w:r>
    </w:p>
    <w:p w14:paraId="4D3A0E50" w14:textId="77777777" w:rsidR="00177C38" w:rsidRPr="00D13AF1" w:rsidRDefault="00177C38" w:rsidP="00177C38">
      <w:pPr>
        <w:pStyle w:val="Bulletlevel1"/>
      </w:pPr>
      <w:r w:rsidRPr="00D13AF1">
        <w:t>The issuance of a medical certificate by a doctor, regardless of whether it is in a paper or electronic format, carries with it the responsibility to ensure that the patient requires it on proper medical grounds and that such grounds have been arrived at through comprehensive clinical assessment,” an MOH spokesperson told Channel NewsAsia.</w:t>
      </w:r>
    </w:p>
    <w:p w14:paraId="6E04BBD3" w14:textId="03FB6BD3" w:rsidR="00177C38" w:rsidRPr="00D13AF1" w:rsidRDefault="00177C38" w:rsidP="00255B2F">
      <w:pPr>
        <w:pStyle w:val="Bulletlevel1"/>
      </w:pPr>
      <w:r w:rsidRPr="00D13AF1">
        <w:t>When medical certificates are generated electronically and where doctors are in control of the systems, doctors must ensure that there are security protocols to prevent fraudulent issuance of the certificates.</w:t>
      </w:r>
    </w:p>
    <w:p w14:paraId="587D3D02" w14:textId="77777777" w:rsidR="00255B2F" w:rsidRPr="00D13AF1" w:rsidRDefault="00255B2F" w:rsidP="00255B2F">
      <w:pPr>
        <w:pStyle w:val="Heading2Pink"/>
        <w:rPr>
          <w:lang w:eastAsia="en-GB"/>
        </w:rPr>
      </w:pPr>
      <w:bookmarkStart w:id="188" w:name="_Toc504484170"/>
      <w:bookmarkStart w:id="189" w:name="_Hlk494365578"/>
      <w:r w:rsidRPr="00D13AF1">
        <w:t>Singapore Medical Council</w:t>
      </w:r>
      <w:bookmarkEnd w:id="188"/>
    </w:p>
    <w:p w14:paraId="579A4BAB" w14:textId="77777777" w:rsidR="00255B2F" w:rsidRPr="00D13AF1" w:rsidRDefault="00255B2F" w:rsidP="00255B2F">
      <w:pPr>
        <w:pStyle w:val="Heading3Pink"/>
      </w:pPr>
      <w:bookmarkStart w:id="190" w:name="_Ref499730793"/>
      <w:bookmarkEnd w:id="189"/>
      <w:r w:rsidRPr="00D13AF1">
        <w:t>Definition of telemedicine</w:t>
      </w:r>
      <w:bookmarkEnd w:id="190"/>
    </w:p>
    <w:p w14:paraId="5555C612" w14:textId="1DC1528A" w:rsidR="00255B2F" w:rsidRPr="00D13AF1" w:rsidRDefault="009924F3" w:rsidP="009924F3">
      <w:pPr>
        <w:pStyle w:val="LongQuotePurple"/>
      </w:pPr>
      <w:bookmarkStart w:id="191" w:name="_Hlk494365583"/>
      <w:r w:rsidRPr="00D13AF1">
        <w:t>Telemedicine refers to the systematic, structured use of telecommunications and information technology to deliver medical services or information over distances, across geographical or legal borders, with or without an intervening or intermediary healthcare professional. The essential characteristics of telemedicine are that interventions, diagnostic and treatment decisions and recommendations are based on data transmitted across distances by electronic, digital and other transmission systems. Telemedicine also affords the possibility of engaging in education and research by means of transmitted information.</w:t>
      </w:r>
    </w:p>
    <w:p w14:paraId="6A9FBE5A" w14:textId="25264D82" w:rsidR="009924F3" w:rsidRPr="00D13AF1" w:rsidRDefault="001034D7" w:rsidP="009924F3">
      <w:pPr>
        <w:pStyle w:val="LongQuotePurple"/>
      </w:pPr>
      <w:r w:rsidRPr="00D13AF1">
        <w:t xml:space="preserve">— </w:t>
      </w:r>
      <w:r w:rsidR="009924F3" w:rsidRPr="00D13AF1">
        <w:t>“SMC Handbook on Medical Ethics 2016”, Section A6.1</w:t>
      </w:r>
    </w:p>
    <w:p w14:paraId="569C9068" w14:textId="77777777" w:rsidR="00255B2F" w:rsidRPr="00D13AF1" w:rsidRDefault="00255B2F" w:rsidP="00255B2F">
      <w:pPr>
        <w:pStyle w:val="Heading3Pink"/>
      </w:pPr>
      <w:bookmarkStart w:id="192" w:name="_Ref499731330"/>
      <w:bookmarkEnd w:id="191"/>
      <w:r w:rsidRPr="00D13AF1">
        <w:t>Regulation of individual doctors who provide telemedicine services</w:t>
      </w:r>
      <w:bookmarkEnd w:id="192"/>
    </w:p>
    <w:p w14:paraId="4F5CC6E3" w14:textId="77777777" w:rsidR="00255B2F" w:rsidRPr="00D13AF1" w:rsidRDefault="00255B2F" w:rsidP="00255B2F">
      <w:pPr>
        <w:pStyle w:val="BodyEE"/>
      </w:pPr>
      <w:r w:rsidRPr="00D13AF1">
        <w:t>The doctors who wish to practice telemedicine have to follow the SMC guidance on telemedicine. These are covered under the relevant sections in the two documents published by the SMC in 2016, namely Handbook on Medicine, and Ethical Code and Ethical Guidance.</w:t>
      </w:r>
    </w:p>
    <w:p w14:paraId="3546DBE4" w14:textId="77777777" w:rsidR="00255B2F" w:rsidRPr="00D13AF1" w:rsidRDefault="00255B2F" w:rsidP="00CF4701">
      <w:pPr>
        <w:pStyle w:val="BodyEE"/>
        <w:keepNext/>
      </w:pPr>
      <w:r w:rsidRPr="00D13AF1">
        <w:lastRenderedPageBreak/>
        <w:t>In summary, the doctor practicing telemedicine should:</w:t>
      </w:r>
    </w:p>
    <w:p w14:paraId="7A6E831B" w14:textId="09B9200E" w:rsidR="00255B2F" w:rsidRPr="00D13AF1" w:rsidRDefault="00CF4701" w:rsidP="00255B2F">
      <w:pPr>
        <w:pStyle w:val="Bulletlevel1"/>
      </w:pPr>
      <w:r w:rsidRPr="00D13AF1">
        <w:t>b</w:t>
      </w:r>
      <w:r w:rsidR="00255B2F" w:rsidRPr="00D13AF1">
        <w:t>e ab</w:t>
      </w:r>
      <w:r w:rsidRPr="00D13AF1">
        <w:t>le to verify patients</w:t>
      </w:r>
      <w:r w:rsidR="0043336A">
        <w:t>’</w:t>
      </w:r>
      <w:r w:rsidRPr="00D13AF1">
        <w:t xml:space="preserve"> identity;</w:t>
      </w:r>
    </w:p>
    <w:p w14:paraId="7CA8955F" w14:textId="53C13F95" w:rsidR="00255B2F" w:rsidRPr="00D13AF1" w:rsidRDefault="00CF4701" w:rsidP="00255B2F">
      <w:pPr>
        <w:pStyle w:val="Bulletlevel1"/>
      </w:pPr>
      <w:r w:rsidRPr="00D13AF1">
        <w:t>o</w:t>
      </w:r>
      <w:r w:rsidR="00255B2F" w:rsidRPr="00D13AF1">
        <w:t>btain</w:t>
      </w:r>
      <w:r w:rsidR="0043336A">
        <w:t xml:space="preserve"> </w:t>
      </w:r>
      <w:r w:rsidR="00255B2F" w:rsidRPr="00D13AF1">
        <w:t>patients</w:t>
      </w:r>
      <w:r w:rsidR="0043336A">
        <w:t>’</w:t>
      </w:r>
      <w:r w:rsidR="00255B2F" w:rsidRPr="00D13AF1">
        <w:t xml:space="preserve"> consent (simila</w:t>
      </w:r>
      <w:r w:rsidRPr="00D13AF1">
        <w:t>r to face-to-face interactions);</w:t>
      </w:r>
    </w:p>
    <w:p w14:paraId="6A77535F" w14:textId="37B120DB" w:rsidR="00255B2F" w:rsidRPr="00D13AF1" w:rsidRDefault="00CF4701" w:rsidP="00255B2F">
      <w:pPr>
        <w:pStyle w:val="Bulletlevel1"/>
      </w:pPr>
      <w:r w:rsidRPr="00D13AF1">
        <w:t>ensure patients</w:t>
      </w:r>
      <w:r w:rsidR="0043336A">
        <w:t>’</w:t>
      </w:r>
      <w:r w:rsidRPr="00D13AF1">
        <w:t xml:space="preserve"> confidentiality;</w:t>
      </w:r>
    </w:p>
    <w:p w14:paraId="7EC65912" w14:textId="538B799F" w:rsidR="00255B2F" w:rsidRPr="00D13AF1" w:rsidRDefault="00CF4701" w:rsidP="00255B2F">
      <w:pPr>
        <w:pStyle w:val="Bulletlevel1"/>
      </w:pPr>
      <w:r w:rsidRPr="00D13AF1">
        <w:t>h</w:t>
      </w:r>
      <w:r w:rsidR="00255B2F" w:rsidRPr="00D13AF1">
        <w:t>ave training to use the ICT a</w:t>
      </w:r>
      <w:r w:rsidRPr="00D13AF1">
        <w:t>nd other equipment and software;</w:t>
      </w:r>
    </w:p>
    <w:p w14:paraId="1A540785" w14:textId="340C751C" w:rsidR="00255B2F" w:rsidRPr="00D13AF1" w:rsidRDefault="00CF4701" w:rsidP="00255B2F">
      <w:pPr>
        <w:pStyle w:val="Bulletlevel1"/>
      </w:pPr>
      <w:r w:rsidRPr="00D13AF1">
        <w:t>i</w:t>
      </w:r>
      <w:r w:rsidR="00255B2F" w:rsidRPr="00D13AF1">
        <w:t>f applicable, ensure that the patient is familiar with and knows how to use the ICT equipment at his or her end or has someone to assist</w:t>
      </w:r>
      <w:r w:rsidRPr="00D13AF1">
        <w:t xml:space="preserve"> him or her using the equipment;</w:t>
      </w:r>
    </w:p>
    <w:p w14:paraId="24B13616" w14:textId="1D5469BB" w:rsidR="00255B2F" w:rsidRPr="00D13AF1" w:rsidRDefault="00CF4701" w:rsidP="00255B2F">
      <w:pPr>
        <w:pStyle w:val="Bulletlevel1"/>
      </w:pPr>
      <w:r w:rsidRPr="00D13AF1">
        <w:t>e</w:t>
      </w:r>
      <w:r w:rsidR="00255B2F" w:rsidRPr="00D13AF1">
        <w:t>nsure the remote examination provides sufficient</w:t>
      </w:r>
      <w:r w:rsidRPr="00D13AF1">
        <w:t xml:space="preserve"> information to form an opinion;</w:t>
      </w:r>
    </w:p>
    <w:p w14:paraId="3D74A962" w14:textId="472BED8C" w:rsidR="00255B2F" w:rsidRPr="00D13AF1" w:rsidRDefault="00CF4701" w:rsidP="00255B2F">
      <w:pPr>
        <w:pStyle w:val="Bulletlevel1"/>
      </w:pPr>
      <w:r w:rsidRPr="00D13AF1">
        <w:t>m</w:t>
      </w:r>
      <w:r w:rsidR="00255B2F" w:rsidRPr="00D13AF1">
        <w:t>onit</w:t>
      </w:r>
      <w:r w:rsidRPr="00D13AF1">
        <w:t>or the patients he or she knows;</w:t>
      </w:r>
    </w:p>
    <w:p w14:paraId="3F92E1B4" w14:textId="0CFF83EF" w:rsidR="00255B2F" w:rsidRPr="00D13AF1" w:rsidRDefault="00CF4701" w:rsidP="00255B2F">
      <w:pPr>
        <w:pStyle w:val="Bulletlevel1"/>
      </w:pPr>
      <w:r w:rsidRPr="00D13AF1">
        <w:t>i</w:t>
      </w:r>
      <w:r w:rsidR="00255B2F" w:rsidRPr="00D13AF1">
        <w:t xml:space="preserve">f consulting a new patient, ensure that the patient’s data provided to them is adequate and sufficient to form an opinion and provide </w:t>
      </w:r>
      <w:r w:rsidRPr="00D13AF1">
        <w:t>further guidance to the patient;</w:t>
      </w:r>
    </w:p>
    <w:p w14:paraId="00E98CB6" w14:textId="2146305A" w:rsidR="00255B2F" w:rsidRPr="00D13AF1" w:rsidRDefault="00CF4701" w:rsidP="00255B2F">
      <w:pPr>
        <w:pStyle w:val="Bulletlevel1"/>
      </w:pPr>
      <w:r w:rsidRPr="00D13AF1">
        <w:t>o</w:t>
      </w:r>
      <w:r w:rsidR="00255B2F" w:rsidRPr="00D13AF1">
        <w:t xml:space="preserve">bey </w:t>
      </w:r>
      <w:r w:rsidR="0043336A">
        <w:t xml:space="preserve">the </w:t>
      </w:r>
      <w:r w:rsidR="00255B2F" w:rsidRPr="00D13AF1">
        <w:t>same professional and ethic</w:t>
      </w:r>
      <w:r w:rsidR="0043336A">
        <w:t>al</w:t>
      </w:r>
      <w:r w:rsidR="00255B2F" w:rsidRPr="00D13AF1">
        <w:t xml:space="preserve"> requirements for robotic telemedicine procedure</w:t>
      </w:r>
      <w:r w:rsidR="0043336A">
        <w:t>s</w:t>
      </w:r>
      <w:r w:rsidR="00255B2F" w:rsidRPr="00D13AF1">
        <w:t xml:space="preserve"> as for immediate/face-to-face procedure. </w:t>
      </w:r>
    </w:p>
    <w:p w14:paraId="766F3575" w14:textId="4FDF062E" w:rsidR="00A44F2F" w:rsidRPr="00D13AF1" w:rsidRDefault="00A44F2F" w:rsidP="00A44F2F">
      <w:pPr>
        <w:pStyle w:val="BodyEE"/>
      </w:pPr>
      <w:r w:rsidRPr="00D13AF1">
        <w:t>Further information obtained from our online survey — Guideline A6 of the 2016 edition of the SMC ECEG states the following with regard to ethical matters concerning the professional conduct of registered medical practitioners:</w:t>
      </w:r>
    </w:p>
    <w:p w14:paraId="2362C4EA" w14:textId="77777777" w:rsidR="00A44F2F" w:rsidRPr="00D13AF1" w:rsidRDefault="00A44F2F" w:rsidP="00A44F2F">
      <w:pPr>
        <w:pStyle w:val="BodyEE"/>
      </w:pPr>
      <w:r w:rsidRPr="00D13AF1">
        <w:t xml:space="preserve">“Telemedicine can improve patient access to medical care. Yet, it is not equal to conventional in-person care and has to be provided in a responsible manner. Providing telemedicine responsibly means: </w:t>
      </w:r>
    </w:p>
    <w:p w14:paraId="1F28FEC8" w14:textId="77777777" w:rsidR="00A44F2F" w:rsidRPr="00D13AF1" w:rsidRDefault="00A44F2F" w:rsidP="00764F37">
      <w:pPr>
        <w:pStyle w:val="Bulletlevel1"/>
      </w:pPr>
      <w:r w:rsidRPr="00D13AF1">
        <w:t xml:space="preserve">If you engage in telemedicine, you must endeavour to provide the same quality and standard of care as in-person medical care. This includes ensuring that you have sufficient training and information to manage patients through telemedicine. Otherwise, you must state the limitations of your opinion. </w:t>
      </w:r>
    </w:p>
    <w:p w14:paraId="02C2F3DC" w14:textId="77777777" w:rsidR="00A44F2F" w:rsidRPr="00D13AF1" w:rsidRDefault="00A44F2F" w:rsidP="00764F37">
      <w:pPr>
        <w:pStyle w:val="Bulletlevel1"/>
      </w:pPr>
      <w:r w:rsidRPr="00D13AF1">
        <w:t xml:space="preserve">If you perform remotely guided medical procedures or give remote guidance to others to perform procedures, you and the person you guide must have the necessary expertise to provide and follow the remote guidance unless there are exceptional circumstances that justify a departure from this guideline. </w:t>
      </w:r>
    </w:p>
    <w:p w14:paraId="0C11F10D" w14:textId="77777777" w:rsidR="00A44F2F" w:rsidRPr="00D13AF1" w:rsidRDefault="00A44F2F" w:rsidP="00764F37">
      <w:pPr>
        <w:pStyle w:val="Bulletlevel1"/>
      </w:pPr>
      <w:r w:rsidRPr="00D13AF1">
        <w:t xml:space="preserve">If you avail your patients of robotic procedures performed by other doctors remotely, you have only delegated an aspect of care but still retain responsibility for the overall management of the patients. If you perform robotic surgery on a patient remotely, the standard of care you are required to provide to the patient is no different than if you were to perform the operation in person. </w:t>
      </w:r>
    </w:p>
    <w:p w14:paraId="2759470F" w14:textId="77777777" w:rsidR="00A44F2F" w:rsidRPr="00D13AF1" w:rsidRDefault="00A44F2F" w:rsidP="00764F37">
      <w:pPr>
        <w:pStyle w:val="Bulletlevel1"/>
      </w:pPr>
      <w:r w:rsidRPr="00D13AF1">
        <w:t xml:space="preserve">You must give patients sufficient information about telemedicine for them to consent to it. You must also ensure that your patients understand any limitations of telemedicine that may affect the quality of their care in relation to their specific circumstances. </w:t>
      </w:r>
    </w:p>
    <w:p w14:paraId="2707D1EC" w14:textId="77777777" w:rsidR="00A44F2F" w:rsidRPr="00D13AF1" w:rsidRDefault="00A44F2F" w:rsidP="00764F37">
      <w:pPr>
        <w:pStyle w:val="Bulletlevel1"/>
      </w:pPr>
      <w:r w:rsidRPr="00D13AF1">
        <w:t xml:space="preserve">You must take reasonable care to ensure confidentiality of medical information shared through technology and ensure compliance with any applicable existing legislation and regulations governing personal data. </w:t>
      </w:r>
    </w:p>
    <w:p w14:paraId="720D2043" w14:textId="1CB9A86A" w:rsidR="00A44F2F" w:rsidRPr="00D13AF1" w:rsidRDefault="00A44F2F" w:rsidP="00764F37">
      <w:pPr>
        <w:pStyle w:val="Bulletlevel1"/>
      </w:pPr>
      <w:r w:rsidRPr="00D13AF1">
        <w:t xml:space="preserve">If you ask your patients to operate telemedicine equipment from their locations, you must ensure that they are sufficiently trained to do so. You must also ensure that prompt assistance is available in case of equipment failure or inability of the patients to operate the systems, where such failure or inability poses material risks to patients. </w:t>
      </w:r>
    </w:p>
    <w:p w14:paraId="02A11FB3" w14:textId="2D3673EE" w:rsidR="00A44F2F" w:rsidRPr="00D13AF1" w:rsidRDefault="00A44F2F" w:rsidP="00A44F2F">
      <w:pPr>
        <w:pStyle w:val="BodyEE"/>
      </w:pPr>
      <w:r w:rsidRPr="00D13AF1">
        <w:t>The 2016 edition of the HME provide further elaborations</w:t>
      </w:r>
      <w:r w:rsidR="00D932D6" w:rsidRPr="00D13AF1">
        <w:t>.</w:t>
      </w:r>
    </w:p>
    <w:p w14:paraId="1AC7DF30" w14:textId="77777777" w:rsidR="00255B2F" w:rsidRPr="00D13AF1" w:rsidRDefault="00255B2F" w:rsidP="00255B2F">
      <w:pPr>
        <w:pStyle w:val="Heading3Pink"/>
      </w:pPr>
      <w:r w:rsidRPr="00D13AF1">
        <w:t>Cross-jurisdiction issues in telemedicine</w:t>
      </w:r>
    </w:p>
    <w:p w14:paraId="00C9E958" w14:textId="77777777" w:rsidR="00255B2F" w:rsidRPr="00D13AF1" w:rsidRDefault="00255B2F" w:rsidP="00255B2F">
      <w:pPr>
        <w:pStyle w:val="BodyEE"/>
      </w:pPr>
      <w:r w:rsidRPr="00D13AF1">
        <w:t>The SMC does not provide any specific guidance for practicing telemedicine across borders.</w:t>
      </w:r>
    </w:p>
    <w:p w14:paraId="5D0976B9" w14:textId="77777777" w:rsidR="00255B2F" w:rsidRPr="00D13AF1" w:rsidRDefault="00255B2F" w:rsidP="001E393E">
      <w:pPr>
        <w:pStyle w:val="Heading1"/>
        <w:rPr>
          <w:color w:val="C64187" w:themeColor="accent2"/>
        </w:rPr>
      </w:pPr>
      <w:bookmarkStart w:id="193" w:name="_Toc504484171"/>
      <w:r w:rsidRPr="00D13AF1">
        <w:rPr>
          <w:color w:val="C64187" w:themeColor="accent2"/>
        </w:rPr>
        <w:lastRenderedPageBreak/>
        <w:t>United Kingdom</w:t>
      </w:r>
      <w:bookmarkEnd w:id="193"/>
    </w:p>
    <w:p w14:paraId="4F1C7DAC" w14:textId="77777777" w:rsidR="00255B2F" w:rsidRPr="00D13AF1" w:rsidRDefault="00255B2F" w:rsidP="00255B2F">
      <w:pPr>
        <w:pStyle w:val="Heading2Pink"/>
      </w:pPr>
      <w:bookmarkStart w:id="194" w:name="_Toc504484172"/>
      <w:r w:rsidRPr="00D13AF1">
        <w:t>Country level overview</w:t>
      </w:r>
      <w:bookmarkEnd w:id="194"/>
    </w:p>
    <w:p w14:paraId="130E10BF" w14:textId="77777777" w:rsidR="00255B2F" w:rsidRPr="00D13AF1" w:rsidRDefault="00255B2F" w:rsidP="00255B2F">
      <w:pPr>
        <w:pStyle w:val="Heading3Pink"/>
      </w:pPr>
      <w:r w:rsidRPr="00D13AF1">
        <w:t xml:space="preserve">Relevant organisations </w:t>
      </w:r>
    </w:p>
    <w:p w14:paraId="1DA51A06" w14:textId="77777777" w:rsidR="00255B2F" w:rsidRPr="00D13AF1" w:rsidRDefault="00255B2F" w:rsidP="00255B2F">
      <w:pPr>
        <w:pStyle w:val="Bulletlevel1"/>
      </w:pPr>
      <w:r w:rsidRPr="00D13AF1">
        <w:t>Care Quality Commission</w:t>
      </w:r>
    </w:p>
    <w:p w14:paraId="61E41937" w14:textId="027DAE09" w:rsidR="00255B2F" w:rsidRPr="00D13AF1" w:rsidRDefault="00255B2F" w:rsidP="00255B2F">
      <w:pPr>
        <w:pStyle w:val="Bulletlevel2"/>
      </w:pPr>
      <w:r w:rsidRPr="00D13AF1">
        <w:t>executive non-departmental public body of the Department of Health of the United Kingdom</w:t>
      </w:r>
      <w:r w:rsidR="00662967" w:rsidRPr="00D13AF1">
        <w:t>;</w:t>
      </w:r>
    </w:p>
    <w:p w14:paraId="06A8464D" w14:textId="6322E076" w:rsidR="00255B2F" w:rsidRPr="00D13AF1" w:rsidRDefault="00662967" w:rsidP="00255B2F">
      <w:pPr>
        <w:pStyle w:val="Bulletlevel2"/>
      </w:pPr>
      <w:r w:rsidRPr="00D13AF1">
        <w:t>s</w:t>
      </w:r>
      <w:r w:rsidR="00255B2F" w:rsidRPr="00D13AF1">
        <w:t>tated role is to make sure that hospitals, care homes, dental and general practices and other care services in England provide people with safe, effective and high-quality care, a</w:t>
      </w:r>
      <w:r w:rsidRPr="00D13AF1">
        <w:t>nd to encourage them to improve;</w:t>
      </w:r>
    </w:p>
    <w:p w14:paraId="009D99FF" w14:textId="52EC14DD" w:rsidR="00255B2F" w:rsidRPr="00D13AF1" w:rsidRDefault="00662967" w:rsidP="00255B2F">
      <w:pPr>
        <w:pStyle w:val="Bulletlevel2"/>
      </w:pPr>
      <w:r w:rsidRPr="00D13AF1">
        <w:t>w</w:t>
      </w:r>
      <w:r w:rsidR="00255B2F" w:rsidRPr="00D13AF1">
        <w:t>hat do they regulate</w:t>
      </w:r>
      <w:r w:rsidRPr="00D13AF1">
        <w:t xml:space="preserve"> —</w:t>
      </w:r>
      <w:r w:rsidR="00255B2F" w:rsidRPr="00D13AF1">
        <w:t xml:space="preserve"> single, integrated regulator for England's health and adult social care</w:t>
      </w:r>
      <w:r w:rsidRPr="00D13AF1">
        <w:t>;</w:t>
      </w:r>
    </w:p>
    <w:p w14:paraId="39296A95" w14:textId="3FCAF172" w:rsidR="00255B2F" w:rsidRPr="00D13AF1" w:rsidRDefault="00662967" w:rsidP="00255B2F">
      <w:pPr>
        <w:pStyle w:val="Bulletlevel2"/>
      </w:pPr>
      <w:r w:rsidRPr="00D13AF1">
        <w:t>how do they regulate —</w:t>
      </w:r>
      <w:r w:rsidR="00255B2F" w:rsidRPr="00D13AF1">
        <w:t xml:space="preserve"> </w:t>
      </w:r>
      <w:r w:rsidRPr="00D13AF1">
        <w:t>t</w:t>
      </w:r>
      <w:r w:rsidR="00255B2F" w:rsidRPr="00D13AF1">
        <w:t>hey set out what good and outstanding care looks like and make sure services meet fundamental standards below which care must never fall.</w:t>
      </w:r>
      <w:r w:rsidR="00255B2F" w:rsidRPr="00D13AF1">
        <w:rPr>
          <w:rStyle w:val="FootnoteReference"/>
        </w:rPr>
        <w:footnoteReference w:id="113"/>
      </w:r>
    </w:p>
    <w:p w14:paraId="04EAB0A6" w14:textId="77777777" w:rsidR="00255B2F" w:rsidRPr="00D13AF1" w:rsidRDefault="00255B2F" w:rsidP="00255B2F">
      <w:pPr>
        <w:pStyle w:val="Bulletlevel1"/>
      </w:pPr>
      <w:r w:rsidRPr="00D13AF1">
        <w:t>Medicines and Healthcare products Regulatory Agency</w:t>
      </w:r>
    </w:p>
    <w:p w14:paraId="3A877911" w14:textId="39AF2715" w:rsidR="00255B2F" w:rsidRPr="00D13AF1" w:rsidRDefault="00255B2F" w:rsidP="00255B2F">
      <w:pPr>
        <w:pStyle w:val="Bulletlevel2"/>
      </w:pPr>
      <w:r w:rsidRPr="00D13AF1">
        <w:t>executive agency of the Department of Health in the United Kingdom which is responsible for ensuring that medicines and medical devices work and are acceptably safe</w:t>
      </w:r>
      <w:r w:rsidR="00BF0FD6" w:rsidRPr="00D13AF1">
        <w:t>;</w:t>
      </w:r>
    </w:p>
    <w:p w14:paraId="7A3C53D2" w14:textId="5D67535A" w:rsidR="00255B2F" w:rsidRPr="00D13AF1" w:rsidRDefault="00BF0FD6" w:rsidP="00255B2F">
      <w:pPr>
        <w:pStyle w:val="Bulletlevel2"/>
      </w:pPr>
      <w:r w:rsidRPr="00D13AF1">
        <w:t>what do they regulate —</w:t>
      </w:r>
      <w:r w:rsidR="00255B2F" w:rsidRPr="00D13AF1">
        <w:t xml:space="preserve"> medicines and medical devices</w:t>
      </w:r>
      <w:r w:rsidRPr="00D13AF1">
        <w:t>;</w:t>
      </w:r>
    </w:p>
    <w:p w14:paraId="7768868A" w14:textId="69FE32C3" w:rsidR="00255B2F" w:rsidRPr="00D13AF1" w:rsidRDefault="00BF0FD6" w:rsidP="00255B2F">
      <w:pPr>
        <w:pStyle w:val="Bulletlevel2"/>
      </w:pPr>
      <w:r w:rsidRPr="00D13AF1">
        <w:t>h</w:t>
      </w:r>
      <w:r w:rsidR="00255B2F" w:rsidRPr="00D13AF1">
        <w:t>ow do</w:t>
      </w:r>
      <w:r w:rsidRPr="00D13AF1">
        <w:t xml:space="preserve"> they regulate —</w:t>
      </w:r>
      <w:r w:rsidR="00255B2F" w:rsidRPr="00D13AF1">
        <w:t xml:space="preserve"> determines what is define</w:t>
      </w:r>
      <w:r w:rsidR="004E7430">
        <w:t>d</w:t>
      </w:r>
      <w:r w:rsidR="00255B2F" w:rsidRPr="00D13AF1">
        <w:t xml:space="preserve"> as </w:t>
      </w:r>
      <w:r w:rsidR="004E7430">
        <w:t xml:space="preserve">a </w:t>
      </w:r>
      <w:r w:rsidR="00255B2F" w:rsidRPr="00D13AF1">
        <w:t xml:space="preserve">medicine </w:t>
      </w:r>
      <w:r w:rsidR="004E7430">
        <w:t xml:space="preserve">or a </w:t>
      </w:r>
      <w:r w:rsidR="00255B2F" w:rsidRPr="00D13AF1">
        <w:t>medical device and assesses their safety.</w:t>
      </w:r>
      <w:r w:rsidR="00255B2F" w:rsidRPr="00D13AF1">
        <w:rPr>
          <w:rStyle w:val="FootnoteReference"/>
        </w:rPr>
        <w:footnoteReference w:id="114"/>
      </w:r>
      <w:r w:rsidR="00255B2F" w:rsidRPr="00D13AF1">
        <w:t xml:space="preserve"> </w:t>
      </w:r>
    </w:p>
    <w:p w14:paraId="7FFE41A8" w14:textId="77777777" w:rsidR="00255B2F" w:rsidRPr="00D13AF1" w:rsidRDefault="00255B2F" w:rsidP="00255B2F">
      <w:pPr>
        <w:pStyle w:val="Bulletlevel1"/>
      </w:pPr>
      <w:r w:rsidRPr="00D13AF1">
        <w:t>British Medical Association</w:t>
      </w:r>
    </w:p>
    <w:p w14:paraId="5829CF07" w14:textId="7324ADA8" w:rsidR="00255B2F" w:rsidRPr="00D13AF1" w:rsidRDefault="00255B2F" w:rsidP="00255B2F">
      <w:pPr>
        <w:pStyle w:val="Bulletlevel2"/>
      </w:pPr>
      <w:r w:rsidRPr="00D13AF1">
        <w:t>the trade union and professional body for doctors in the UK</w:t>
      </w:r>
      <w:r w:rsidR="00650607" w:rsidRPr="00D13AF1">
        <w:t>;</w:t>
      </w:r>
    </w:p>
    <w:p w14:paraId="56F82944" w14:textId="61270376" w:rsidR="00255B2F" w:rsidRPr="00D13AF1" w:rsidRDefault="00255B2F" w:rsidP="00255B2F">
      <w:pPr>
        <w:pStyle w:val="Bulletlevel2"/>
      </w:pPr>
      <w:r w:rsidRPr="00D13AF1">
        <w:t>individual members receive protection in the workplace</w:t>
      </w:r>
      <w:r w:rsidR="00650607" w:rsidRPr="00D13AF1">
        <w:t>;</w:t>
      </w:r>
    </w:p>
    <w:p w14:paraId="0953FADC" w14:textId="30BCA268" w:rsidR="00255B2F" w:rsidRPr="00D13AF1" w:rsidRDefault="00255B2F" w:rsidP="00255B2F">
      <w:pPr>
        <w:pStyle w:val="Bulletlevel2"/>
      </w:pPr>
      <w:r w:rsidRPr="00D13AF1">
        <w:t>collective interests of all doctors are defended and promoted</w:t>
      </w:r>
      <w:r w:rsidR="00650607" w:rsidRPr="00D13AF1">
        <w:t>;</w:t>
      </w:r>
    </w:p>
    <w:p w14:paraId="75CB85A3" w14:textId="77777777" w:rsidR="00255B2F" w:rsidRPr="00D13AF1" w:rsidRDefault="00255B2F" w:rsidP="00255B2F">
      <w:pPr>
        <w:pStyle w:val="Bulletlevel2"/>
      </w:pPr>
      <w:r w:rsidRPr="00D13AF1">
        <w:t>responsibility for negotiating conditions of service at both a national and local level.</w:t>
      </w:r>
      <w:r w:rsidRPr="00D13AF1">
        <w:rPr>
          <w:rStyle w:val="FootnoteReference"/>
        </w:rPr>
        <w:footnoteReference w:id="115"/>
      </w:r>
    </w:p>
    <w:p w14:paraId="1BD2B581" w14:textId="77777777" w:rsidR="00255B2F" w:rsidRPr="00D13AF1" w:rsidRDefault="00255B2F" w:rsidP="00255B2F">
      <w:pPr>
        <w:pStyle w:val="Heading3Pink"/>
      </w:pPr>
      <w:r w:rsidRPr="00D13AF1">
        <w:t xml:space="preserve">Regulatory frameworks </w:t>
      </w:r>
    </w:p>
    <w:p w14:paraId="2AFAD4E6" w14:textId="77777777" w:rsidR="00255B2F" w:rsidRPr="00D13AF1" w:rsidRDefault="00255B2F" w:rsidP="00255B2F">
      <w:pPr>
        <w:pStyle w:val="BodyEE"/>
      </w:pPr>
      <w:r w:rsidRPr="00D13AF1">
        <w:t>Public regulation of health care in England comprises two main elements: regulation of the quality and safety of care offered by health care providers, currently undertaken by the Care Quality Commission (CQC), and regulation of the market in health care services, currently the responsibility of Monitor (in relation to foundation trusts) and the Department of Health. The other countries within the UK each have their own independent healthcare provider regulator, which all perform a similar function of ensuring and sometime enforcing high-quality standards of healthcare provision.</w:t>
      </w:r>
      <w:r w:rsidRPr="00D13AF1">
        <w:rPr>
          <w:rStyle w:val="FootnoteReference"/>
        </w:rPr>
        <w:footnoteReference w:id="116"/>
      </w:r>
    </w:p>
    <w:p w14:paraId="73C643B5" w14:textId="77777777" w:rsidR="00255B2F" w:rsidRPr="00D13AF1" w:rsidRDefault="00255B2F" w:rsidP="00255B2F">
      <w:pPr>
        <w:pStyle w:val="BodyEE"/>
      </w:pPr>
      <w:r w:rsidRPr="00D13AF1">
        <w:t>There are 12 organisations</w:t>
      </w:r>
      <w:r w:rsidRPr="00D13AF1">
        <w:rPr>
          <w:rStyle w:val="FootnoteReference"/>
        </w:rPr>
        <w:footnoteReference w:id="117"/>
      </w:r>
      <w:r w:rsidRPr="00D13AF1">
        <w:t xml:space="preserve"> in the UK known as health and social care regulators. Each organisation oversees one or more of the health and social care professions by regulating individual professionals across the UK.</w:t>
      </w:r>
    </w:p>
    <w:p w14:paraId="182073E3" w14:textId="77777777" w:rsidR="00255B2F" w:rsidRPr="00D13AF1" w:rsidRDefault="00255B2F" w:rsidP="00255B2F">
      <w:pPr>
        <w:pStyle w:val="BodyEE"/>
      </w:pPr>
      <w:r w:rsidRPr="00D13AF1">
        <w:lastRenderedPageBreak/>
        <w:t>These organisations, also known as regulators, were set up to protect the public, as health or social care professionals, whether private or in the NHS, are required to meet the standards set by the relevant regulator. To practise one of the regulated professions people must be registered with the relevant regulator. If they are not registered and still practise, then they are breaking the law and they may be prosecuted. Registers are made up of only those professionals who have demonstrated that they have met the standards set.</w:t>
      </w:r>
      <w:r w:rsidRPr="00D13AF1">
        <w:rPr>
          <w:rStyle w:val="FootnoteReference"/>
        </w:rPr>
        <w:footnoteReference w:id="118"/>
      </w:r>
    </w:p>
    <w:p w14:paraId="300A8C21" w14:textId="77777777" w:rsidR="00255B2F" w:rsidRPr="00D13AF1" w:rsidRDefault="00255B2F" w:rsidP="00255B2F">
      <w:pPr>
        <w:pStyle w:val="BodyEE"/>
      </w:pPr>
      <w:r w:rsidRPr="00D13AF1">
        <w:t>The Professional Standards Authority for Health and Social Care is responsible for overseeing the health and care professional regulatory bodies. The Authority assesses their performance, conducts audits, scrutinises their decisions and reports to Parliament. It also sets standards for organisations holding voluntary registers for health and social care occupations and accredits those that meet them.</w:t>
      </w:r>
      <w:r w:rsidRPr="00D13AF1">
        <w:rPr>
          <w:rStyle w:val="FootnoteReference"/>
        </w:rPr>
        <w:footnoteReference w:id="119"/>
      </w:r>
    </w:p>
    <w:p w14:paraId="1FAE9E77" w14:textId="0627CBFB" w:rsidR="00255B2F" w:rsidRPr="00D13AF1" w:rsidRDefault="00255B2F" w:rsidP="00255B2F">
      <w:pPr>
        <w:pStyle w:val="BodyEE"/>
      </w:pPr>
      <w:r w:rsidRPr="00D13AF1">
        <w:t xml:space="preserve">In England, healthcare providers must apply to </w:t>
      </w:r>
      <w:r w:rsidR="004E7430">
        <w:t xml:space="preserve">the </w:t>
      </w:r>
      <w:r w:rsidRPr="00D13AF1">
        <w:t xml:space="preserve">CQC, in order to begin providing their services, and secure registration for the regulated activities they intend to deliver. Providers must satisfy </w:t>
      </w:r>
      <w:r w:rsidR="004E7430">
        <w:t xml:space="preserve">the </w:t>
      </w:r>
      <w:r w:rsidRPr="00D13AF1">
        <w:t>CQC that the care and treatment to be provided will meet the requirements of the Health and Social Care Act 2008 and its associated regulations.</w:t>
      </w:r>
    </w:p>
    <w:p w14:paraId="0901F1DB" w14:textId="77777777" w:rsidR="00255B2F" w:rsidRPr="00D13AF1" w:rsidRDefault="00255B2F" w:rsidP="00255B2F">
      <w:pPr>
        <w:pStyle w:val="BodyEE"/>
      </w:pPr>
      <w:r w:rsidRPr="00D13AF1">
        <w:t xml:space="preserve">Currently, there is no formal legal framework regulating standards in telemedicine, nor are there registration requirements or non-binding professional standards. </w:t>
      </w:r>
    </w:p>
    <w:p w14:paraId="2AA821FF" w14:textId="77777777" w:rsidR="00255B2F" w:rsidRPr="00D13AF1" w:rsidRDefault="00255B2F" w:rsidP="00255B2F">
      <w:pPr>
        <w:pStyle w:val="BodyEE"/>
      </w:pPr>
      <w:r w:rsidRPr="00D13AF1">
        <w:t>The General Medical Council, the royal colleges and the professional associations are in the midst of publishing standards of practice, procedures and protocols that will cover the use of telemedicine.</w:t>
      </w:r>
      <w:r w:rsidRPr="00D13AF1">
        <w:rPr>
          <w:rStyle w:val="FootnoteReference"/>
        </w:rPr>
        <w:footnoteReference w:id="120"/>
      </w:r>
    </w:p>
    <w:p w14:paraId="017658F8" w14:textId="58AB57CA" w:rsidR="00255B2F" w:rsidRPr="00D13AF1" w:rsidRDefault="00255B2F" w:rsidP="00255B2F">
      <w:pPr>
        <w:pStyle w:val="BodyEE"/>
      </w:pPr>
      <w:r w:rsidRPr="00D13AF1">
        <w:t>Organisations providing NHS services are regulated to ensure</w:t>
      </w:r>
      <w:r w:rsidR="00A60454" w:rsidRPr="00D13AF1">
        <w:t xml:space="preserve"> they meet essential standards. </w:t>
      </w:r>
      <w:r w:rsidRPr="00D13AF1">
        <w:t>In England, the Government has decided that, for NHS Foundation trusts and NHS trusts, the Care Quality Commission would focus on assessing the level of quality of care, and Monitor would focus on using their powers, where necessary, to intervene to resolve quality failings.</w:t>
      </w:r>
      <w:r w:rsidRPr="00D13AF1">
        <w:rPr>
          <w:rStyle w:val="FootnoteReference"/>
        </w:rPr>
        <w:footnoteReference w:id="121"/>
      </w:r>
    </w:p>
    <w:p w14:paraId="343FD8A5" w14:textId="77777777" w:rsidR="00255B2F" w:rsidRPr="00D13AF1" w:rsidRDefault="00255B2F" w:rsidP="00255B2F">
      <w:pPr>
        <w:pStyle w:val="BodyEE"/>
      </w:pPr>
      <w:r w:rsidRPr="00D13AF1">
        <w:t>Professional regulators, on the other hand are responsible for ensuring that health and social care professionals are providing safe care. They are focused on the individuals who give care, rather than organisations that provide care. In order to practise legally, health professionals must be registered with the relevant professional regulator. If a registered professional breaches any of the rules of their profession by harming or failing to treat a patient properly, patients may complain directly to the relevant professional regulator. The regulator takes a decision whether to investigate and if necessary, require that additional training is undertaken, restrict or ban that professional from practising.</w:t>
      </w:r>
    </w:p>
    <w:p w14:paraId="1066EE6A" w14:textId="77777777" w:rsidR="00255B2F" w:rsidRPr="00D13AF1" w:rsidRDefault="00255B2F" w:rsidP="00255B2F">
      <w:pPr>
        <w:pStyle w:val="BodyEE"/>
      </w:pPr>
      <w:r w:rsidRPr="00D13AF1">
        <w:t xml:space="preserve">The interests of the patient and the public are further safeguarded through the role of four other bodies covering specific areas of healthcare. These are the Medicines and Healthcare Products Regulatory Agency (MHRA), Human Tissue Authority, Human Fertilisation and Embryology Authority, NHS Blood and Transplant. </w:t>
      </w:r>
    </w:p>
    <w:p w14:paraId="57D50786" w14:textId="77777777" w:rsidR="00255B2F" w:rsidRPr="00D13AF1" w:rsidRDefault="00255B2F" w:rsidP="00255B2F">
      <w:pPr>
        <w:pStyle w:val="BodyEE"/>
      </w:pPr>
      <w:r w:rsidRPr="00D13AF1">
        <w:t>Participating in the policy-making processes are also trade unions and professional bodies, who uphold their members’ rights and interests in front of public institutions.</w:t>
      </w:r>
      <w:r w:rsidRPr="00D13AF1">
        <w:rPr>
          <w:rStyle w:val="FootnoteReference"/>
        </w:rPr>
        <w:footnoteReference w:id="122"/>
      </w:r>
    </w:p>
    <w:p w14:paraId="228E8BEA" w14:textId="77777777" w:rsidR="00255B2F" w:rsidRPr="00D13AF1" w:rsidRDefault="00255B2F" w:rsidP="00255B2F">
      <w:pPr>
        <w:pStyle w:val="Heading2Pink"/>
        <w:rPr>
          <w:lang w:eastAsia="en-GB"/>
        </w:rPr>
      </w:pPr>
      <w:bookmarkStart w:id="195" w:name="_Toc504484173"/>
      <w:bookmarkStart w:id="196" w:name="_Hlk494365600"/>
      <w:r w:rsidRPr="00D13AF1">
        <w:rPr>
          <w:lang w:eastAsia="en-GB"/>
        </w:rPr>
        <w:lastRenderedPageBreak/>
        <w:t>Care Quality Commission</w:t>
      </w:r>
      <w:bookmarkEnd w:id="195"/>
    </w:p>
    <w:bookmarkEnd w:id="196"/>
    <w:p w14:paraId="519A6547" w14:textId="77777777" w:rsidR="00255B2F" w:rsidRPr="00D13AF1" w:rsidRDefault="00255B2F" w:rsidP="00255B2F">
      <w:pPr>
        <w:pStyle w:val="Heading3Pink"/>
      </w:pPr>
      <w:r w:rsidRPr="00D13AF1">
        <w:t>Definition of telemedicine</w:t>
      </w:r>
    </w:p>
    <w:p w14:paraId="2B2C2365" w14:textId="77777777" w:rsidR="00255B2F" w:rsidRPr="00D13AF1" w:rsidRDefault="00255B2F" w:rsidP="00255B2F">
      <w:pPr>
        <w:pStyle w:val="BodyEE"/>
      </w:pPr>
      <w:bookmarkStart w:id="197" w:name="_Hlk494365606"/>
      <w:r w:rsidRPr="00D13AF1">
        <w:t>As a regulator of healthcare providers, the CQC is interested in telemedicine, as far as digital healthcare providers are concerned. By ‘digital healthcare providers’, the CQC intends “Healthcare services that provide a regulated activity by an online means. This involves transmitting information by text, sound, images or other digital forms for the prevention, diagnosis, or treatment of disease and to follow up patients’ treatment.”</w:t>
      </w:r>
    </w:p>
    <w:bookmarkEnd w:id="197"/>
    <w:p w14:paraId="5756A1EC" w14:textId="77777777" w:rsidR="00255B2F" w:rsidRPr="00D13AF1" w:rsidRDefault="00255B2F" w:rsidP="00255B2F">
      <w:pPr>
        <w:pStyle w:val="Heading3Pink"/>
      </w:pPr>
      <w:r w:rsidRPr="00D13AF1">
        <w:t>Regulation of individual doctors who provide telemedicine services</w:t>
      </w:r>
    </w:p>
    <w:p w14:paraId="318EB879" w14:textId="77777777" w:rsidR="00255B2F" w:rsidRPr="00D13AF1" w:rsidRDefault="00255B2F" w:rsidP="00255B2F">
      <w:pPr>
        <w:pStyle w:val="BodyEE"/>
      </w:pPr>
      <w:r w:rsidRPr="00D13AF1">
        <w:t xml:space="preserve">The CQC regulates </w:t>
      </w:r>
      <w:r w:rsidRPr="00D13AF1">
        <w:rPr>
          <w:i/>
        </w:rPr>
        <w:t>service providers</w:t>
      </w:r>
      <w:r w:rsidRPr="00D13AF1">
        <w:t xml:space="preserve"> of health and adult social care in England. It inspects and ensure medical practices achieve certain level of excellence. </w:t>
      </w:r>
    </w:p>
    <w:p w14:paraId="4B47B659" w14:textId="77777777" w:rsidR="00255B2F" w:rsidRPr="00D13AF1" w:rsidRDefault="00255B2F" w:rsidP="00255B2F">
      <w:pPr>
        <w:pStyle w:val="BodyEE"/>
      </w:pPr>
      <w:r w:rsidRPr="00D13AF1">
        <w:t>CQC regulates primary care providers of digital healthcare services in England where they provide the regulated activities of: ‘treatment of disease, disorder or injury’ and ‘transport services, triage and medical advice provided remotely’ or ‘diagnosis and screening’. The CQC’s recently released digital methodology and guidelines for digital health providers, states that regulation covers such digital providers within primary care. Examples include providers delivering GP consultations over the internet and providers prescribing medications in response to online forms.</w:t>
      </w:r>
      <w:r w:rsidRPr="00D13AF1">
        <w:rPr>
          <w:rStyle w:val="FootnoteReference"/>
        </w:rPr>
        <w:footnoteReference w:id="123"/>
      </w:r>
    </w:p>
    <w:p w14:paraId="192B5D9C" w14:textId="0776B836" w:rsidR="00255B2F" w:rsidRPr="00D13AF1" w:rsidRDefault="00255B2F" w:rsidP="00255B2F">
      <w:pPr>
        <w:pStyle w:val="BodyEE"/>
      </w:pPr>
      <w:r w:rsidRPr="00D13AF1">
        <w:t>The Guidelines thus infer that those prim</w:t>
      </w:r>
      <w:r w:rsidR="001034D7" w:rsidRPr="00D13AF1">
        <w:t>ary</w:t>
      </w:r>
      <w:r w:rsidRPr="00D13AF1">
        <w:t xml:space="preserve"> care providers, who use digital means should be regulated in the same way that non-digital providers are. The Commission would collect data on the provider, inspect the main office location using standard procedure, make judgement on the quality of a practice, after which the outcome is published on their website. Where a concern is found during inspection, the Commission takes proportionate measures. If the concern is linked to a breach of any legal requirement or standard, the CQC has a wide range of enforcement powers, for example, requiring improvement to protect people from harm or the risk of harm, imposing or varying conditions of registration and suspending or cancelling registration.</w:t>
      </w:r>
      <w:r w:rsidRPr="00D13AF1">
        <w:rPr>
          <w:rStyle w:val="FootnoteReference"/>
        </w:rPr>
        <w:footnoteReference w:id="124"/>
      </w:r>
    </w:p>
    <w:p w14:paraId="2FB2E504" w14:textId="6CAE4D72" w:rsidR="00255B2F" w:rsidRDefault="00BB5F9D" w:rsidP="00255B2F">
      <w:pPr>
        <w:pStyle w:val="BodyEE"/>
      </w:pPr>
      <w:r w:rsidRPr="00D13AF1">
        <w:t>Additionally, t</w:t>
      </w:r>
      <w:r w:rsidR="00AE219D" w:rsidRPr="00D13AF1">
        <w:t>he</w:t>
      </w:r>
      <w:r w:rsidR="004C59E3" w:rsidRPr="00D13AF1">
        <w:t xml:space="preserve"> </w:t>
      </w:r>
      <w:r w:rsidR="004E7430">
        <w:t>a</w:t>
      </w:r>
      <w:r w:rsidR="004E7430" w:rsidRPr="00D13AF1">
        <w:t xml:space="preserve">ppendix </w:t>
      </w:r>
      <w:r w:rsidR="004C59E3" w:rsidRPr="00D13AF1">
        <w:t xml:space="preserve">of the </w:t>
      </w:r>
      <w:r w:rsidR="004E7430">
        <w:t>g</w:t>
      </w:r>
      <w:r w:rsidR="004E7430" w:rsidRPr="00D13AF1">
        <w:t xml:space="preserve">uidelines </w:t>
      </w:r>
      <w:r w:rsidR="00AE219D" w:rsidRPr="00D13AF1">
        <w:t xml:space="preserve">contains questions that digital healthcare providers should ask themselves when providing </w:t>
      </w:r>
      <w:r w:rsidR="00597A9B" w:rsidRPr="00D13AF1">
        <w:t>telemedic</w:t>
      </w:r>
      <w:r w:rsidR="00597A9B">
        <w:t>ine</w:t>
      </w:r>
      <w:r w:rsidR="00597A9B" w:rsidRPr="00D13AF1">
        <w:t xml:space="preserve"> </w:t>
      </w:r>
      <w:r w:rsidR="00AE219D" w:rsidRPr="00D13AF1">
        <w:t xml:space="preserve">services. </w:t>
      </w:r>
    </w:p>
    <w:p w14:paraId="214C8E9C" w14:textId="156F50CA" w:rsidR="00CD21AB" w:rsidRPr="00D13AF1" w:rsidRDefault="00CD21AB" w:rsidP="00255B2F">
      <w:pPr>
        <w:pStyle w:val="BodyEE"/>
      </w:pPr>
      <w:r>
        <w:t xml:space="preserve">Moreover, the CQC appears to be investigating telemedicine in the context of online pharmacies. Based on the information available at the time of preparing this report, the concerns are predominantly around doctors not complying with general standards of practice rather than issues specifically associated with telemedicine (however, the fact the services are provided remotely might increase the likelihood of such non-compliance cases). See CQC’s press release here: </w:t>
      </w:r>
      <w:hyperlink r:id="rId59" w:history="1">
        <w:r w:rsidRPr="00420D75">
          <w:rPr>
            <w:rStyle w:val="Hyperlink"/>
          </w:rPr>
          <w:t>http://www.cqc.org.uk/news/releases/cqc-continues-take-action-against-websites-selling-prescription-medicines</w:t>
        </w:r>
      </w:hyperlink>
      <w:r>
        <w:t xml:space="preserve">. </w:t>
      </w:r>
    </w:p>
    <w:p w14:paraId="7D089EE5" w14:textId="77777777" w:rsidR="00255B2F" w:rsidRPr="00D13AF1" w:rsidRDefault="00255B2F" w:rsidP="00255B2F">
      <w:pPr>
        <w:pStyle w:val="Heading3Pink"/>
      </w:pPr>
      <w:r w:rsidRPr="00D13AF1">
        <w:t>Cross-jurisdiction issues in telemedicine</w:t>
      </w:r>
    </w:p>
    <w:p w14:paraId="4EC4AC3B" w14:textId="77777777" w:rsidR="00255B2F" w:rsidRPr="00D13AF1" w:rsidRDefault="00255B2F" w:rsidP="00255B2F">
      <w:pPr>
        <w:pStyle w:val="BodyEE"/>
      </w:pPr>
      <w:r w:rsidRPr="00D13AF1">
        <w:t xml:space="preserve">The Guidelines do not explicitly address the question on provision of services from non-CQC regulated jurisdictions. However, as the CQC is a regulator of health care providers and not doctors themselves, it is implicitly assumed that doctors under regulation are to be based in England and to provide services from the office of the CQC-regulated provider. Furthermore, one of the evaluation questions in the “Additional </w:t>
      </w:r>
      <w:r w:rsidRPr="00D13AF1">
        <w:lastRenderedPageBreak/>
        <w:t xml:space="preserve">prompts for digital healthcare providers in PMS” asks whether the provider checks, “when appropriate, that GPs are on the GMC register and have a licence to practise”. </w:t>
      </w:r>
    </w:p>
    <w:p w14:paraId="6A1022C8" w14:textId="062521DD" w:rsidR="00255B2F" w:rsidRPr="00D13AF1" w:rsidRDefault="00255B2F" w:rsidP="00255B2F">
      <w:pPr>
        <w:pStyle w:val="Heading2Pink"/>
        <w:rPr>
          <w:lang w:eastAsia="en-GB"/>
        </w:rPr>
      </w:pPr>
      <w:bookmarkStart w:id="198" w:name="_Toc504484174"/>
      <w:bookmarkStart w:id="199" w:name="_Hlk494365615"/>
      <w:r w:rsidRPr="00D13AF1">
        <w:rPr>
          <w:lang w:eastAsia="en-GB"/>
        </w:rPr>
        <w:t xml:space="preserve">Medicines and Healthcare </w:t>
      </w:r>
      <w:r w:rsidR="00D64DDC" w:rsidRPr="00D13AF1">
        <w:rPr>
          <w:lang w:eastAsia="en-GB"/>
        </w:rPr>
        <w:t>P</w:t>
      </w:r>
      <w:r w:rsidRPr="00D13AF1">
        <w:rPr>
          <w:lang w:eastAsia="en-GB"/>
        </w:rPr>
        <w:t>roducts Regulatory Agency</w:t>
      </w:r>
      <w:bookmarkEnd w:id="198"/>
    </w:p>
    <w:bookmarkEnd w:id="199"/>
    <w:p w14:paraId="08133A36" w14:textId="77777777" w:rsidR="00255B2F" w:rsidRPr="00D13AF1" w:rsidRDefault="00255B2F" w:rsidP="00255B2F">
      <w:pPr>
        <w:pStyle w:val="Heading3Pink"/>
      </w:pPr>
      <w:r w:rsidRPr="00D13AF1">
        <w:t>Definition of telemedicine</w:t>
      </w:r>
    </w:p>
    <w:p w14:paraId="64ACDE24" w14:textId="77777777" w:rsidR="00255B2F" w:rsidRPr="00D13AF1" w:rsidRDefault="00255B2F" w:rsidP="00255B2F">
      <w:pPr>
        <w:pStyle w:val="BodyEE"/>
      </w:pPr>
      <w:bookmarkStart w:id="200" w:name="_Hlk494365619"/>
      <w:r w:rsidRPr="00D13AF1">
        <w:t>In the UK the Medicines and Healthcare Products Regulatory Agency (MHRA) is responsible for regulating apps, smartphone-connected devices and wearable technologies which constitute a medical device: defined in general terms as “any software which is ‘standalone’ i.e. not a part of a physical medical device at its time of being first placed onto the market, and which is intended to be used in the treatment, prevention, alleviation or diagnosis of a medical condition.”</w:t>
      </w:r>
    </w:p>
    <w:p w14:paraId="56D2F194" w14:textId="77777777" w:rsidR="00255B2F" w:rsidRPr="00D13AF1" w:rsidRDefault="00255B2F" w:rsidP="00255B2F">
      <w:pPr>
        <w:pStyle w:val="BodyEE"/>
      </w:pPr>
      <w:r w:rsidRPr="00D13AF1">
        <w:t>This definition leaves the space for interpretation of the difference between a technology-enabled care device and a medical device, particularly as these technologies become more sophisticated and more targeted.</w:t>
      </w:r>
    </w:p>
    <w:p w14:paraId="758AA72F" w14:textId="77777777" w:rsidR="00255B2F" w:rsidRPr="00D13AF1" w:rsidRDefault="00255B2F" w:rsidP="00255B2F">
      <w:pPr>
        <w:pStyle w:val="BodyEE"/>
      </w:pPr>
      <w:r w:rsidRPr="00D13AF1">
        <w:t>Additionally, if a software or hardware is considered a medical device, it would fall under the regulatory power of the Medical Devices Directives. Under the current EU regulatory framework, medical devices need to be CE marked by their manufacturer before they are placed on the market. The Directive covers the vast majority of medical devices used in and on humans such as diagnostic medical devices and implantable devices, as well as “standalone software”, when specifically intended by the manufacturer to be used for one or more of the medical purposes set out in the definition of a medical device.</w:t>
      </w:r>
      <w:r w:rsidRPr="00D13AF1">
        <w:rPr>
          <w:rStyle w:val="FootnoteReference"/>
        </w:rPr>
        <w:footnoteReference w:id="125"/>
      </w:r>
      <w:r w:rsidRPr="00D13AF1">
        <w:t xml:space="preserve">  </w:t>
      </w:r>
    </w:p>
    <w:p w14:paraId="633CAFE8" w14:textId="77777777" w:rsidR="00255B2F" w:rsidRPr="00D13AF1" w:rsidRDefault="00255B2F" w:rsidP="002348B6">
      <w:pPr>
        <w:pStyle w:val="BodyEE"/>
        <w:keepNext/>
      </w:pPr>
      <w:r w:rsidRPr="00D13AF1">
        <w:t>The MHRA’s head of regulatory affairs, Rob Higgins, has stated:</w:t>
      </w:r>
    </w:p>
    <w:p w14:paraId="2A353E9C" w14:textId="77777777" w:rsidR="00255B2F" w:rsidRPr="00D13AF1" w:rsidRDefault="00255B2F" w:rsidP="00255B2F">
      <w:pPr>
        <w:pStyle w:val="LongQuotePurple"/>
      </w:pPr>
      <w:r w:rsidRPr="00D13AF1">
        <w:t>“In the UK apps, wearables and other technology-enabled care devices are monitored for safety and compliance by the MHRA’s adverse incident centre, through which users and manufacturers can report adverse incidents which have occurred though the use of medical devices.”</w:t>
      </w:r>
      <w:r w:rsidRPr="00D13AF1">
        <w:rPr>
          <w:rStyle w:val="FootnoteReference"/>
        </w:rPr>
        <w:footnoteReference w:id="126"/>
      </w:r>
    </w:p>
    <w:p w14:paraId="57AFACA7" w14:textId="77777777" w:rsidR="00255B2F" w:rsidRPr="00D13AF1" w:rsidRDefault="00255B2F" w:rsidP="00255B2F">
      <w:pPr>
        <w:pStyle w:val="BodyEE"/>
      </w:pPr>
      <w:r w:rsidRPr="00D13AF1">
        <w:t xml:space="preserve">The MHRA has in its powers the right to impose penalties for companies that fail to adhere to safety and compliance rules, when placing a non-compliant or unsafe medical devices onto the market. </w:t>
      </w:r>
    </w:p>
    <w:bookmarkEnd w:id="200"/>
    <w:p w14:paraId="097F7589" w14:textId="77777777" w:rsidR="00255B2F" w:rsidRPr="00D13AF1" w:rsidRDefault="00255B2F" w:rsidP="00255B2F">
      <w:pPr>
        <w:pStyle w:val="Heading3Pink"/>
      </w:pPr>
      <w:r w:rsidRPr="00D13AF1">
        <w:t>Specific requirements for individual doctors</w:t>
      </w:r>
    </w:p>
    <w:p w14:paraId="79CCCDB3" w14:textId="77777777" w:rsidR="00255B2F" w:rsidRPr="00D13AF1" w:rsidRDefault="00255B2F" w:rsidP="00255B2F">
      <w:pPr>
        <w:pStyle w:val="BodyEE"/>
      </w:pPr>
      <w:r w:rsidRPr="00D13AF1">
        <w:t>The MHRA does not regulate doctors. The Agency is responsible for ensuring medical devices on the market meets the UK and EU standards. Therefore, doctors practicing telemedicine are affected by its decisions, insofar as the software/digital device used is considered a medical device. If that is so and the device experiences some errors while in use, the doctor should (although is not required) to report the fault to the MHRA.</w:t>
      </w:r>
      <w:r w:rsidRPr="00D13AF1">
        <w:rPr>
          <w:rStyle w:val="FootnoteReference"/>
        </w:rPr>
        <w:footnoteReference w:id="127"/>
      </w:r>
      <w:r w:rsidRPr="00D13AF1">
        <w:t xml:space="preserve"> </w:t>
      </w:r>
    </w:p>
    <w:p w14:paraId="40FC506D" w14:textId="77777777" w:rsidR="00255B2F" w:rsidRPr="00D13AF1" w:rsidRDefault="00255B2F" w:rsidP="00255B2F">
      <w:pPr>
        <w:pStyle w:val="Heading3Pink"/>
      </w:pPr>
      <w:r w:rsidRPr="00D13AF1">
        <w:t>Cross-jurisdiction issues in telemedicine</w:t>
      </w:r>
    </w:p>
    <w:p w14:paraId="2AA63DF1" w14:textId="77777777" w:rsidR="00255B2F" w:rsidRPr="00D13AF1" w:rsidRDefault="00255B2F" w:rsidP="00255B2F">
      <w:pPr>
        <w:pStyle w:val="BodyEE"/>
      </w:pPr>
      <w:r w:rsidRPr="00D13AF1">
        <w:t xml:space="preserve">The MHRA has not made an official statement on cross-jurisdiction in telemedicine, however it does currently uphold European standards of medical device safety. </w:t>
      </w:r>
    </w:p>
    <w:p w14:paraId="46A2FFF2" w14:textId="77777777" w:rsidR="00255B2F" w:rsidRPr="00D13AF1" w:rsidRDefault="00255B2F" w:rsidP="00255B2F">
      <w:pPr>
        <w:pStyle w:val="Heading2Pink"/>
      </w:pPr>
      <w:bookmarkStart w:id="201" w:name="_Toc504484175"/>
      <w:bookmarkStart w:id="202" w:name="_Hlk494365626"/>
      <w:r w:rsidRPr="00D13AF1">
        <w:lastRenderedPageBreak/>
        <w:t>British Medical Association</w:t>
      </w:r>
      <w:bookmarkEnd w:id="201"/>
    </w:p>
    <w:bookmarkEnd w:id="202"/>
    <w:p w14:paraId="7641C5FF" w14:textId="77777777" w:rsidR="00255B2F" w:rsidRPr="00D13AF1" w:rsidRDefault="00255B2F" w:rsidP="00255B2F">
      <w:pPr>
        <w:pStyle w:val="Heading3Pink"/>
      </w:pPr>
      <w:r w:rsidRPr="00D13AF1">
        <w:t>Definition of telemedicine</w:t>
      </w:r>
    </w:p>
    <w:p w14:paraId="5455B4BB" w14:textId="77777777" w:rsidR="00255B2F" w:rsidRPr="00D13AF1" w:rsidRDefault="00255B2F" w:rsidP="00255B2F">
      <w:pPr>
        <w:pStyle w:val="BodyEE"/>
      </w:pPr>
      <w:bookmarkStart w:id="203" w:name="_Hlk494365630"/>
      <w:r w:rsidRPr="00D13AF1">
        <w:t>The BMA has not adopted a formal definition of telemedicine. However, in statements telehealth has been broadly referred to “the principle of using communications technology to deliver healthcare”, acknowledging the vast range of telehealth applications.</w:t>
      </w:r>
      <w:r w:rsidRPr="00D13AF1">
        <w:rPr>
          <w:rStyle w:val="FootnoteReference"/>
        </w:rPr>
        <w:footnoteReference w:id="128"/>
      </w:r>
    </w:p>
    <w:bookmarkEnd w:id="203"/>
    <w:p w14:paraId="770355C1" w14:textId="77777777" w:rsidR="00255B2F" w:rsidRPr="00D13AF1" w:rsidRDefault="00255B2F" w:rsidP="00255B2F">
      <w:pPr>
        <w:pStyle w:val="Heading3Pink"/>
      </w:pPr>
      <w:r w:rsidRPr="00D13AF1">
        <w:t>Regulation of individual doctors who provide telemedicine services</w:t>
      </w:r>
    </w:p>
    <w:p w14:paraId="55FDB590" w14:textId="77777777" w:rsidR="00255B2F" w:rsidRPr="00D13AF1" w:rsidRDefault="00255B2F" w:rsidP="00255B2F">
      <w:pPr>
        <w:pStyle w:val="BodyEE"/>
      </w:pPr>
      <w:r w:rsidRPr="00D13AF1">
        <w:t xml:space="preserve">The BMA does not regulate doctors, it is a professional organisation representing medical professionals. As such, it aims to protect the rights of its members and promote their views and well-being. </w:t>
      </w:r>
    </w:p>
    <w:p w14:paraId="012B373F" w14:textId="77777777" w:rsidR="00255B2F" w:rsidRPr="00D13AF1" w:rsidRDefault="00255B2F" w:rsidP="00255B2F">
      <w:pPr>
        <w:pStyle w:val="BodyEE"/>
      </w:pPr>
      <w:r w:rsidRPr="00D13AF1">
        <w:t xml:space="preserve">The BMA has stated that, if used carelessly telehealth can threaten professional standards and data security. But in certain cases, doctors can use it cautiously and successfully, while stressing it must supplement and never replace personal contact. </w:t>
      </w:r>
    </w:p>
    <w:p w14:paraId="71F32EDF" w14:textId="77777777" w:rsidR="00255B2F" w:rsidRPr="00D13AF1" w:rsidRDefault="00255B2F" w:rsidP="00255B2F">
      <w:pPr>
        <w:pStyle w:val="Heading3Pink"/>
      </w:pPr>
      <w:r w:rsidRPr="00D13AF1">
        <w:t>Cross-jurisdiction issues in telemedicine</w:t>
      </w:r>
    </w:p>
    <w:p w14:paraId="195A09B1" w14:textId="77777777" w:rsidR="00255B2F" w:rsidRPr="00D13AF1" w:rsidRDefault="00255B2F" w:rsidP="00255B2F">
      <w:pPr>
        <w:pStyle w:val="BodyEE"/>
      </w:pPr>
      <w:r w:rsidRPr="00D13AF1">
        <w:t xml:space="preserve">The BMA has not made a statement on the issue of cross-jurisdiction in telemedicine. </w:t>
      </w:r>
    </w:p>
    <w:p w14:paraId="05805887" w14:textId="73E157DA" w:rsidR="00387C26" w:rsidRPr="00D13AF1" w:rsidRDefault="00387C26" w:rsidP="00387C26">
      <w:pPr>
        <w:pStyle w:val="Heading2Pink"/>
      </w:pPr>
      <w:bookmarkStart w:id="204" w:name="_Toc504484176"/>
      <w:bookmarkStart w:id="205" w:name="_Hlk494365638"/>
      <w:r w:rsidRPr="00D13AF1">
        <w:t>General Pharmaceutical Council (</w:t>
      </w:r>
      <w:proofErr w:type="spellStart"/>
      <w:r w:rsidRPr="00D13AF1">
        <w:t>GPhC</w:t>
      </w:r>
      <w:proofErr w:type="spellEnd"/>
      <w:r w:rsidRPr="00D13AF1">
        <w:t>)</w:t>
      </w:r>
      <w:r w:rsidRPr="00D13AF1">
        <w:rPr>
          <w:rStyle w:val="FootnoteReference"/>
        </w:rPr>
        <w:footnoteReference w:id="129"/>
      </w:r>
      <w:bookmarkEnd w:id="204"/>
    </w:p>
    <w:bookmarkEnd w:id="205"/>
    <w:p w14:paraId="27D0D463" w14:textId="77777777" w:rsidR="00387C26" w:rsidRPr="00D13AF1" w:rsidRDefault="00387C26" w:rsidP="00387C26">
      <w:pPr>
        <w:pStyle w:val="Heading3Pink"/>
      </w:pPr>
      <w:r w:rsidRPr="00D13AF1">
        <w:t>Definition of telemedicine</w:t>
      </w:r>
    </w:p>
    <w:p w14:paraId="2AB4A2C3" w14:textId="7711E974" w:rsidR="00387C26" w:rsidRPr="00D13AF1" w:rsidRDefault="00387C26" w:rsidP="00387C26">
      <w:pPr>
        <w:pStyle w:val="BodyEE"/>
      </w:pPr>
      <w:bookmarkStart w:id="206" w:name="_Hlk494365641"/>
      <w:r w:rsidRPr="00D13AF1">
        <w:rPr>
          <w:szCs w:val="22"/>
        </w:rPr>
        <w:t>In a ‘traditional’ pharmacy all parts of the service are provided at the same registered pharmacy,</w:t>
      </w:r>
      <w:r w:rsidR="00D932D6" w:rsidRPr="00D13AF1">
        <w:t xml:space="preserve"> so</w:t>
      </w:r>
      <w:r w:rsidRPr="00D13AF1">
        <w:t xml:space="preserve"> this guidance applies to pharmacy services when any of the activities above are carried out at different registered pharmacies or places. It also applies in all cases when a member of staff or a third party providing any part of the pharmacy service, and the patient or person who uses the pharmacy service, are not both in the same registered pharmacy together.</w:t>
      </w:r>
    </w:p>
    <w:bookmarkEnd w:id="206"/>
    <w:p w14:paraId="6ED4D320" w14:textId="77777777" w:rsidR="00387C26" w:rsidRPr="00D13AF1" w:rsidRDefault="00387C26" w:rsidP="00387C26">
      <w:pPr>
        <w:pStyle w:val="Heading3Pink"/>
      </w:pPr>
      <w:r w:rsidRPr="00D13AF1">
        <w:t>Frameworks for telemedicine regulation</w:t>
      </w:r>
    </w:p>
    <w:p w14:paraId="75B46CFB" w14:textId="3AE6E4CF" w:rsidR="00387C26" w:rsidRPr="00D13AF1" w:rsidRDefault="00387C26" w:rsidP="00387C26">
      <w:pPr>
        <w:pStyle w:val="BodyEE"/>
      </w:pPr>
      <w:proofErr w:type="spellStart"/>
      <w:r w:rsidRPr="00D13AF1">
        <w:t>GPhC</w:t>
      </w:r>
      <w:proofErr w:type="spellEnd"/>
      <w:r w:rsidRPr="00D13AF1">
        <w:t xml:space="preserve"> does not have specific regulations or policies relating to telemedicine.</w:t>
      </w:r>
    </w:p>
    <w:p w14:paraId="25C5CADA" w14:textId="75DDFD88" w:rsidR="00387C26" w:rsidRPr="00D13AF1" w:rsidRDefault="00D932D6" w:rsidP="00387C26">
      <w:pPr>
        <w:pStyle w:val="BodyEE"/>
      </w:pPr>
      <w:r w:rsidRPr="00D13AF1">
        <w:t xml:space="preserve">They </w:t>
      </w:r>
      <w:r w:rsidR="00387C26" w:rsidRPr="00D13AF1">
        <w:t xml:space="preserve">do not have any specific standards or guidance on telemedicine, but have issued relevant guidance to support standards for registered pharmacies. </w:t>
      </w:r>
      <w:r w:rsidRPr="00D13AF1">
        <w:t>The</w:t>
      </w:r>
      <w:r w:rsidR="00387C26" w:rsidRPr="00D13AF1">
        <w:t xml:space="preserve"> Guidance for registered pharmacies providing pharmacy services at a distance, including on the internet applies whenever pharmacy services or a range of activities that would usually happen in a registered pharmacy, happen when the member of staff providing the service, and the person receiving the pharmacy service, are not both in the same registered pharmacy together.</w:t>
      </w:r>
    </w:p>
    <w:p w14:paraId="3003D5CD" w14:textId="605432A1" w:rsidR="00387C26" w:rsidRPr="00D13AF1" w:rsidRDefault="00D932D6" w:rsidP="00387C26">
      <w:pPr>
        <w:pStyle w:val="BodyEE"/>
      </w:pPr>
      <w:r w:rsidRPr="00D13AF1">
        <w:t xml:space="preserve">The </w:t>
      </w:r>
      <w:proofErr w:type="spellStart"/>
      <w:r w:rsidRPr="00D13AF1">
        <w:t>GPhC</w:t>
      </w:r>
      <w:proofErr w:type="spellEnd"/>
      <w:r w:rsidR="00387C26" w:rsidRPr="00D13AF1">
        <w:t xml:space="preserve"> work</w:t>
      </w:r>
      <w:r w:rsidRPr="00D13AF1">
        <w:t>s</w:t>
      </w:r>
      <w:r w:rsidR="00387C26" w:rsidRPr="00D13AF1">
        <w:t xml:space="preserve"> closely with a number of organisations in the course of </w:t>
      </w:r>
      <w:r w:rsidR="004E7430">
        <w:t>their</w:t>
      </w:r>
      <w:r w:rsidR="004E7430" w:rsidRPr="00D13AF1">
        <w:t xml:space="preserve"> </w:t>
      </w:r>
      <w:r w:rsidR="00387C26" w:rsidRPr="00D13AF1">
        <w:t>regulatory work, but not specifically in relation to telemedicine.</w:t>
      </w:r>
      <w:r w:rsidRPr="00D13AF1">
        <w:rPr>
          <w:rStyle w:val="FootnoteReference"/>
        </w:rPr>
        <w:footnoteReference w:id="130"/>
      </w:r>
      <w:r w:rsidR="00387C26" w:rsidRPr="00D13AF1">
        <w:t xml:space="preserve"> </w:t>
      </w:r>
    </w:p>
    <w:p w14:paraId="2E3280E0" w14:textId="77777777" w:rsidR="00255B2F" w:rsidRPr="00D13AF1" w:rsidRDefault="00255B2F" w:rsidP="00255B2F">
      <w:pPr>
        <w:pStyle w:val="BodyEE"/>
      </w:pPr>
    </w:p>
    <w:p w14:paraId="6286E658" w14:textId="77777777" w:rsidR="00255B2F" w:rsidRPr="00D13AF1" w:rsidRDefault="00255B2F" w:rsidP="00255B2F">
      <w:pPr>
        <w:pStyle w:val="Heading1"/>
        <w:rPr>
          <w:color w:val="C64187" w:themeColor="accent2"/>
        </w:rPr>
      </w:pPr>
      <w:bookmarkStart w:id="207" w:name="_Toc504484177"/>
      <w:r w:rsidRPr="00D13AF1">
        <w:rPr>
          <w:color w:val="C64187" w:themeColor="accent2"/>
        </w:rPr>
        <w:lastRenderedPageBreak/>
        <w:t>United States</w:t>
      </w:r>
      <w:bookmarkEnd w:id="207"/>
      <w:r w:rsidRPr="00D13AF1">
        <w:rPr>
          <w:color w:val="C64187" w:themeColor="accent2"/>
        </w:rPr>
        <w:t xml:space="preserve"> </w:t>
      </w:r>
    </w:p>
    <w:p w14:paraId="6C3F970E" w14:textId="77777777" w:rsidR="00255B2F" w:rsidRPr="00D13AF1" w:rsidRDefault="00255B2F" w:rsidP="00B463B4">
      <w:pPr>
        <w:pStyle w:val="Heading2Pink"/>
      </w:pPr>
      <w:bookmarkStart w:id="208" w:name="_Toc504484178"/>
      <w:r w:rsidRPr="00D13AF1">
        <w:t>Country level overview</w:t>
      </w:r>
      <w:bookmarkEnd w:id="208"/>
    </w:p>
    <w:p w14:paraId="5E92F32A" w14:textId="77777777" w:rsidR="00255B2F" w:rsidRPr="00D13AF1" w:rsidRDefault="00255B2F" w:rsidP="00255B2F">
      <w:pPr>
        <w:pStyle w:val="Heading3Pink"/>
      </w:pPr>
      <w:r w:rsidRPr="00D13AF1">
        <w:t xml:space="preserve">Relevant organisations </w:t>
      </w:r>
    </w:p>
    <w:p w14:paraId="46876E7F" w14:textId="77777777" w:rsidR="00255B2F" w:rsidRPr="00D13AF1" w:rsidRDefault="00255B2F" w:rsidP="00255B2F">
      <w:pPr>
        <w:pStyle w:val="Bulletlevel1"/>
      </w:pPr>
      <w:r w:rsidRPr="00D13AF1">
        <w:t>Federation of State Medicinal Boards</w:t>
      </w:r>
    </w:p>
    <w:p w14:paraId="54A6C89D" w14:textId="6998A747" w:rsidR="00255B2F" w:rsidRPr="00D13AF1" w:rsidRDefault="002A2E1B" w:rsidP="00255B2F">
      <w:pPr>
        <w:pStyle w:val="Bulletlevel2"/>
      </w:pPr>
      <w:r w:rsidRPr="00D13AF1">
        <w:t>r</w:t>
      </w:r>
      <w:r w:rsidR="00255B2F" w:rsidRPr="00D13AF1">
        <w:t>epresents all of the state osteopathic and medical boards</w:t>
      </w:r>
      <w:r w:rsidRPr="00D13AF1">
        <w:t>;</w:t>
      </w:r>
    </w:p>
    <w:p w14:paraId="1D6B1E02" w14:textId="3E26E31F" w:rsidR="00255B2F" w:rsidRPr="00D13AF1" w:rsidRDefault="002A2E1B" w:rsidP="00255B2F">
      <w:pPr>
        <w:pStyle w:val="Bulletlevel2"/>
      </w:pPr>
      <w:r w:rsidRPr="00D13AF1">
        <w:t>l</w:t>
      </w:r>
      <w:r w:rsidR="00255B2F" w:rsidRPr="00D13AF1">
        <w:t>obbies state and federal governments for legislation the state medical boards want</w:t>
      </w:r>
      <w:r w:rsidRPr="00D13AF1">
        <w:t>;</w:t>
      </w:r>
    </w:p>
    <w:p w14:paraId="316AE694" w14:textId="67B59EC8" w:rsidR="00255B2F" w:rsidRPr="00D13AF1" w:rsidRDefault="002A2E1B" w:rsidP="00255B2F">
      <w:pPr>
        <w:pStyle w:val="Bulletlevel2"/>
      </w:pPr>
      <w:r w:rsidRPr="00D13AF1">
        <w:t>n</w:t>
      </w:r>
      <w:r w:rsidR="00255B2F" w:rsidRPr="00D13AF1">
        <w:t>ational jurisdiction over all the state medical boards</w:t>
      </w:r>
      <w:r w:rsidRPr="00D13AF1">
        <w:t>;</w:t>
      </w:r>
    </w:p>
    <w:p w14:paraId="6D1C89EA" w14:textId="02B9D430" w:rsidR="00255B2F" w:rsidRPr="00D13AF1" w:rsidRDefault="002A2E1B" w:rsidP="00255B2F">
      <w:pPr>
        <w:pStyle w:val="Bulletlevel2"/>
      </w:pPr>
      <w:r w:rsidRPr="00D13AF1">
        <w:t>l</w:t>
      </w:r>
      <w:r w:rsidR="00255B2F" w:rsidRPr="00D13AF1">
        <w:t>icense physicians in all states and other healthcare professionals in some states</w:t>
      </w:r>
      <w:r w:rsidRPr="00D13AF1">
        <w:t>;</w:t>
      </w:r>
    </w:p>
    <w:p w14:paraId="71400807" w14:textId="58BE5610" w:rsidR="00781AAE" w:rsidRPr="00D13AF1" w:rsidRDefault="002A2E1B" w:rsidP="00781AAE">
      <w:pPr>
        <w:pStyle w:val="Bulletlevel2"/>
      </w:pPr>
      <w:r w:rsidRPr="00D13AF1">
        <w:t>n</w:t>
      </w:r>
      <w:r w:rsidR="00255B2F" w:rsidRPr="00D13AF1">
        <w:t>on-profit private organisation.</w:t>
      </w:r>
      <w:r w:rsidR="00255B2F" w:rsidRPr="00D13AF1">
        <w:rPr>
          <w:rStyle w:val="FootnoteReference"/>
        </w:rPr>
        <w:footnoteReference w:id="131"/>
      </w:r>
    </w:p>
    <w:p w14:paraId="632E7E13" w14:textId="77777777" w:rsidR="00F27D98" w:rsidRPr="00D13AF1" w:rsidRDefault="00781AAE" w:rsidP="00F27D98">
      <w:pPr>
        <w:pStyle w:val="BodyEE"/>
        <w:ind w:left="284"/>
      </w:pPr>
      <w:r w:rsidRPr="00D13AF1">
        <w:t>As per its response to the online survey — FSMB represents the 70 state medical and osteopathic regulatory boards -- commonly referr</w:t>
      </w:r>
      <w:r w:rsidR="00441235" w:rsidRPr="00D13AF1">
        <w:t>ed to as state medical boards —</w:t>
      </w:r>
      <w:r w:rsidRPr="00D13AF1">
        <w:t xml:space="preserve"> within the United States, its territories and the District of Columbia. It supports its member boards as they fulfil their mandate of protecting the public's health, safety and welfare through the proper licensing, disciplining, and regulation of physicians and, in most jurisdictions, other health care professionals.</w:t>
      </w:r>
      <w:r w:rsidR="00626914" w:rsidRPr="00D13AF1">
        <w:t xml:space="preserve"> </w:t>
      </w:r>
    </w:p>
    <w:p w14:paraId="14884CD6" w14:textId="19273DCE" w:rsidR="00781AAE" w:rsidRPr="00D13AF1" w:rsidRDefault="004E7430" w:rsidP="00F27D98">
      <w:pPr>
        <w:pStyle w:val="BodyEE"/>
        <w:ind w:left="284"/>
      </w:pPr>
      <w:r>
        <w:t>Their</w:t>
      </w:r>
      <w:r w:rsidRPr="00D13AF1">
        <w:t xml:space="preserve"> </w:t>
      </w:r>
      <w:r w:rsidR="00781AAE" w:rsidRPr="00D13AF1">
        <w:t xml:space="preserve">membership is comprised of the United States' state medical and osteopathic boards, which regulate physicians and other health care professionals. </w:t>
      </w:r>
    </w:p>
    <w:p w14:paraId="769E4E7B" w14:textId="433BAB7C" w:rsidR="00F27D98" w:rsidRPr="00D13AF1" w:rsidRDefault="00F27D98" w:rsidP="00F27D98">
      <w:pPr>
        <w:pStyle w:val="BodyEE"/>
        <w:ind w:left="284"/>
      </w:pPr>
      <w:r w:rsidRPr="00D13AF1">
        <w:t>FSMB has formal regulations and/or policies regarding telemedicine.</w:t>
      </w:r>
    </w:p>
    <w:p w14:paraId="14E9C0AE" w14:textId="5DD6A015" w:rsidR="00F27D98" w:rsidRPr="00D13AF1" w:rsidRDefault="00F27D98" w:rsidP="00747CD9">
      <w:pPr>
        <w:pStyle w:val="BodyEE"/>
        <w:ind w:left="284"/>
      </w:pPr>
      <w:r w:rsidRPr="00D13AF1">
        <w:t>The FSMB has adopted this model policy for state medical boards to consider adopting in whole, in part, or not at all.</w:t>
      </w:r>
    </w:p>
    <w:p w14:paraId="0E75EBC8" w14:textId="77777777" w:rsidR="00255B2F" w:rsidRPr="00D13AF1" w:rsidRDefault="00255B2F" w:rsidP="00255B2F">
      <w:pPr>
        <w:pStyle w:val="Bulletlevel1"/>
      </w:pPr>
      <w:r w:rsidRPr="00D13AF1">
        <w:t>American Telemedicine Association</w:t>
      </w:r>
    </w:p>
    <w:p w14:paraId="5CE31FD0" w14:textId="610102F4" w:rsidR="00255B2F" w:rsidRPr="00D13AF1" w:rsidRDefault="002A2E1B" w:rsidP="00255B2F">
      <w:pPr>
        <w:pStyle w:val="Bulletlevel2"/>
      </w:pPr>
      <w:r w:rsidRPr="00D13AF1">
        <w:t>l</w:t>
      </w:r>
      <w:r w:rsidR="00255B2F" w:rsidRPr="00D13AF1">
        <w:t>obbies state and federal government for policy regarding telemedicine</w:t>
      </w:r>
      <w:r w:rsidRPr="00D13AF1">
        <w:t>;</w:t>
      </w:r>
    </w:p>
    <w:p w14:paraId="10484555" w14:textId="7EDB3C87" w:rsidR="00255B2F" w:rsidRPr="00D13AF1" w:rsidRDefault="002A2E1B" w:rsidP="00255B2F">
      <w:pPr>
        <w:pStyle w:val="Bulletlevel2"/>
      </w:pPr>
      <w:r w:rsidRPr="00D13AF1">
        <w:t>s</w:t>
      </w:r>
      <w:r w:rsidR="00255B2F" w:rsidRPr="00D13AF1">
        <w:t>upports the patients and doctors in making telemedicine simple and affordable</w:t>
      </w:r>
      <w:r w:rsidRPr="00D13AF1">
        <w:t>;</w:t>
      </w:r>
    </w:p>
    <w:p w14:paraId="3F988E64" w14:textId="3BAE0AD8" w:rsidR="00255B2F" w:rsidRPr="00D13AF1" w:rsidRDefault="002A2E1B" w:rsidP="00255B2F">
      <w:pPr>
        <w:pStyle w:val="Bulletlevel2"/>
      </w:pPr>
      <w:r w:rsidRPr="00D13AF1">
        <w:t>p</w:t>
      </w:r>
      <w:r w:rsidR="00255B2F" w:rsidRPr="00D13AF1">
        <w:t>rivate non-profit company</w:t>
      </w:r>
      <w:r w:rsidRPr="00D13AF1">
        <w:t>;</w:t>
      </w:r>
    </w:p>
    <w:p w14:paraId="5A9B7B3A" w14:textId="5419132A" w:rsidR="00255B2F" w:rsidRPr="00D13AF1" w:rsidRDefault="002A2E1B" w:rsidP="00255B2F">
      <w:pPr>
        <w:pStyle w:val="Bulletlevel2"/>
      </w:pPr>
      <w:r w:rsidRPr="00D13AF1">
        <w:t>r</w:t>
      </w:r>
      <w:r w:rsidR="00255B2F" w:rsidRPr="00D13AF1">
        <w:t>egulates healthcare providers to provide quality and affordable service.</w:t>
      </w:r>
      <w:r w:rsidR="00255B2F" w:rsidRPr="00D13AF1">
        <w:rPr>
          <w:rStyle w:val="FootnoteReference"/>
        </w:rPr>
        <w:footnoteReference w:id="132"/>
      </w:r>
    </w:p>
    <w:p w14:paraId="19D3454D" w14:textId="77777777" w:rsidR="00255B2F" w:rsidRPr="00D13AF1" w:rsidRDefault="00255B2F" w:rsidP="00255B2F">
      <w:pPr>
        <w:pStyle w:val="Bulletlevel1"/>
      </w:pPr>
      <w:r w:rsidRPr="00D13AF1">
        <w:t>Telehealth Resource Centre</w:t>
      </w:r>
    </w:p>
    <w:p w14:paraId="59165DA8" w14:textId="0CF49D55" w:rsidR="00255B2F" w:rsidRPr="00D13AF1" w:rsidRDefault="002A2E1B" w:rsidP="00255B2F">
      <w:pPr>
        <w:pStyle w:val="Bulletlevel2"/>
      </w:pPr>
      <w:r w:rsidRPr="00D13AF1">
        <w:t>o</w:t>
      </w:r>
      <w:r w:rsidR="00255B2F" w:rsidRPr="00D13AF1">
        <w:t>versees 2 national telehealth centres and 12 regional centres</w:t>
      </w:r>
      <w:r w:rsidRPr="00D13AF1">
        <w:t>;</w:t>
      </w:r>
    </w:p>
    <w:p w14:paraId="4A13E932" w14:textId="2468A1C5" w:rsidR="00255B2F" w:rsidRPr="00D13AF1" w:rsidRDefault="002A2E1B" w:rsidP="00255B2F">
      <w:pPr>
        <w:pStyle w:val="Bulletlevel2"/>
      </w:pPr>
      <w:r w:rsidRPr="00D13AF1">
        <w:t>c</w:t>
      </w:r>
      <w:r w:rsidR="00255B2F" w:rsidRPr="00D13AF1">
        <w:t>reates policy to improve healthcare systems to make telemedicine more accessib</w:t>
      </w:r>
      <w:r w:rsidRPr="00D13AF1">
        <w:t>le at a state and federal level;</w:t>
      </w:r>
    </w:p>
    <w:p w14:paraId="78E603F8" w14:textId="5D12D489" w:rsidR="00255B2F" w:rsidRPr="00D13AF1" w:rsidRDefault="002A2E1B" w:rsidP="00255B2F">
      <w:pPr>
        <w:pStyle w:val="Bulletlevel2"/>
      </w:pPr>
      <w:r w:rsidRPr="00D13AF1">
        <w:t>e</w:t>
      </w:r>
      <w:r w:rsidR="00255B2F" w:rsidRPr="00D13AF1">
        <w:t>ducates individuals wanting to practice telemedicine</w:t>
      </w:r>
      <w:r w:rsidRPr="00D13AF1">
        <w:t>;</w:t>
      </w:r>
    </w:p>
    <w:p w14:paraId="2B333502" w14:textId="36708109" w:rsidR="00255B2F" w:rsidRPr="00D13AF1" w:rsidRDefault="002A2E1B" w:rsidP="00255B2F">
      <w:pPr>
        <w:pStyle w:val="Bulletlevel2"/>
      </w:pPr>
      <w:r w:rsidRPr="00D13AF1">
        <w:t>p</w:t>
      </w:r>
      <w:r w:rsidR="00255B2F" w:rsidRPr="00D13AF1">
        <w:t>rivate agency funded by the Health Resources and Services Administration</w:t>
      </w:r>
      <w:r w:rsidRPr="00D13AF1">
        <w:t>.</w:t>
      </w:r>
      <w:r w:rsidR="00255B2F" w:rsidRPr="00D13AF1">
        <w:rPr>
          <w:rStyle w:val="FootnoteReference"/>
        </w:rPr>
        <w:footnoteReference w:id="133"/>
      </w:r>
    </w:p>
    <w:p w14:paraId="66856790" w14:textId="77777777" w:rsidR="00255B2F" w:rsidRPr="00D13AF1" w:rsidRDefault="00255B2F" w:rsidP="00255B2F">
      <w:pPr>
        <w:pStyle w:val="Heading3Pink"/>
      </w:pPr>
      <w:r w:rsidRPr="00D13AF1">
        <w:t>Regulatory Framework</w:t>
      </w:r>
    </w:p>
    <w:p w14:paraId="26E2F759" w14:textId="77777777" w:rsidR="00255B2F" w:rsidRPr="00D13AF1" w:rsidRDefault="00255B2F" w:rsidP="00255B2F">
      <w:pPr>
        <w:pStyle w:val="BodyEE"/>
      </w:pPr>
      <w:r w:rsidRPr="00D13AF1">
        <w:t xml:space="preserve">Policy regarding healthcare is created on federal and state levels through legislation and regulations created by agencies under the Department of Health and Human Services. At the federal level legislation regarding healthcare is rare but the Affordable Care Act was passed through Congress in March of 2010.  All other </w:t>
      </w:r>
      <w:r w:rsidRPr="00D13AF1">
        <w:lastRenderedPageBreak/>
        <w:t>federal level regulations are created through agencies that were delegated the responsibility</w:t>
      </w:r>
      <w:r w:rsidRPr="00D13AF1">
        <w:rPr>
          <w:rStyle w:val="FootnoteReference"/>
        </w:rPr>
        <w:footnoteReference w:id="134"/>
      </w:r>
      <w:r w:rsidRPr="00D13AF1">
        <w:t>. The process for policy at the state level varies but is also mainly created by agencies.</w:t>
      </w:r>
    </w:p>
    <w:p w14:paraId="6C37EAB8" w14:textId="77777777" w:rsidR="00255B2F" w:rsidRPr="00D13AF1" w:rsidRDefault="00255B2F" w:rsidP="00255B2F">
      <w:pPr>
        <w:pStyle w:val="BodyEE"/>
      </w:pPr>
      <w:r w:rsidRPr="00D13AF1">
        <w:t>Licensure authority defines who has the legal responsibility to grant a health professional the permission to practice their profession. Historically, under Article X of the U.S. Constitution, states have the authority to regulate activities that affect the health, safety, and welfare of their citizens including the practice of healing arts within their borders. Laws governing individual health care providers are enacted through state legislative action, with authority to implement the practice acts delegated to the respective state licensing board.</w:t>
      </w:r>
      <w:r w:rsidRPr="00D13AF1">
        <w:rPr>
          <w:rStyle w:val="FootnoteReference"/>
        </w:rPr>
        <w:footnoteReference w:id="135"/>
      </w:r>
    </w:p>
    <w:p w14:paraId="3834896F" w14:textId="77777777" w:rsidR="00255B2F" w:rsidRPr="00D13AF1" w:rsidRDefault="00255B2F" w:rsidP="00255B2F">
      <w:pPr>
        <w:pStyle w:val="BodyEE"/>
      </w:pPr>
      <w:r w:rsidRPr="00D13AF1">
        <w:t xml:space="preserve">The numerous agencies involved in health care create a system of quality assurance and high standards. The Federation of State Medical Boards (FSMB) and all the state medical boards regulate the doctors and physicians to maintain that the public is receiving proper care. The boards issue licensing to health care providers and discipline those who are not following the regulations. Each of the state boards have their own standards of conduct for the physicians, the FSMB exists to support them and to promote good practice. Like nearly all other agencies the FSMB also represents health care providers and lobbies federal and state government to pass legislation that serves to benefit the health care providers and the patients. Agencies such as the American Telemedicine Association (ATA) and the Telehealth Resource </w:t>
      </w:r>
      <w:proofErr w:type="spellStart"/>
      <w:r w:rsidRPr="00D13AF1">
        <w:t>Center</w:t>
      </w:r>
      <w:proofErr w:type="spellEnd"/>
      <w:r w:rsidRPr="00D13AF1">
        <w:t xml:space="preserve"> (TRC) exist to expand the field of telemedicine. The TRC oversees 2 national centres and 12 regional centres that help train doctors interested in telemedicine and educate patients interested in Telemedicine. TRC was funded by the Health Resources and Services Administration whose goal is to provide health care to those who are unable to access it, including those who live in a remote area. The regional centres under the TRC help patients located telemedicine services. To maintain the quality and advancement of telemedicine, the American Telemedicine Association (ATA) lobbies state and federal government. ATA creates policy that makes it easier for telemedicine physicians to practice and easier for patients to access it. With whatever policies that are put in place from the help of the TRC or ATA it is up to the state medical boards to ensure their health care providers are following the new regulations. </w:t>
      </w:r>
    </w:p>
    <w:p w14:paraId="52893313" w14:textId="77777777" w:rsidR="00255B2F" w:rsidRPr="00D13AF1" w:rsidRDefault="00255B2F" w:rsidP="00B463B4">
      <w:pPr>
        <w:pStyle w:val="Heading2Pink"/>
      </w:pPr>
      <w:bookmarkStart w:id="209" w:name="_Toc504484179"/>
      <w:bookmarkStart w:id="210" w:name="_Hlk494365648"/>
      <w:r w:rsidRPr="00D13AF1">
        <w:t>Federation of State Medical Boards</w:t>
      </w:r>
      <w:bookmarkEnd w:id="209"/>
    </w:p>
    <w:bookmarkEnd w:id="210"/>
    <w:p w14:paraId="7479523D" w14:textId="77777777" w:rsidR="00255B2F" w:rsidRPr="00D13AF1" w:rsidRDefault="00255B2F" w:rsidP="00255B2F">
      <w:pPr>
        <w:pStyle w:val="Heading3Pink"/>
      </w:pPr>
      <w:r w:rsidRPr="00D13AF1">
        <w:t>Definition of telemedicine</w:t>
      </w:r>
    </w:p>
    <w:p w14:paraId="6D54F567" w14:textId="77777777" w:rsidR="00255B2F" w:rsidRPr="00D13AF1" w:rsidRDefault="00255B2F" w:rsidP="006E666C">
      <w:pPr>
        <w:pStyle w:val="Bulletlevel1"/>
        <w:keepNext/>
        <w:numPr>
          <w:ilvl w:val="0"/>
          <w:numId w:val="0"/>
        </w:numPr>
        <w:ind w:left="360" w:hanging="360"/>
      </w:pPr>
      <w:bookmarkStart w:id="211" w:name="_Hlk494365652"/>
      <w:r w:rsidRPr="00D13AF1">
        <w:t>A report by the Boards’ Appropriate Regulation of Telemedicine Workgroup states that</w:t>
      </w:r>
      <w:r w:rsidRPr="00D13AF1">
        <w:rPr>
          <w:rStyle w:val="FootnoteReference"/>
        </w:rPr>
        <w:footnoteReference w:id="136"/>
      </w:r>
      <w:r w:rsidRPr="00D13AF1">
        <w:t>:</w:t>
      </w:r>
    </w:p>
    <w:p w14:paraId="6F576B5F" w14:textId="77777777" w:rsidR="00255B2F" w:rsidRPr="00D13AF1" w:rsidRDefault="00255B2F" w:rsidP="00255B2F">
      <w:pPr>
        <w:pStyle w:val="LongQuotePurple"/>
      </w:pPr>
      <w:r w:rsidRPr="00D13AF1">
        <w:t>“Telemedicine” means the practice of medicine using electronic communications, information technology or other means between a licensee in one location, and a patient in another location with or without an intervening healthcare provider. Generally, telemedicine is not an audio-only, telephone conversation, e-mail/instant messaging conversation, or fax. It typically involves the application of secure videoconferencing or store and forward technology to provide or support healthcare delivery by replicating the interaction of a traditional, encounter in person between a provider and a patient.</w:t>
      </w:r>
    </w:p>
    <w:p w14:paraId="07BF1E91" w14:textId="77777777" w:rsidR="00255B2F" w:rsidRPr="00D13AF1" w:rsidRDefault="00255B2F" w:rsidP="00255B2F">
      <w:pPr>
        <w:pStyle w:val="LongQuotePurple"/>
      </w:pPr>
      <w:r w:rsidRPr="00D13AF1">
        <w:t>“Telemedicine Technologies” means technologies and devices enabling secure electronic communications and information exchange between a licensee in one location and a patient in another location with or without an intervening healthcare provider.</w:t>
      </w:r>
    </w:p>
    <w:p w14:paraId="4B0D3255" w14:textId="37631703" w:rsidR="009605DA" w:rsidRPr="00D13AF1" w:rsidRDefault="00205DCE" w:rsidP="00255B2F">
      <w:pPr>
        <w:pStyle w:val="LongQuotePurple"/>
      </w:pPr>
      <w:r w:rsidRPr="00D13AF1">
        <w:t xml:space="preserve">— </w:t>
      </w:r>
      <w:r w:rsidR="00255B2F" w:rsidRPr="00D13AF1">
        <w:t>Federation of State Medical Boards, 2014</w:t>
      </w:r>
    </w:p>
    <w:bookmarkEnd w:id="211"/>
    <w:p w14:paraId="21570247" w14:textId="77777777" w:rsidR="00255B2F" w:rsidRPr="00D13AF1" w:rsidRDefault="00255B2F" w:rsidP="00255B2F">
      <w:pPr>
        <w:pStyle w:val="Heading3Pink"/>
      </w:pPr>
      <w:r w:rsidRPr="00D13AF1">
        <w:lastRenderedPageBreak/>
        <w:t>Regulation of individual doctors who provide telemedicine services</w:t>
      </w:r>
      <w:r w:rsidRPr="00D13AF1">
        <w:rPr>
          <w:rStyle w:val="FootnoteReference"/>
        </w:rPr>
        <w:footnoteReference w:id="137"/>
      </w:r>
    </w:p>
    <w:p w14:paraId="741401DB" w14:textId="72EA731C" w:rsidR="00747CD9" w:rsidRPr="00D13AF1" w:rsidRDefault="00747CD9" w:rsidP="00747CD9">
      <w:pPr>
        <w:pStyle w:val="BodyEE"/>
      </w:pPr>
      <w:r w:rsidRPr="00D13AF1">
        <w:t>As per information from the online survey — the FSMB model policy covers the following aspects:</w:t>
      </w:r>
    </w:p>
    <w:p w14:paraId="3E9815F6" w14:textId="66F259D6" w:rsidR="00747CD9" w:rsidRPr="00D13AF1" w:rsidRDefault="00747CD9" w:rsidP="00747CD9">
      <w:pPr>
        <w:pStyle w:val="Bulletlevel1"/>
      </w:pPr>
      <w:r w:rsidRPr="00D13AF1">
        <w:t>Licensure</w:t>
      </w:r>
      <w:r w:rsidR="00E61297" w:rsidRPr="00D13AF1">
        <w:t>;</w:t>
      </w:r>
    </w:p>
    <w:p w14:paraId="6B8F4B51" w14:textId="7A6D49F2" w:rsidR="00747CD9" w:rsidRPr="00D13AF1" w:rsidRDefault="00747CD9" w:rsidP="00747CD9">
      <w:pPr>
        <w:pStyle w:val="Bulletlevel1"/>
      </w:pPr>
      <w:r w:rsidRPr="00D13AF1">
        <w:t>Establishment of a Physician-Patient Relationship</w:t>
      </w:r>
      <w:r w:rsidR="00E61297" w:rsidRPr="00D13AF1">
        <w:t>;</w:t>
      </w:r>
    </w:p>
    <w:p w14:paraId="7349512B" w14:textId="4DBAB5A2" w:rsidR="00747CD9" w:rsidRPr="00D13AF1" w:rsidRDefault="00747CD9" w:rsidP="00747CD9">
      <w:pPr>
        <w:pStyle w:val="Bulletlevel1"/>
      </w:pPr>
      <w:r w:rsidRPr="00D13AF1">
        <w:t>Evaluation and Treatment of the Patient</w:t>
      </w:r>
      <w:r w:rsidR="00E61297" w:rsidRPr="00D13AF1">
        <w:t>;</w:t>
      </w:r>
    </w:p>
    <w:p w14:paraId="5EBBCA71" w14:textId="0ED6F746" w:rsidR="00747CD9" w:rsidRPr="00D13AF1" w:rsidRDefault="00747CD9" w:rsidP="00747CD9">
      <w:pPr>
        <w:pStyle w:val="Bulletlevel1"/>
      </w:pPr>
      <w:r w:rsidRPr="00D13AF1">
        <w:t>Informed Consent</w:t>
      </w:r>
      <w:r w:rsidR="00E61297" w:rsidRPr="00D13AF1">
        <w:t>;</w:t>
      </w:r>
    </w:p>
    <w:p w14:paraId="65523993" w14:textId="67D8EFBA" w:rsidR="00747CD9" w:rsidRPr="00D13AF1" w:rsidRDefault="00747CD9" w:rsidP="00747CD9">
      <w:pPr>
        <w:pStyle w:val="Bulletlevel1"/>
      </w:pPr>
      <w:r w:rsidRPr="00D13AF1">
        <w:t>Continuity of Care</w:t>
      </w:r>
      <w:r w:rsidR="00E61297" w:rsidRPr="00D13AF1">
        <w:t>;</w:t>
      </w:r>
    </w:p>
    <w:p w14:paraId="1E77A528" w14:textId="08718E5C" w:rsidR="00747CD9" w:rsidRPr="00D13AF1" w:rsidRDefault="00747CD9" w:rsidP="00747CD9">
      <w:pPr>
        <w:pStyle w:val="Bulletlevel1"/>
      </w:pPr>
      <w:r w:rsidRPr="00D13AF1">
        <w:t>Referrals for Emergency Services</w:t>
      </w:r>
      <w:r w:rsidR="00E61297" w:rsidRPr="00D13AF1">
        <w:t>;</w:t>
      </w:r>
    </w:p>
    <w:p w14:paraId="6F07A075" w14:textId="076F2675" w:rsidR="00747CD9" w:rsidRPr="00D13AF1" w:rsidRDefault="00747CD9" w:rsidP="00747CD9">
      <w:pPr>
        <w:pStyle w:val="Bulletlevel1"/>
      </w:pPr>
      <w:r w:rsidRPr="00D13AF1">
        <w:t>Medical Records</w:t>
      </w:r>
      <w:r w:rsidR="00E61297" w:rsidRPr="00D13AF1">
        <w:t>;</w:t>
      </w:r>
    </w:p>
    <w:p w14:paraId="12A399CC" w14:textId="4E231179" w:rsidR="00747CD9" w:rsidRPr="00D13AF1" w:rsidRDefault="00747CD9" w:rsidP="00747CD9">
      <w:pPr>
        <w:pStyle w:val="Bulletlevel1"/>
      </w:pPr>
      <w:r w:rsidRPr="00D13AF1">
        <w:t>Privacy and Security of Patient Records &amp; Exchange of Information</w:t>
      </w:r>
      <w:r w:rsidR="00E61297" w:rsidRPr="00D13AF1">
        <w:t>;</w:t>
      </w:r>
    </w:p>
    <w:p w14:paraId="294FF32A" w14:textId="326226ED" w:rsidR="00747CD9" w:rsidRPr="00D13AF1" w:rsidRDefault="00747CD9" w:rsidP="00747CD9">
      <w:pPr>
        <w:pStyle w:val="Bulletlevel1"/>
      </w:pPr>
      <w:r w:rsidRPr="00D13AF1">
        <w:t>Disclosures and Functionality on Online Services Making Available Telemedicine Technologies</w:t>
      </w:r>
      <w:r w:rsidR="00E61297" w:rsidRPr="00D13AF1">
        <w:t>;</w:t>
      </w:r>
    </w:p>
    <w:p w14:paraId="2F71AC94" w14:textId="7A7C0F03" w:rsidR="00747CD9" w:rsidRPr="00D13AF1" w:rsidRDefault="00747CD9" w:rsidP="00255B2F">
      <w:pPr>
        <w:pStyle w:val="Bulletlevel1"/>
      </w:pPr>
      <w:r w:rsidRPr="00D13AF1">
        <w:t>Prescribing</w:t>
      </w:r>
      <w:r w:rsidR="00E61297" w:rsidRPr="00D13AF1">
        <w:t>.</w:t>
      </w:r>
    </w:p>
    <w:p w14:paraId="21FF0FC6" w14:textId="77777777" w:rsidR="00255B2F" w:rsidRPr="00D13AF1" w:rsidRDefault="00255B2F" w:rsidP="00255B2F">
      <w:pPr>
        <w:pStyle w:val="BodyEE"/>
      </w:pPr>
      <w:r w:rsidRPr="00D13AF1">
        <w:t xml:space="preserve">A physician using telemedicine technologies in the provision of medical services to a patient (whether existing or new) must take appropriate steps to establish the physician-patient relationship and conduct all appropriate evaluations and history of the patient consistent with traditional standards of care for the particular patient presentation. As such, some situations and patient presentations are appropriate for the utilization of telemedicine technologies as a component of, or in lieu of, in-person provision of medical care, while others are not. </w:t>
      </w:r>
    </w:p>
    <w:p w14:paraId="510CD853" w14:textId="77777777" w:rsidR="00255B2F" w:rsidRPr="00D13AF1" w:rsidRDefault="00255B2F" w:rsidP="00255B2F">
      <w:pPr>
        <w:pStyle w:val="BodyEE"/>
      </w:pPr>
      <w:r w:rsidRPr="00D13AF1">
        <w:t>A physician is discouraged from rendering medical advice and/or care using telemedicine technologies without:</w:t>
      </w:r>
    </w:p>
    <w:p w14:paraId="74D3C73C" w14:textId="3D3CD92C" w:rsidR="00255B2F" w:rsidRPr="00D13AF1" w:rsidRDefault="006E666C" w:rsidP="00255B2F">
      <w:pPr>
        <w:pStyle w:val="Bulletlevel1"/>
      </w:pPr>
      <w:r w:rsidRPr="00D13AF1">
        <w:t>f</w:t>
      </w:r>
      <w:r w:rsidR="00255B2F" w:rsidRPr="00D13AF1">
        <w:t>ully verifying and authenticating the location and, to the extent possible, identifying the requesting patient;</w:t>
      </w:r>
    </w:p>
    <w:p w14:paraId="7B8F35E4" w14:textId="3C84F83F" w:rsidR="00255B2F" w:rsidRPr="00D13AF1" w:rsidRDefault="006E666C" w:rsidP="00255B2F">
      <w:pPr>
        <w:pStyle w:val="Bulletlevel1"/>
      </w:pPr>
      <w:r w:rsidRPr="00D13AF1">
        <w:t>d</w:t>
      </w:r>
      <w:r w:rsidR="00255B2F" w:rsidRPr="00D13AF1">
        <w:t>isclosing and validating the provider’s identity and applicable credential(s); and</w:t>
      </w:r>
    </w:p>
    <w:p w14:paraId="401357A6" w14:textId="78632F40" w:rsidR="00255B2F" w:rsidRPr="00D13AF1" w:rsidRDefault="006E666C" w:rsidP="00255B2F">
      <w:pPr>
        <w:pStyle w:val="Bulletlevel1"/>
      </w:pPr>
      <w:r w:rsidRPr="00D13AF1">
        <w:t>o</w:t>
      </w:r>
      <w:r w:rsidR="00255B2F" w:rsidRPr="00D13AF1">
        <w:t xml:space="preserve">btaining appropriate consents from requesting patients after disclosures regarding the delivery models and treatment methods or limitations, including any special informed consents regarding the use of telemedicine technologies. </w:t>
      </w:r>
    </w:p>
    <w:p w14:paraId="411663D4" w14:textId="77777777" w:rsidR="00255B2F" w:rsidRPr="00D13AF1" w:rsidRDefault="00255B2F" w:rsidP="009C36F2">
      <w:pPr>
        <w:pStyle w:val="BodyEE"/>
      </w:pPr>
      <w:r w:rsidRPr="00D13AF1">
        <w:t>An appropriate physician-patient relationship has not been established when the identity of the physician may be unknown to the patient. Where appropriate, a patient must be able to select an identified physician for telemedicine services and not be assigned to a physician at random.</w:t>
      </w:r>
    </w:p>
    <w:p w14:paraId="1300A4C5" w14:textId="77777777" w:rsidR="00255B2F" w:rsidRPr="00D13AF1" w:rsidRDefault="00255B2F" w:rsidP="00255B2F">
      <w:pPr>
        <w:pStyle w:val="BodyEE"/>
      </w:pPr>
      <w:r w:rsidRPr="00D13AF1">
        <w:t>The Boards have adopted the following guidelines for physicians utilising telemedicine technologies in the delivery of patient care, regardless of an existing physician-patient relationship prior to an encounter:</w:t>
      </w:r>
    </w:p>
    <w:p w14:paraId="1ABDCA7F" w14:textId="2BD38492" w:rsidR="00255B2F" w:rsidRPr="00D13AF1" w:rsidRDefault="00300F8F" w:rsidP="009C36F2">
      <w:pPr>
        <w:pStyle w:val="EmphasisPink"/>
        <w:keepNext/>
        <w:rPr>
          <w:i/>
        </w:rPr>
      </w:pPr>
      <w:r w:rsidRPr="00D13AF1">
        <w:rPr>
          <w:i/>
        </w:rPr>
        <w:t>Licensure</w:t>
      </w:r>
    </w:p>
    <w:p w14:paraId="0216993B" w14:textId="0FFAA6BA" w:rsidR="00255B2F" w:rsidRPr="00D13AF1" w:rsidRDefault="00255B2F" w:rsidP="00300F8F">
      <w:pPr>
        <w:pStyle w:val="BodyEE"/>
      </w:pPr>
      <w:r w:rsidRPr="00D13AF1">
        <w:t>A physici</w:t>
      </w:r>
      <w:r w:rsidRPr="00D13AF1">
        <w:rPr>
          <w:rStyle w:val="BodyEEChar"/>
        </w:rPr>
        <w:t>a</w:t>
      </w:r>
      <w:r w:rsidRPr="00D13AF1">
        <w:t>n must be licensed, or under the jurisdiction, of the medical board of the state where the patient is located. The practice of medicine occurs where the patient is located at the time telemedicine technologies are used. Physicians who treat or prescribe through online services sites are practicing medicine and must possess appropriate licensure in all jurisdictions where patients receive care.</w:t>
      </w:r>
    </w:p>
    <w:p w14:paraId="38012DFF" w14:textId="0E8B227F" w:rsidR="00255B2F" w:rsidRPr="00D13AF1" w:rsidRDefault="00255B2F" w:rsidP="009C36F2">
      <w:pPr>
        <w:pStyle w:val="EmphasisPink"/>
        <w:keepNext/>
        <w:rPr>
          <w:i/>
        </w:rPr>
      </w:pPr>
      <w:r w:rsidRPr="00D13AF1">
        <w:rPr>
          <w:i/>
        </w:rPr>
        <w:t xml:space="preserve">Establishment of a </w:t>
      </w:r>
      <w:r w:rsidR="00300F8F" w:rsidRPr="00D13AF1">
        <w:rPr>
          <w:i/>
        </w:rPr>
        <w:t>Physician-Patient Relationship</w:t>
      </w:r>
    </w:p>
    <w:p w14:paraId="7AD27A42" w14:textId="6F098403" w:rsidR="00255B2F" w:rsidRPr="00D13AF1" w:rsidRDefault="00255B2F" w:rsidP="00300F8F">
      <w:pPr>
        <w:pStyle w:val="BodyEE"/>
      </w:pPr>
      <w:r w:rsidRPr="00D13AF1">
        <w:t>Where an existing physician-patient relationship is not present, a physician must take appropriate steps to establish a physician-patient relationship consistent with the guidelines identified above, and, while each circumstance is unique, such physician-patient relationships may be established using telemedicine technologies provid</w:t>
      </w:r>
      <w:r w:rsidR="00300F8F" w:rsidRPr="00D13AF1">
        <w:t>ed the standard of care is met.</w:t>
      </w:r>
    </w:p>
    <w:p w14:paraId="77A94191" w14:textId="67E29B78" w:rsidR="00255B2F" w:rsidRPr="00D13AF1" w:rsidRDefault="00255B2F" w:rsidP="009C36F2">
      <w:pPr>
        <w:pStyle w:val="EmphasisPink"/>
        <w:keepNext/>
        <w:rPr>
          <w:i/>
        </w:rPr>
      </w:pPr>
      <w:r w:rsidRPr="00D13AF1">
        <w:rPr>
          <w:i/>
        </w:rPr>
        <w:lastRenderedPageBreak/>
        <w:t>Evaluatio</w:t>
      </w:r>
      <w:r w:rsidR="00300F8F" w:rsidRPr="00D13AF1">
        <w:rPr>
          <w:i/>
        </w:rPr>
        <w:t>n and Treatment of the Patient</w:t>
      </w:r>
    </w:p>
    <w:p w14:paraId="334540CD" w14:textId="77777777" w:rsidR="00255B2F" w:rsidRPr="00D13AF1" w:rsidRDefault="00255B2F" w:rsidP="00300F8F">
      <w:pPr>
        <w:pStyle w:val="BodyEE"/>
      </w:pPr>
      <w:r w:rsidRPr="00D13AF1">
        <w:t xml:space="preserve">A documented medical evaluation and collection of relevant clinical history along with the presentation of the patient to establish diagnoses and identify underlying conditions and/or contra-indications to the treatment recommended/provided must be obtained prior to providing treatment, including issuing prescriptions, electronically or otherwise. Treatment and consultation recommendations made in an online setting, including issuing a prescription via electronic means, will be held to the same standards of appropriate practice as those in traditional (encounter in person) settings. Treatment, including issuing a prescription based solely on an online questionnaire, does not constitute an acceptable standard of care. </w:t>
      </w:r>
    </w:p>
    <w:p w14:paraId="12522315" w14:textId="0695EC60" w:rsidR="00255B2F" w:rsidRPr="00D13AF1" w:rsidRDefault="00300F8F" w:rsidP="009C36F2">
      <w:pPr>
        <w:pStyle w:val="EmphasisPink"/>
        <w:keepNext/>
        <w:rPr>
          <w:i/>
        </w:rPr>
      </w:pPr>
      <w:r w:rsidRPr="00D13AF1">
        <w:rPr>
          <w:i/>
        </w:rPr>
        <w:t>Informed Consent</w:t>
      </w:r>
    </w:p>
    <w:p w14:paraId="7418A66F" w14:textId="77777777" w:rsidR="00255B2F" w:rsidRPr="00D13AF1" w:rsidRDefault="00255B2F" w:rsidP="00300F8F">
      <w:pPr>
        <w:pStyle w:val="BodyEE"/>
      </w:pPr>
      <w:r w:rsidRPr="00D13AF1">
        <w:t xml:space="preserve">Evidence documenting appropriate patient informed consent for the use of telemedicine technologies must be obtained and maintained. Appropriate informed consent should, as a baseline, include the following terms: </w:t>
      </w:r>
    </w:p>
    <w:p w14:paraId="70B5DDF1" w14:textId="1EEDFA83" w:rsidR="00255B2F" w:rsidRPr="00D13AF1" w:rsidRDefault="00300F8F" w:rsidP="00300F8F">
      <w:pPr>
        <w:pStyle w:val="Bulletlevel1"/>
      </w:pPr>
      <w:r w:rsidRPr="00D13AF1">
        <w:t>i</w:t>
      </w:r>
      <w:r w:rsidR="00255B2F" w:rsidRPr="00D13AF1">
        <w:t>dentification of the patient, the physician and the physician’s credentials;</w:t>
      </w:r>
    </w:p>
    <w:p w14:paraId="0C105CDE" w14:textId="464A0125" w:rsidR="00255B2F" w:rsidRPr="00D13AF1" w:rsidRDefault="00300F8F" w:rsidP="00300F8F">
      <w:pPr>
        <w:pStyle w:val="Bulletlevel1"/>
      </w:pPr>
      <w:r w:rsidRPr="00D13AF1">
        <w:t>t</w:t>
      </w:r>
      <w:r w:rsidR="00255B2F" w:rsidRPr="00D13AF1">
        <w:t>ypes of transmissions permitted using telemedicine technologies (e.g. prescription refills, appointment scheduling, patient education, etc.</w:t>
      </w:r>
      <w:proofErr w:type="gramStart"/>
      <w:r w:rsidR="00255B2F" w:rsidRPr="00D13AF1">
        <w:t>);</w:t>
      </w:r>
      <w:proofErr w:type="gramEnd"/>
    </w:p>
    <w:p w14:paraId="6AC75CEE" w14:textId="3DAA752F" w:rsidR="00255B2F" w:rsidRPr="00D13AF1" w:rsidRDefault="00300F8F" w:rsidP="00300F8F">
      <w:pPr>
        <w:pStyle w:val="Bulletlevel1"/>
      </w:pPr>
      <w:r w:rsidRPr="00D13AF1">
        <w:t>t</w:t>
      </w:r>
      <w:r w:rsidR="00255B2F" w:rsidRPr="00D13AF1">
        <w:t>he patient agrees that the physician determines whether or not the condition being diagnosed and/or treated is appropriate for a telemedicine encounter;</w:t>
      </w:r>
    </w:p>
    <w:p w14:paraId="7D44FDB5" w14:textId="7050D805" w:rsidR="00255B2F" w:rsidRPr="00D13AF1" w:rsidRDefault="00300F8F" w:rsidP="00300F8F">
      <w:pPr>
        <w:pStyle w:val="Bulletlevel1"/>
      </w:pPr>
      <w:r w:rsidRPr="00D13AF1">
        <w:t>d</w:t>
      </w:r>
      <w:r w:rsidR="00255B2F" w:rsidRPr="00D13AF1">
        <w:t>etails on security measures taken with the use of telemedicine technologies, such as encrypting data, password protected screen savers and data files, or utilizing other reliable authentication techniques, as well as potential risks to privacy notwithstanding such measures;</w:t>
      </w:r>
    </w:p>
    <w:p w14:paraId="5AC614A5" w14:textId="7BBE0031" w:rsidR="00255B2F" w:rsidRPr="00D13AF1" w:rsidRDefault="00300F8F" w:rsidP="00300F8F">
      <w:pPr>
        <w:pStyle w:val="Bulletlevel1"/>
      </w:pPr>
      <w:r w:rsidRPr="00D13AF1">
        <w:t>h</w:t>
      </w:r>
      <w:r w:rsidR="00255B2F" w:rsidRPr="00D13AF1">
        <w:t>old harmless clause for information lost due to technical failures; and</w:t>
      </w:r>
    </w:p>
    <w:p w14:paraId="7AA4DD0C" w14:textId="452A6CFC" w:rsidR="00255B2F" w:rsidRPr="00D13AF1" w:rsidRDefault="00300F8F" w:rsidP="003C3D4D">
      <w:pPr>
        <w:pStyle w:val="Bulletlevel1"/>
      </w:pPr>
      <w:r w:rsidRPr="00D13AF1">
        <w:t>r</w:t>
      </w:r>
      <w:r w:rsidR="00255B2F" w:rsidRPr="00D13AF1">
        <w:t>equirement for express patient consent to forward patient-identifiabl</w:t>
      </w:r>
      <w:r w:rsidR="003C3D4D" w:rsidRPr="00D13AF1">
        <w:t>e information to a third party.</w:t>
      </w:r>
    </w:p>
    <w:p w14:paraId="21C11A0F" w14:textId="36469A88" w:rsidR="00255B2F" w:rsidRPr="00D13AF1" w:rsidRDefault="00300F8F" w:rsidP="009C36F2">
      <w:pPr>
        <w:pStyle w:val="EmphasisPink"/>
        <w:keepNext/>
        <w:rPr>
          <w:i/>
        </w:rPr>
      </w:pPr>
      <w:r w:rsidRPr="00D13AF1">
        <w:rPr>
          <w:i/>
        </w:rPr>
        <w:t>Continuity of Care</w:t>
      </w:r>
    </w:p>
    <w:p w14:paraId="08117F4E" w14:textId="77777777" w:rsidR="00255B2F" w:rsidRPr="00D13AF1" w:rsidRDefault="00255B2F" w:rsidP="00300F8F">
      <w:pPr>
        <w:pStyle w:val="BodyEE"/>
      </w:pPr>
      <w:r w:rsidRPr="00D13AF1">
        <w:rPr>
          <w:rStyle w:val="Bulletlevel1Char"/>
          <w:rFonts w:cs="Times New Roman"/>
          <w:color w:val="38383A"/>
          <w:szCs w:val="60"/>
        </w:rPr>
        <w:t>Patients should be able to seek, with relative ease, follow-up care or information from</w:t>
      </w:r>
      <w:r w:rsidRPr="00D13AF1">
        <w:t xml:space="preserve"> the physician who conducts an encounter using telemedicine technologies. Physicians solely providing services using telemedicine technologies with no existing physician-patient relationship prior to the encounter must make documentation of the encounter using telemedicine technologies easily available to the patient, and subject to the patient’s consent, any identified care provider of the patient immediately after the encounter.</w:t>
      </w:r>
    </w:p>
    <w:p w14:paraId="11A45D79" w14:textId="174824F4" w:rsidR="00255B2F" w:rsidRPr="00D13AF1" w:rsidRDefault="00255B2F" w:rsidP="009C36F2">
      <w:pPr>
        <w:pStyle w:val="EmphasisPink"/>
        <w:keepNext/>
        <w:rPr>
          <w:i/>
        </w:rPr>
      </w:pPr>
      <w:r w:rsidRPr="00D13AF1">
        <w:rPr>
          <w:i/>
        </w:rPr>
        <w:t>Re</w:t>
      </w:r>
      <w:r w:rsidR="00300F8F" w:rsidRPr="00D13AF1">
        <w:rPr>
          <w:i/>
        </w:rPr>
        <w:t>ferrals for Emergency Services</w:t>
      </w:r>
    </w:p>
    <w:p w14:paraId="69A2A39A" w14:textId="77777777" w:rsidR="00255B2F" w:rsidRPr="00D13AF1" w:rsidRDefault="00255B2F" w:rsidP="00300F8F">
      <w:pPr>
        <w:pStyle w:val="BodyEE"/>
      </w:pPr>
      <w:r w:rsidRPr="00D13AF1">
        <w:t xml:space="preserve">An emergency plan is required and must be provided by the physician to the patient when the care provided using telemedicine technologies indicates that a referral to an acute care facility or ER for treatment is necessary for the safety of the patient. The emergency plan should include a formal, written protocol appropriate to the services being rendered via telemedicine technologies. </w:t>
      </w:r>
    </w:p>
    <w:p w14:paraId="6E466F7B" w14:textId="6579C3FD" w:rsidR="00255B2F" w:rsidRPr="00D13AF1" w:rsidRDefault="00300F8F" w:rsidP="009C36F2">
      <w:pPr>
        <w:pStyle w:val="EmphasisPink"/>
        <w:keepNext/>
        <w:rPr>
          <w:i/>
        </w:rPr>
      </w:pPr>
      <w:r w:rsidRPr="00D13AF1">
        <w:rPr>
          <w:i/>
        </w:rPr>
        <w:t>Medical Records</w:t>
      </w:r>
    </w:p>
    <w:p w14:paraId="1F2FA9C3" w14:textId="77777777" w:rsidR="00255B2F" w:rsidRPr="00D13AF1" w:rsidRDefault="00255B2F" w:rsidP="00300F8F">
      <w:pPr>
        <w:pStyle w:val="BodyEE"/>
      </w:pPr>
      <w:r w:rsidRPr="00D13AF1">
        <w:t xml:space="preserve">The medical record should include, if applicable, copies of all patient-related electronic communications, including patient-physician communication, prescriptions, laboratory and test results, evaluations and consultations, records of past care, and instructions obtained or produced in connection with the utilization of telemedicine technologies. Informed consents obtained in connection with an encounter involving telemedicine technologies should also be filed in the medical record. The patient record established during the use of telemedicine technologies must be accessible and documented for both the physician and the patient, consistent with all established laws and regulations governing patient healthcare records. </w:t>
      </w:r>
    </w:p>
    <w:p w14:paraId="77470E2E" w14:textId="0CFBA8BF" w:rsidR="00255B2F" w:rsidRPr="00D13AF1" w:rsidRDefault="00255B2F" w:rsidP="009C36F2">
      <w:pPr>
        <w:pStyle w:val="EmphasisPink"/>
        <w:keepNext/>
        <w:rPr>
          <w:i/>
        </w:rPr>
      </w:pPr>
      <w:r w:rsidRPr="00D13AF1">
        <w:rPr>
          <w:i/>
        </w:rPr>
        <w:t>Privacy and Security of Patient Rec</w:t>
      </w:r>
      <w:r w:rsidR="00D808E2" w:rsidRPr="00D13AF1">
        <w:rPr>
          <w:i/>
        </w:rPr>
        <w:t>ords &amp; Exchange of Information</w:t>
      </w:r>
    </w:p>
    <w:p w14:paraId="7BF7E5A2" w14:textId="7027D086" w:rsidR="00255B2F" w:rsidRPr="00D13AF1" w:rsidRDefault="00255B2F" w:rsidP="00D808E2">
      <w:pPr>
        <w:pStyle w:val="BodyEE"/>
      </w:pPr>
      <w:r w:rsidRPr="00D13AF1">
        <w:t xml:space="preserve">Physicians should meet or exceed applicable federal and state legal requirements of medical/health information privacy, including compliance with the Health Insurance Portability and Accountability Act (HIPAA) and state privacy, confidentiality, security, and medical retention rules. Physicians are referred to </w:t>
      </w:r>
      <w:r w:rsidRPr="00D13AF1">
        <w:lastRenderedPageBreak/>
        <w:t>“Standards for Privacy of Individually Identifiable Health Information,” issued by the Department of Health and Human Services (HHS). Written policies and procedures should be maintained at the same standard as traditional face-to-face encounters for documentation, maintenance, and transmission of the records of the encounter using telemedicine technologies. Such policies and procedures should address</w:t>
      </w:r>
      <w:r w:rsidR="00D808E2" w:rsidRPr="00D13AF1">
        <w:t>:</w:t>
      </w:r>
      <w:r w:rsidRPr="00D13AF1">
        <w:t xml:space="preserve"> </w:t>
      </w:r>
    </w:p>
    <w:p w14:paraId="70317069" w14:textId="4DA81B77" w:rsidR="00255B2F" w:rsidRPr="00D13AF1" w:rsidRDefault="00D808E2" w:rsidP="00D808E2">
      <w:pPr>
        <w:pStyle w:val="Bulletlevel1"/>
      </w:pPr>
      <w:r w:rsidRPr="00D13AF1">
        <w:t>p</w:t>
      </w:r>
      <w:r w:rsidR="00255B2F" w:rsidRPr="00D13AF1">
        <w:t xml:space="preserve">rivacy, </w:t>
      </w:r>
    </w:p>
    <w:p w14:paraId="33B25006" w14:textId="3F7F8EAA" w:rsidR="00255B2F" w:rsidRPr="00D13AF1" w:rsidRDefault="00D808E2" w:rsidP="00D808E2">
      <w:pPr>
        <w:pStyle w:val="Bulletlevel1"/>
      </w:pPr>
      <w:r w:rsidRPr="00D13AF1">
        <w:t>h</w:t>
      </w:r>
      <w:r w:rsidR="00255B2F" w:rsidRPr="00D13AF1">
        <w:t xml:space="preserve">ealth-care personnel (in addition to the physician addressee) who will process messages, </w:t>
      </w:r>
    </w:p>
    <w:p w14:paraId="5AB4D4F6" w14:textId="21FC7D25" w:rsidR="00255B2F" w:rsidRPr="00D13AF1" w:rsidRDefault="00D808E2" w:rsidP="00D808E2">
      <w:pPr>
        <w:pStyle w:val="Bulletlevel1"/>
      </w:pPr>
      <w:r w:rsidRPr="00D13AF1">
        <w:t>h</w:t>
      </w:r>
      <w:r w:rsidR="00255B2F" w:rsidRPr="00D13AF1">
        <w:t>ours of operation,</w:t>
      </w:r>
    </w:p>
    <w:p w14:paraId="665AD8F3" w14:textId="01018EBF" w:rsidR="00255B2F" w:rsidRPr="00D13AF1" w:rsidRDefault="00D808E2" w:rsidP="00D808E2">
      <w:pPr>
        <w:pStyle w:val="Bulletlevel1"/>
      </w:pPr>
      <w:r w:rsidRPr="00D13AF1">
        <w:t>t</w:t>
      </w:r>
      <w:r w:rsidR="00255B2F" w:rsidRPr="00D13AF1">
        <w:t>ypes of transactions that will be permitted electronically,</w:t>
      </w:r>
    </w:p>
    <w:p w14:paraId="4641DE95" w14:textId="7B09D35F" w:rsidR="00255B2F" w:rsidRPr="00D13AF1" w:rsidRDefault="00D808E2" w:rsidP="00D808E2">
      <w:pPr>
        <w:pStyle w:val="Bulletlevel1"/>
      </w:pPr>
      <w:r w:rsidRPr="00D13AF1">
        <w:t>r</w:t>
      </w:r>
      <w:r w:rsidR="00255B2F" w:rsidRPr="00D13AF1">
        <w:t xml:space="preserve">equired patient information to be included in the communication, such as patient name, identification number and type of transaction, </w:t>
      </w:r>
    </w:p>
    <w:p w14:paraId="6804E114" w14:textId="47CD4131" w:rsidR="00255B2F" w:rsidRPr="00D13AF1" w:rsidRDefault="00D808E2" w:rsidP="00D808E2">
      <w:pPr>
        <w:pStyle w:val="Bulletlevel1"/>
      </w:pPr>
      <w:r w:rsidRPr="00D13AF1">
        <w:t>a</w:t>
      </w:r>
      <w:r w:rsidR="00255B2F" w:rsidRPr="00D13AF1">
        <w:t>rchival and retrieval, and</w:t>
      </w:r>
    </w:p>
    <w:p w14:paraId="1E3BAC23" w14:textId="58312365" w:rsidR="00255B2F" w:rsidRPr="00D13AF1" w:rsidRDefault="00D808E2" w:rsidP="00D808E2">
      <w:pPr>
        <w:pStyle w:val="Bulletlevel1"/>
      </w:pPr>
      <w:r w:rsidRPr="00D13AF1">
        <w:t>q</w:t>
      </w:r>
      <w:r w:rsidR="00255B2F" w:rsidRPr="00D13AF1">
        <w:t xml:space="preserve">uality oversight mechanisms. </w:t>
      </w:r>
    </w:p>
    <w:p w14:paraId="72477575" w14:textId="114D4AE5" w:rsidR="00255B2F" w:rsidRPr="00D13AF1" w:rsidRDefault="00255B2F" w:rsidP="00D808E2">
      <w:pPr>
        <w:pStyle w:val="BodyEE"/>
      </w:pPr>
      <w:r w:rsidRPr="00D13AF1">
        <w:t>Policies and procedures should be periodically evaluated and maintained in an accessible and readily available manner for review. Sufficient privacy and security measures must be in place and documented to assure confidentiality and integrity of patient-identifiable information. Transmissions, including patient e-mail, prescriptions, and laboratory results must be secure within existing technology (i.e. password protected, encrypted electronic prescriptions, or other reliable authentication techniques). All patient-physician e-mail, as well as other patient-related electronic communications, should be stored and filed in the patient’s medical record, consistent with traditional recordkeeping policies and procedures.</w:t>
      </w:r>
    </w:p>
    <w:p w14:paraId="40815DD1" w14:textId="12741832" w:rsidR="00255B2F" w:rsidRPr="00D13AF1" w:rsidRDefault="00255B2F" w:rsidP="00300F8F">
      <w:pPr>
        <w:pStyle w:val="EmphasisPink"/>
        <w:keepNext/>
        <w:rPr>
          <w:i/>
        </w:rPr>
      </w:pPr>
      <w:r w:rsidRPr="00D13AF1">
        <w:rPr>
          <w:i/>
        </w:rPr>
        <w:t>Disclosures and Functionality on Online Services Making Avai</w:t>
      </w:r>
      <w:r w:rsidR="00F918C9" w:rsidRPr="00D13AF1">
        <w:rPr>
          <w:i/>
        </w:rPr>
        <w:t>lable Telemedicine Technologies</w:t>
      </w:r>
      <w:r w:rsidRPr="00D13AF1">
        <w:rPr>
          <w:i/>
        </w:rPr>
        <w:t xml:space="preserve"> </w:t>
      </w:r>
    </w:p>
    <w:p w14:paraId="3DF8EE19" w14:textId="77777777" w:rsidR="00255B2F" w:rsidRPr="00D13AF1" w:rsidRDefault="00255B2F" w:rsidP="00D808E2">
      <w:pPr>
        <w:pStyle w:val="BodyEE"/>
        <w:keepNext/>
      </w:pPr>
      <w:r w:rsidRPr="00D13AF1">
        <w:t>Online services used by physicians providing medical services using telemedicine technologies should clearly disclose:</w:t>
      </w:r>
    </w:p>
    <w:p w14:paraId="11D30063" w14:textId="0375FE6C" w:rsidR="00255B2F" w:rsidRPr="00D13AF1" w:rsidRDefault="00D808E2" w:rsidP="00D808E2">
      <w:pPr>
        <w:pStyle w:val="Bulletlevel1"/>
      </w:pPr>
      <w:r w:rsidRPr="00D13AF1">
        <w:t>s</w:t>
      </w:r>
      <w:r w:rsidR="00255B2F" w:rsidRPr="00D13AF1">
        <w:t>pecific services provided;</w:t>
      </w:r>
    </w:p>
    <w:p w14:paraId="66C29E7E" w14:textId="1265966D" w:rsidR="00255B2F" w:rsidRPr="00D13AF1" w:rsidRDefault="00D808E2" w:rsidP="00D808E2">
      <w:pPr>
        <w:pStyle w:val="Bulletlevel1"/>
      </w:pPr>
      <w:r w:rsidRPr="00D13AF1">
        <w:t>c</w:t>
      </w:r>
      <w:r w:rsidR="00255B2F" w:rsidRPr="00D13AF1">
        <w:t>ontact information for physician;</w:t>
      </w:r>
    </w:p>
    <w:p w14:paraId="53474162" w14:textId="1E3963AC" w:rsidR="00255B2F" w:rsidRPr="00D13AF1" w:rsidRDefault="00D808E2" w:rsidP="00D808E2">
      <w:pPr>
        <w:pStyle w:val="Bulletlevel1"/>
      </w:pPr>
      <w:r w:rsidRPr="00D13AF1">
        <w:t>l</w:t>
      </w:r>
      <w:r w:rsidR="00255B2F" w:rsidRPr="00D13AF1">
        <w:t>icensure and qualifications of physician(s) and associated physicians;</w:t>
      </w:r>
    </w:p>
    <w:p w14:paraId="6FA41EDF" w14:textId="284990DF" w:rsidR="00255B2F" w:rsidRPr="00D13AF1" w:rsidRDefault="00D808E2" w:rsidP="00D808E2">
      <w:pPr>
        <w:pStyle w:val="Bulletlevel1"/>
      </w:pPr>
      <w:r w:rsidRPr="00D13AF1">
        <w:t>f</w:t>
      </w:r>
      <w:r w:rsidR="00255B2F" w:rsidRPr="00D13AF1">
        <w:t>ees for services and how payment is to be made;</w:t>
      </w:r>
    </w:p>
    <w:p w14:paraId="06413BCA" w14:textId="381278CB" w:rsidR="00255B2F" w:rsidRPr="00D13AF1" w:rsidRDefault="00D808E2" w:rsidP="00D808E2">
      <w:pPr>
        <w:pStyle w:val="Bulletlevel1"/>
      </w:pPr>
      <w:r w:rsidRPr="00D13AF1">
        <w:t>f</w:t>
      </w:r>
      <w:r w:rsidR="00255B2F" w:rsidRPr="00D13AF1">
        <w:t>inancial interests, other than fees charged, in any information, products, or services provided by a physician;</w:t>
      </w:r>
    </w:p>
    <w:p w14:paraId="0F9F61B8" w14:textId="7E9A9B67" w:rsidR="00255B2F" w:rsidRPr="00D13AF1" w:rsidRDefault="00D808E2" w:rsidP="00D808E2">
      <w:pPr>
        <w:pStyle w:val="Bulletlevel1"/>
      </w:pPr>
      <w:r w:rsidRPr="00D13AF1">
        <w:t>a</w:t>
      </w:r>
      <w:r w:rsidR="00255B2F" w:rsidRPr="00D13AF1">
        <w:t>ppropriate uses and limitations of the site, including emergency health situations;</w:t>
      </w:r>
    </w:p>
    <w:p w14:paraId="70747F32" w14:textId="5F103CB6" w:rsidR="00255B2F" w:rsidRPr="00D13AF1" w:rsidRDefault="00D808E2" w:rsidP="00D808E2">
      <w:pPr>
        <w:pStyle w:val="Bulletlevel1"/>
      </w:pPr>
      <w:r w:rsidRPr="00D13AF1">
        <w:t>u</w:t>
      </w:r>
      <w:r w:rsidR="00255B2F" w:rsidRPr="00D13AF1">
        <w:t>ses and response times for e-mails, electronic messages and other communications transmitted via telemedicine technologies;</w:t>
      </w:r>
    </w:p>
    <w:p w14:paraId="40409993" w14:textId="516707CE" w:rsidR="00255B2F" w:rsidRPr="00D13AF1" w:rsidRDefault="00D808E2" w:rsidP="00D808E2">
      <w:pPr>
        <w:pStyle w:val="Bulletlevel1"/>
      </w:pPr>
      <w:r w:rsidRPr="00D13AF1">
        <w:t>t</w:t>
      </w:r>
      <w:r w:rsidR="00255B2F" w:rsidRPr="00D13AF1">
        <w:t>o whom patient health information may be disclosed and for what purpose;</w:t>
      </w:r>
    </w:p>
    <w:p w14:paraId="09507259" w14:textId="2AF4EF2F" w:rsidR="00255B2F" w:rsidRPr="00D13AF1" w:rsidRDefault="00D808E2" w:rsidP="00D808E2">
      <w:pPr>
        <w:pStyle w:val="Bulletlevel1"/>
      </w:pPr>
      <w:r w:rsidRPr="00D13AF1">
        <w:t>r</w:t>
      </w:r>
      <w:r w:rsidR="00255B2F" w:rsidRPr="00D13AF1">
        <w:t>ights of patients with respect to patient health information; and</w:t>
      </w:r>
    </w:p>
    <w:p w14:paraId="6E3F80EB" w14:textId="4371EFC9" w:rsidR="00255B2F" w:rsidRPr="00D13AF1" w:rsidRDefault="00D808E2" w:rsidP="00D808E2">
      <w:pPr>
        <w:pStyle w:val="Bulletlevel1"/>
      </w:pPr>
      <w:r w:rsidRPr="00D13AF1">
        <w:t>i</w:t>
      </w:r>
      <w:r w:rsidR="00255B2F" w:rsidRPr="00D13AF1">
        <w:t>nformation collected and any passive tracking mechanisms utilized.</w:t>
      </w:r>
    </w:p>
    <w:p w14:paraId="1541A73E" w14:textId="77777777" w:rsidR="00255B2F" w:rsidRPr="00D13AF1" w:rsidRDefault="00255B2F" w:rsidP="003B531C">
      <w:pPr>
        <w:pStyle w:val="BodyEE"/>
        <w:keepNext/>
      </w:pPr>
      <w:r w:rsidRPr="00D13AF1">
        <w:t>Online services used by physicians providing medical services using telemedicine technologies should provide patients a clear mechanism to:</w:t>
      </w:r>
    </w:p>
    <w:p w14:paraId="12B9B058" w14:textId="5D55E85D" w:rsidR="00255B2F" w:rsidRPr="00D13AF1" w:rsidRDefault="003B531C" w:rsidP="003B531C">
      <w:pPr>
        <w:pStyle w:val="Bulletlevel1"/>
      </w:pPr>
      <w:r w:rsidRPr="00D13AF1">
        <w:t>a</w:t>
      </w:r>
      <w:r w:rsidR="00255B2F" w:rsidRPr="00D13AF1">
        <w:t>ccess, supplement and amend patient-provided personal health information;</w:t>
      </w:r>
    </w:p>
    <w:p w14:paraId="78AEE9FF" w14:textId="3F6D3F60" w:rsidR="00255B2F" w:rsidRPr="00D13AF1" w:rsidRDefault="003B531C" w:rsidP="003B531C">
      <w:pPr>
        <w:pStyle w:val="Bulletlevel1"/>
      </w:pPr>
      <w:r w:rsidRPr="00D13AF1">
        <w:t>p</w:t>
      </w:r>
      <w:r w:rsidR="00255B2F" w:rsidRPr="00D13AF1">
        <w:t>rovide feedback regarding the site and the quality of information and services; and</w:t>
      </w:r>
    </w:p>
    <w:p w14:paraId="6953C728" w14:textId="75EDADC0" w:rsidR="00255B2F" w:rsidRPr="00D13AF1" w:rsidRDefault="003B531C" w:rsidP="003B531C">
      <w:pPr>
        <w:pStyle w:val="Bulletlevel1"/>
      </w:pPr>
      <w:r w:rsidRPr="00D13AF1">
        <w:t>r</w:t>
      </w:r>
      <w:r w:rsidR="00255B2F" w:rsidRPr="00D13AF1">
        <w:t xml:space="preserve">egister complaints, including information regarding filing a complaint with the applicable state medical and osteopathic board(s). </w:t>
      </w:r>
    </w:p>
    <w:p w14:paraId="467B99BB" w14:textId="7806E551" w:rsidR="00255B2F" w:rsidRPr="00D13AF1" w:rsidRDefault="00255B2F" w:rsidP="003B531C">
      <w:pPr>
        <w:pStyle w:val="BodyEE"/>
      </w:pPr>
      <w:r w:rsidRPr="00D13AF1">
        <w:t xml:space="preserve">Online services must have accurate and transparent information about the website owner/operator, location, and contact information, including a domain name that accurately reflects the identity. </w:t>
      </w:r>
    </w:p>
    <w:p w14:paraId="0EC570BB" w14:textId="77777777" w:rsidR="00255B2F" w:rsidRPr="00D13AF1" w:rsidRDefault="00255B2F" w:rsidP="003B531C">
      <w:pPr>
        <w:pStyle w:val="BodyEE"/>
      </w:pPr>
      <w:r w:rsidRPr="00D13AF1">
        <w:t xml:space="preserve">Advertising or </w:t>
      </w:r>
      <w:r w:rsidRPr="00D13AF1">
        <w:rPr>
          <w:rStyle w:val="BodyEEChar"/>
        </w:rPr>
        <w:t xml:space="preserve">promotion of goods or products from which the physician receives direct remuneration, benefits, or incentives (other than the fees for the medical care services) is prohibited. Notwithstanding, online services may provide links to general health information sites to enhance patient education; however, </w:t>
      </w:r>
      <w:r w:rsidRPr="00D13AF1">
        <w:rPr>
          <w:rStyle w:val="BodyEEChar"/>
        </w:rPr>
        <w:lastRenderedPageBreak/>
        <w:t>the physician should not benefit financially from providing such links or from the services or products marketed by such links. When providing links to other sites, physicians should be aware of the implied endorsement of the information, services or products offered from such sites. The maintenance of preferred relationships with any pharmacy is prohibited. Physicians shall not transmit prescriptions to a specific pharmacy, or recommend a pharmacy, in exchange for any type of consideration or benefit form that pharmac</w:t>
      </w:r>
      <w:r w:rsidRPr="00D13AF1">
        <w:t>y.</w:t>
      </w:r>
    </w:p>
    <w:p w14:paraId="70F3143C" w14:textId="0DCDBF88" w:rsidR="00255B2F" w:rsidRPr="00D13AF1" w:rsidRDefault="00F918C9" w:rsidP="00300F8F">
      <w:pPr>
        <w:pStyle w:val="EmphasisPink"/>
        <w:keepNext/>
        <w:rPr>
          <w:i/>
        </w:rPr>
      </w:pPr>
      <w:r w:rsidRPr="00D13AF1">
        <w:rPr>
          <w:i/>
        </w:rPr>
        <w:t>Prescribing</w:t>
      </w:r>
      <w:r w:rsidR="00255B2F" w:rsidRPr="00D13AF1">
        <w:rPr>
          <w:i/>
        </w:rPr>
        <w:t xml:space="preserve"> </w:t>
      </w:r>
    </w:p>
    <w:p w14:paraId="385C4885" w14:textId="77777777" w:rsidR="00255B2F" w:rsidRPr="00D13AF1" w:rsidRDefault="00255B2F" w:rsidP="003B531C">
      <w:pPr>
        <w:pStyle w:val="BodyEE"/>
      </w:pPr>
      <w:r w:rsidRPr="00D13AF1">
        <w:t>Telemedicine technologies, where prescribing may be contemplated, must implement measures to uphold patient safety in the absence of traditional physical examination. Such measures should guarantee that the identity of the patient and provider is clearly established and that detailed documentation for the clinical evaluation and resulting prescription is both enforced and independently kept. Measures to assure informed, accurate, and error prevention prescribing practices (e.g. integration with e-Prescription systems) are encouraged. To further assure patient safety in the absence of physical examination, telemedicine technologies should limit medication formularies to ones that are deemed safe by a State Board. Prescribing medications, in-person or via telemedicine, is at the professional discretion of the physician. The indication, appropriateness, and safety considerations for each telemedicine visit prescription must be evaluated by the physician in accordance with current standards of practice and consequently carry the same professional accountability as prescriptions delivered during an encounter in person. However, where such measures are upheld, and the appropriate clinical consideration is carried out and documented, physicians may exercise their judgment and prescribe medications as part of telemedicine encounters.</w:t>
      </w:r>
    </w:p>
    <w:p w14:paraId="4756E092" w14:textId="77777777" w:rsidR="00255B2F" w:rsidRPr="00D13AF1" w:rsidRDefault="00255B2F" w:rsidP="00255B2F">
      <w:pPr>
        <w:pStyle w:val="Heading3Pink"/>
      </w:pPr>
      <w:r w:rsidRPr="00D13AF1">
        <w:t>Cross-jurisdiction issues with telemedicine</w:t>
      </w:r>
      <w:r w:rsidRPr="00D13AF1">
        <w:rPr>
          <w:rStyle w:val="FootnoteReference"/>
        </w:rPr>
        <w:footnoteReference w:id="138"/>
      </w:r>
    </w:p>
    <w:p w14:paraId="6AF21B1A" w14:textId="77777777" w:rsidR="00255B2F" w:rsidRPr="00D13AF1" w:rsidRDefault="00255B2F" w:rsidP="00255B2F">
      <w:pPr>
        <w:pStyle w:val="BodyEE"/>
      </w:pPr>
      <w:r w:rsidRPr="00D13AF1">
        <w:t xml:space="preserve">Telehealth makes it possible for providers to connect with patients in other states.  When this happens, the originating site (the location of the patient) is considered the “place of service”, and therefore the distant site provider must adhere to the licensing rules and regulations of the state in which the patient is located.  Each state has their own laws and regulations around licensing which are typically enforced by the state medical board.   </w:t>
      </w:r>
    </w:p>
    <w:p w14:paraId="65069B05" w14:textId="77777777" w:rsidR="00255B2F" w:rsidRPr="00D13AF1" w:rsidRDefault="00255B2F" w:rsidP="00255B2F">
      <w:pPr>
        <w:pStyle w:val="BodyEE"/>
      </w:pPr>
      <w:r w:rsidRPr="00D13AF1">
        <w:t xml:space="preserve">Most state medical boards enforce strict licensure rules, requiring providers to have a full medical license in the state the patient is physically located in.  Therefore, in the case of a telehealth consultation between a provider in California and a patient in Hawaii, for example, the provider must obtain a Hawaii medical license before performing the telemedicine consultation. </w:t>
      </w:r>
    </w:p>
    <w:p w14:paraId="49760248" w14:textId="77777777" w:rsidR="00255B2F" w:rsidRPr="00D13AF1" w:rsidRDefault="00255B2F" w:rsidP="00255B2F">
      <w:pPr>
        <w:pStyle w:val="BodyEE"/>
      </w:pPr>
      <w:r w:rsidRPr="00D13AF1">
        <w:t xml:space="preserve">Under certain circumstances, such as emergencies, an exception may be made to the requirements for state licensure. If all of the patient interactions are within the State in which a doctor is licensed, he/she maintains the licensure in good standing, and complies with accepted standards, the doctor is unlikely to have any significant licensure issues.  Additional restrictions may apply if medical professionals are prescribing medication across state lines.  </w:t>
      </w:r>
    </w:p>
    <w:p w14:paraId="4F425A79" w14:textId="77777777" w:rsidR="00255B2F" w:rsidRPr="00D13AF1" w:rsidRDefault="00255B2F" w:rsidP="00255B2F">
      <w:pPr>
        <w:pStyle w:val="Bulletlevel1"/>
      </w:pPr>
      <w:r w:rsidRPr="00D13AF1">
        <w:t xml:space="preserve">Forty-eight state boards, plus the medical boards of District of Columbia, Puerto Rico, and the Virgin Islands, require that physicians engaging in telemedicine are licensed in the state in which the patient is located. </w:t>
      </w:r>
    </w:p>
    <w:p w14:paraId="3F95B763" w14:textId="77777777" w:rsidR="00255B2F" w:rsidRPr="00D13AF1" w:rsidRDefault="00255B2F" w:rsidP="00255B2F">
      <w:pPr>
        <w:pStyle w:val="Bulletlevel1"/>
      </w:pPr>
      <w:r w:rsidRPr="00D13AF1">
        <w:t xml:space="preserve">Fifteen state boards issue a special purpose license, telemedicine license or certificate, or license to practice medicine across state lines to allow for the practice of telemedicine. </w:t>
      </w:r>
    </w:p>
    <w:p w14:paraId="6DA92C3A" w14:textId="77777777" w:rsidR="00255B2F" w:rsidRPr="00D13AF1" w:rsidRDefault="00255B2F" w:rsidP="00255B2F">
      <w:pPr>
        <w:pStyle w:val="Bulletlevel1"/>
      </w:pPr>
      <w:r w:rsidRPr="00D13AF1">
        <w:t>Four state boards require physicians to register if they wish to practice across state lines.</w:t>
      </w:r>
    </w:p>
    <w:p w14:paraId="0E12900E" w14:textId="77777777" w:rsidR="00255B2F" w:rsidRPr="00D13AF1" w:rsidRDefault="00255B2F" w:rsidP="00255B2F">
      <w:pPr>
        <w:pStyle w:val="Bulletlevel1"/>
      </w:pPr>
      <w:r w:rsidRPr="00D13AF1">
        <w:t xml:space="preserve">Twenty-eight states, plus the District of Columbia, require both private insurance companies and Medicaid to cover telemedicine services to the same extent as face-to-face consultations. </w:t>
      </w:r>
    </w:p>
    <w:p w14:paraId="792D1A9C" w14:textId="77777777" w:rsidR="00255B2F" w:rsidRPr="00D13AF1" w:rsidRDefault="00255B2F" w:rsidP="00255B2F">
      <w:pPr>
        <w:pStyle w:val="Bulletlevel1"/>
      </w:pPr>
      <w:r w:rsidRPr="00D13AF1">
        <w:lastRenderedPageBreak/>
        <w:t>Eighteen states currently require only Medicaid to cover telemedicine services.</w:t>
      </w:r>
    </w:p>
    <w:p w14:paraId="5262D559" w14:textId="77777777" w:rsidR="00255B2F" w:rsidRPr="00D13AF1" w:rsidRDefault="00255B2F" w:rsidP="00255B2F">
      <w:pPr>
        <w:pStyle w:val="Bulletlevel1"/>
      </w:pPr>
      <w:r w:rsidRPr="00D13AF1">
        <w:t>One state requires only private insurance companies to reimburse for services provided through telemedicine.</w:t>
      </w:r>
    </w:p>
    <w:p w14:paraId="349F88C8" w14:textId="77777777" w:rsidR="00255B2F" w:rsidRPr="00D13AF1" w:rsidRDefault="00255B2F" w:rsidP="00B463B4">
      <w:pPr>
        <w:pStyle w:val="Heading2Pink"/>
      </w:pPr>
      <w:bookmarkStart w:id="212" w:name="_Toc504484180"/>
      <w:bookmarkStart w:id="213" w:name="_Hlk494365666"/>
      <w:r w:rsidRPr="00D13AF1">
        <w:t>American Telemedicine Association</w:t>
      </w:r>
      <w:bookmarkEnd w:id="212"/>
    </w:p>
    <w:bookmarkEnd w:id="213"/>
    <w:p w14:paraId="674F2523" w14:textId="77777777" w:rsidR="00255B2F" w:rsidRPr="00D13AF1" w:rsidRDefault="00255B2F" w:rsidP="00255B2F">
      <w:pPr>
        <w:pStyle w:val="Heading3Pink"/>
      </w:pPr>
      <w:r w:rsidRPr="00D13AF1">
        <w:t>Definition of telemedicine</w:t>
      </w:r>
    </w:p>
    <w:p w14:paraId="6250B0AA" w14:textId="77777777" w:rsidR="00255B2F" w:rsidRPr="00D13AF1" w:rsidRDefault="00255B2F" w:rsidP="001801E0">
      <w:pPr>
        <w:pStyle w:val="BodyEE"/>
        <w:keepNext/>
      </w:pPr>
      <w:bookmarkStart w:id="214" w:name="_Hlk494365670"/>
      <w:r w:rsidRPr="00D13AF1">
        <w:t xml:space="preserve">The American Telemedicine Association, in its FAQs defines telemedicine as: </w:t>
      </w:r>
    </w:p>
    <w:p w14:paraId="4C965AC0" w14:textId="77777777" w:rsidR="00255B2F" w:rsidRPr="00D13AF1" w:rsidRDefault="00255B2F" w:rsidP="00255B2F">
      <w:pPr>
        <w:pStyle w:val="LongQuotePurple"/>
      </w:pPr>
      <w:r w:rsidRPr="00D13AF1">
        <w:t>In brief, telemedicine is the remote delivery of health care services and clinical information using telecommunications technology.  This includes a wide array of clinical services using internet, wireless, satellite and telephone media.</w:t>
      </w:r>
    </w:p>
    <w:p w14:paraId="3F244E4B" w14:textId="77777777" w:rsidR="00255B2F" w:rsidRPr="00D13AF1" w:rsidRDefault="00255B2F" w:rsidP="00255B2F">
      <w:pPr>
        <w:pStyle w:val="LongQuotePurple"/>
      </w:pPr>
      <w:r w:rsidRPr="00D13AF1">
        <w:t>While some have parsed out unique definitions for each word, ATA treats "telemedicine" and "telehealth" as synonyms and uses the terms interchangeably. In both cases, we are referring to the use of remote health care technology to deliver clinical services.</w:t>
      </w:r>
    </w:p>
    <w:p w14:paraId="6EDC6537" w14:textId="5B9D26A1" w:rsidR="00255B2F" w:rsidRPr="00D13AF1" w:rsidRDefault="000E3F7C" w:rsidP="000E3F7C">
      <w:pPr>
        <w:pStyle w:val="LongQuotePurple"/>
      </w:pPr>
      <w:r w:rsidRPr="00D13AF1">
        <w:t xml:space="preserve">— </w:t>
      </w:r>
      <w:r w:rsidR="00255B2F" w:rsidRPr="00D13AF1">
        <w:t xml:space="preserve">American Telemedicine Association </w:t>
      </w:r>
    </w:p>
    <w:bookmarkEnd w:id="214"/>
    <w:p w14:paraId="1823E43F" w14:textId="77777777" w:rsidR="00255B2F" w:rsidRPr="00D13AF1" w:rsidRDefault="00255B2F" w:rsidP="00255B2F">
      <w:pPr>
        <w:pStyle w:val="Heading3Pink"/>
      </w:pPr>
      <w:r w:rsidRPr="00D13AF1">
        <w:t>Regulation of individual doctors who provide telemedicine services</w:t>
      </w:r>
    </w:p>
    <w:p w14:paraId="33F802B4" w14:textId="74FBDBA5" w:rsidR="00255B2F" w:rsidRPr="00D13AF1" w:rsidRDefault="00255B2F" w:rsidP="00255B2F">
      <w:pPr>
        <w:pStyle w:val="BodyEE"/>
      </w:pPr>
      <w:r w:rsidRPr="00D13AF1">
        <w:t xml:space="preserve">The ATA describes the ethical code that physicians should follow while practicing telemedicine. A telemedicine physician is held to very similar ethics as a conventional physician. In telemedicine the physician must </w:t>
      </w:r>
      <w:r w:rsidR="002659CD" w:rsidRPr="002659CD">
        <w:t>inform the patient of their rights and responsibilities</w:t>
      </w:r>
      <w:r w:rsidRPr="00D13AF1">
        <w:t>, have no conflict of interest, and help patients answer ethical questions.</w:t>
      </w:r>
      <w:r w:rsidRPr="00D13AF1">
        <w:rPr>
          <w:rStyle w:val="FootnoteReference"/>
        </w:rPr>
        <w:footnoteReference w:id="139"/>
      </w:r>
    </w:p>
    <w:p w14:paraId="36978B56" w14:textId="7447527A" w:rsidR="00AC0CDC" w:rsidRPr="00D13AF1" w:rsidRDefault="00AC0CDC" w:rsidP="00B463B4">
      <w:pPr>
        <w:pStyle w:val="Heading2Pink"/>
      </w:pPr>
      <w:bookmarkStart w:id="215" w:name="_Toc504484181"/>
      <w:bookmarkStart w:id="216" w:name="_Hlk494365675"/>
      <w:r w:rsidRPr="00D13AF1">
        <w:t>State of Maine Board of Licensure in Medicine</w:t>
      </w:r>
      <w:r w:rsidRPr="00D13AF1">
        <w:rPr>
          <w:vertAlign w:val="superscript"/>
        </w:rPr>
        <w:footnoteReference w:id="140"/>
      </w:r>
      <w:bookmarkEnd w:id="215"/>
    </w:p>
    <w:bookmarkEnd w:id="216"/>
    <w:p w14:paraId="6EC92407" w14:textId="46192F60" w:rsidR="00AC0CDC" w:rsidRPr="00D13AF1" w:rsidRDefault="00E45813" w:rsidP="00AC0CDC">
      <w:pPr>
        <w:pStyle w:val="BodyEE"/>
      </w:pPr>
      <w:r w:rsidRPr="00D13AF1">
        <w:t>The Board</w:t>
      </w:r>
      <w:r w:rsidR="00AC0CDC" w:rsidRPr="00D13AF1">
        <w:t xml:space="preserve"> regulate</w:t>
      </w:r>
      <w:r w:rsidRPr="00D13AF1">
        <w:t>s</w:t>
      </w:r>
      <w:r w:rsidR="00AC0CDC" w:rsidRPr="00D13AF1">
        <w:t xml:space="preserve"> allopathic physicians and physician assistants.</w:t>
      </w:r>
    </w:p>
    <w:p w14:paraId="35780CD1" w14:textId="77777777" w:rsidR="00AC0CDC" w:rsidRPr="00D13AF1" w:rsidRDefault="00AC0CDC" w:rsidP="00AC0CDC">
      <w:pPr>
        <w:pStyle w:val="Heading3Pink"/>
      </w:pPr>
      <w:bookmarkStart w:id="217" w:name="_Ref499730911"/>
      <w:r w:rsidRPr="00D13AF1">
        <w:t>Definition of telemedicine</w:t>
      </w:r>
      <w:bookmarkEnd w:id="217"/>
    </w:p>
    <w:p w14:paraId="59907388" w14:textId="77777777" w:rsidR="00AC0CDC" w:rsidRPr="00D13AF1" w:rsidRDefault="00AC0CDC" w:rsidP="00AC0CDC">
      <w:pPr>
        <w:pStyle w:val="BodyEE"/>
      </w:pPr>
      <w:bookmarkStart w:id="218" w:name="_Hlk494365679"/>
      <w:r w:rsidRPr="00D13AF1">
        <w:rPr>
          <w:szCs w:val="22"/>
        </w:rPr>
        <w:t>“Telemedicine” means the practice of medicine or the rendering of health care services using electronic audio-visual communications and information technologies or other means, including interactive audio with asynchronous store-and-forward transmission, between a licensee in one location and a patient in another location with or without an intervening health care provider. Telemedicine includes asynchronous store-and-forward technologies, remote monitoring, and real-time interactive services, including teleradiology and telepathology. Telemedicine shall not include the provision of medical services only through an audio-only telephone, e-mail, instant messaging, facsimile transmission, or U.S. mail or other parcel service, or any combination thereof.</w:t>
      </w:r>
    </w:p>
    <w:bookmarkEnd w:id="218"/>
    <w:p w14:paraId="15AD1ECC" w14:textId="77777777" w:rsidR="00AC0CDC" w:rsidRPr="00D13AF1" w:rsidRDefault="00AC0CDC" w:rsidP="00AC0CDC">
      <w:pPr>
        <w:pStyle w:val="Heading3Pink"/>
      </w:pPr>
      <w:r w:rsidRPr="00D13AF1">
        <w:t>Frameworks for telemedicine regulation</w:t>
      </w:r>
    </w:p>
    <w:p w14:paraId="2D832B49" w14:textId="1FA9C4EB" w:rsidR="00AC0CDC" w:rsidRPr="00D13AF1" w:rsidRDefault="00AC0CDC" w:rsidP="00AC0CDC">
      <w:pPr>
        <w:pStyle w:val="BodyEE"/>
      </w:pPr>
      <w:r w:rsidRPr="00D13AF1">
        <w:t>State of Maine Board of Licensure has formal regulations and/or policies regarding telemedicine. It develops requirements in the following areas:</w:t>
      </w:r>
    </w:p>
    <w:p w14:paraId="22CFDC16" w14:textId="1208505A" w:rsidR="00AC0CDC" w:rsidRPr="00D13AF1" w:rsidRDefault="00AC0CDC" w:rsidP="00AC0CDC">
      <w:pPr>
        <w:pStyle w:val="Bulletlevel1"/>
      </w:pPr>
      <w:r w:rsidRPr="00D13AF1">
        <w:lastRenderedPageBreak/>
        <w:t>licensing and/or registration;</w:t>
      </w:r>
    </w:p>
    <w:p w14:paraId="1B3B04B9" w14:textId="1213FCDA" w:rsidR="00AC0CDC" w:rsidRPr="00D13AF1" w:rsidRDefault="00AC0CDC" w:rsidP="00AC0CDC">
      <w:pPr>
        <w:pStyle w:val="Bulletlevel1"/>
      </w:pPr>
      <w:r w:rsidRPr="00D13AF1">
        <w:t>standards of work;</w:t>
      </w:r>
    </w:p>
    <w:p w14:paraId="4230E0AF" w14:textId="33A2BBFB" w:rsidR="00AC0CDC" w:rsidRPr="00D13AF1" w:rsidRDefault="00AC0CDC" w:rsidP="00AC0CDC">
      <w:pPr>
        <w:pStyle w:val="Bulletlevel1"/>
      </w:pPr>
      <w:r w:rsidRPr="00D13AF1">
        <w:t>discipline and/or fitness to practise.</w:t>
      </w:r>
    </w:p>
    <w:p w14:paraId="68286B3E" w14:textId="4FABCAA7" w:rsidR="00AC0CDC" w:rsidRPr="00D13AF1" w:rsidRDefault="00E45813" w:rsidP="00AC0CDC">
      <w:pPr>
        <w:pStyle w:val="BodyEE"/>
      </w:pPr>
      <w:r w:rsidRPr="00D13AF1">
        <w:t>The Board cooperates</w:t>
      </w:r>
      <w:r w:rsidR="00AC0CDC" w:rsidRPr="00D13AF1">
        <w:t xml:space="preserve"> with the Fede</w:t>
      </w:r>
      <w:r w:rsidRPr="00D13AF1">
        <w:t xml:space="preserve">ration of State Medical Boards on </w:t>
      </w:r>
      <w:r w:rsidR="00AC0CDC" w:rsidRPr="00D13AF1">
        <w:t>policy guidance.</w:t>
      </w:r>
    </w:p>
    <w:p w14:paraId="71A72946" w14:textId="77777777" w:rsidR="00AC0CDC" w:rsidRPr="00D13AF1" w:rsidRDefault="00AC0CDC" w:rsidP="00AC0CDC">
      <w:pPr>
        <w:pStyle w:val="Heading3Pink"/>
      </w:pPr>
      <w:bookmarkStart w:id="219" w:name="_Ref499731832"/>
      <w:r w:rsidRPr="00D13AF1">
        <w:t>Regulation of individual doctors who provide telemedicine services</w:t>
      </w:r>
      <w:bookmarkEnd w:id="219"/>
    </w:p>
    <w:p w14:paraId="34E75705" w14:textId="1E3B0343" w:rsidR="00AC0CDC" w:rsidRPr="00D13AF1" w:rsidRDefault="00AC0CDC" w:rsidP="00AC0CDC">
      <w:pPr>
        <w:pStyle w:val="BodyEE"/>
      </w:pPr>
      <w:r w:rsidRPr="00D13AF1">
        <w:t>See SECTION 3. PRACTICE GUIDELINES that covers:</w:t>
      </w:r>
      <w:r w:rsidR="002C6FC5" w:rsidRPr="00D13AF1">
        <w:rPr>
          <w:rStyle w:val="FootnoteReference"/>
        </w:rPr>
        <w:footnoteReference w:id="141"/>
      </w:r>
    </w:p>
    <w:p w14:paraId="2A022692" w14:textId="77777777" w:rsidR="00AC0CDC" w:rsidRPr="00D13AF1" w:rsidRDefault="00AC0CDC" w:rsidP="00AC0CDC">
      <w:pPr>
        <w:pStyle w:val="Bulletlevel1"/>
      </w:pPr>
      <w:r w:rsidRPr="00D13AF1">
        <w:t>Maine Medical License Required</w:t>
      </w:r>
    </w:p>
    <w:p w14:paraId="2F8E7B05" w14:textId="77777777" w:rsidR="00AC0CDC" w:rsidRPr="00D13AF1" w:rsidRDefault="00AC0CDC" w:rsidP="00AC0CDC">
      <w:pPr>
        <w:pStyle w:val="Bulletlevel1"/>
      </w:pPr>
      <w:r w:rsidRPr="00D13AF1">
        <w:t>Standards of Care and Professional Ethics</w:t>
      </w:r>
    </w:p>
    <w:p w14:paraId="08122957" w14:textId="77777777" w:rsidR="00AC0CDC" w:rsidRPr="00D13AF1" w:rsidRDefault="00AC0CDC" w:rsidP="00AC0CDC">
      <w:pPr>
        <w:pStyle w:val="Bulletlevel1"/>
      </w:pPr>
      <w:r w:rsidRPr="00D13AF1">
        <w:t>Scope of Practice</w:t>
      </w:r>
    </w:p>
    <w:p w14:paraId="3BC89CC3" w14:textId="77777777" w:rsidR="00AC0CDC" w:rsidRPr="00D13AF1" w:rsidRDefault="00AC0CDC" w:rsidP="00AC0CDC">
      <w:pPr>
        <w:pStyle w:val="Bulletlevel1"/>
      </w:pPr>
      <w:r w:rsidRPr="00D13AF1">
        <w:t>Identification of Patient and Physician</w:t>
      </w:r>
    </w:p>
    <w:p w14:paraId="1A32BA7C" w14:textId="77777777" w:rsidR="00AC0CDC" w:rsidRPr="00D13AF1" w:rsidRDefault="00AC0CDC" w:rsidP="00AC0CDC">
      <w:pPr>
        <w:pStyle w:val="Bulletlevel1"/>
      </w:pPr>
      <w:r w:rsidRPr="00D13AF1">
        <w:t>Physician-Patient Relationship</w:t>
      </w:r>
    </w:p>
    <w:p w14:paraId="2728F220" w14:textId="77777777" w:rsidR="00AC0CDC" w:rsidRPr="00D13AF1" w:rsidRDefault="00AC0CDC" w:rsidP="00AC0CDC">
      <w:pPr>
        <w:pStyle w:val="Bulletlevel1"/>
      </w:pPr>
      <w:r w:rsidRPr="00D13AF1">
        <w:t>Medical History and Physical Examination</w:t>
      </w:r>
    </w:p>
    <w:p w14:paraId="68DD8F9D" w14:textId="77777777" w:rsidR="00AC0CDC" w:rsidRPr="00D13AF1" w:rsidRDefault="00AC0CDC" w:rsidP="00AC0CDC">
      <w:pPr>
        <w:pStyle w:val="Bulletlevel1"/>
      </w:pPr>
      <w:r w:rsidRPr="00D13AF1">
        <w:t>Non-Physician Health Care Providers</w:t>
      </w:r>
    </w:p>
    <w:p w14:paraId="16DB59A6" w14:textId="77777777" w:rsidR="00AC0CDC" w:rsidRPr="00D13AF1" w:rsidRDefault="00AC0CDC" w:rsidP="00AC0CDC">
      <w:pPr>
        <w:pStyle w:val="Bulletlevel1"/>
      </w:pPr>
      <w:r w:rsidRPr="00D13AF1">
        <w:t>Informed Consent</w:t>
      </w:r>
    </w:p>
    <w:p w14:paraId="780AE016" w14:textId="77777777" w:rsidR="00AC0CDC" w:rsidRPr="00D13AF1" w:rsidRDefault="00AC0CDC" w:rsidP="00AC0CDC">
      <w:pPr>
        <w:pStyle w:val="Bulletlevel1"/>
      </w:pPr>
      <w:r w:rsidRPr="00D13AF1">
        <w:t>Coordination of Care</w:t>
      </w:r>
    </w:p>
    <w:p w14:paraId="5443A154" w14:textId="77777777" w:rsidR="00AC0CDC" w:rsidRPr="00D13AF1" w:rsidRDefault="00AC0CDC" w:rsidP="00AC0CDC">
      <w:pPr>
        <w:pStyle w:val="Bulletlevel1"/>
      </w:pPr>
      <w:r w:rsidRPr="00D13AF1">
        <w:t>Follow-Up Care</w:t>
      </w:r>
    </w:p>
    <w:p w14:paraId="4190FEBD" w14:textId="77777777" w:rsidR="00AC0CDC" w:rsidRPr="00D13AF1" w:rsidRDefault="00AC0CDC" w:rsidP="00AC0CDC">
      <w:pPr>
        <w:pStyle w:val="Bulletlevel1"/>
      </w:pPr>
      <w:r w:rsidRPr="00D13AF1">
        <w:t>Emergency Services</w:t>
      </w:r>
    </w:p>
    <w:p w14:paraId="72896FB9" w14:textId="77777777" w:rsidR="00AC0CDC" w:rsidRPr="00D13AF1" w:rsidRDefault="00AC0CDC" w:rsidP="00AC0CDC">
      <w:pPr>
        <w:pStyle w:val="Bulletlevel1"/>
      </w:pPr>
      <w:r w:rsidRPr="00D13AF1">
        <w:t>Medical Records</w:t>
      </w:r>
    </w:p>
    <w:p w14:paraId="1D900EF6" w14:textId="77777777" w:rsidR="00AC0CDC" w:rsidRPr="00D13AF1" w:rsidRDefault="00AC0CDC" w:rsidP="00AC0CDC">
      <w:pPr>
        <w:pStyle w:val="Bulletlevel1"/>
      </w:pPr>
      <w:r w:rsidRPr="00D13AF1">
        <w:t>Privacy and Security</w:t>
      </w:r>
    </w:p>
    <w:p w14:paraId="3A9AA57F" w14:textId="77777777" w:rsidR="00AC0CDC" w:rsidRPr="00D13AF1" w:rsidRDefault="00AC0CDC" w:rsidP="00AC0CDC">
      <w:pPr>
        <w:pStyle w:val="Bulletlevel1"/>
      </w:pPr>
      <w:r w:rsidRPr="00D13AF1">
        <w:t>Technology and Equipment</w:t>
      </w:r>
    </w:p>
    <w:p w14:paraId="59CBC078" w14:textId="77777777" w:rsidR="00AC0CDC" w:rsidRPr="00D13AF1" w:rsidRDefault="00AC0CDC" w:rsidP="00AC0CDC">
      <w:pPr>
        <w:pStyle w:val="Bulletlevel1"/>
      </w:pPr>
      <w:r w:rsidRPr="00D13AF1">
        <w:t>Disclosure and Functionality of Telemedicine Services</w:t>
      </w:r>
    </w:p>
    <w:p w14:paraId="78A3926F" w14:textId="77777777" w:rsidR="00AC0CDC" w:rsidRPr="00D13AF1" w:rsidRDefault="00AC0CDC" w:rsidP="00AC0CDC">
      <w:pPr>
        <w:pStyle w:val="Bulletlevel1"/>
      </w:pPr>
      <w:r w:rsidRPr="00D13AF1">
        <w:t>Patient Access and Feedback</w:t>
      </w:r>
    </w:p>
    <w:p w14:paraId="36359A2C" w14:textId="77777777" w:rsidR="00AC0CDC" w:rsidRPr="00D13AF1" w:rsidRDefault="00AC0CDC" w:rsidP="00AC0CDC">
      <w:pPr>
        <w:pStyle w:val="Bulletlevel1"/>
      </w:pPr>
      <w:r w:rsidRPr="00D13AF1">
        <w:t>Financial Interests</w:t>
      </w:r>
    </w:p>
    <w:p w14:paraId="4168488D" w14:textId="77777777" w:rsidR="00AC0CDC" w:rsidRPr="00D13AF1" w:rsidRDefault="00AC0CDC" w:rsidP="00AC0CDC">
      <w:pPr>
        <w:pStyle w:val="Bulletlevel1"/>
      </w:pPr>
      <w:r w:rsidRPr="00D13AF1">
        <w:t>Circumstances Where the Standard of Care May Not Require a Licensee to Personally Interview or Examine a Patient</w:t>
      </w:r>
    </w:p>
    <w:p w14:paraId="58B41666" w14:textId="77777777" w:rsidR="00AC0CDC" w:rsidRPr="00D13AF1" w:rsidRDefault="00AC0CDC" w:rsidP="00AC0CDC">
      <w:pPr>
        <w:pStyle w:val="Bulletlevel1"/>
      </w:pPr>
      <w:r w:rsidRPr="00D13AF1">
        <w:t>Prescribing Based Solely on an Internet Request, Internet Questionnaire or a Telephonic Interview Prohibited</w:t>
      </w:r>
    </w:p>
    <w:p w14:paraId="45E578A5" w14:textId="30CD3BED" w:rsidR="00AC0CDC" w:rsidRPr="00D13AF1" w:rsidRDefault="00AC0CDC" w:rsidP="00AC0CDC">
      <w:pPr>
        <w:pStyle w:val="Heading2Pink"/>
      </w:pPr>
      <w:bookmarkStart w:id="220" w:name="_Toc504484182"/>
      <w:bookmarkStart w:id="221" w:name="_Hlk494365684"/>
      <w:r w:rsidRPr="00D13AF1">
        <w:t>North Carolina Medical Board</w:t>
      </w:r>
      <w:r w:rsidRPr="00D13AF1">
        <w:rPr>
          <w:vertAlign w:val="superscript"/>
        </w:rPr>
        <w:footnoteReference w:id="142"/>
      </w:r>
      <w:bookmarkEnd w:id="220"/>
    </w:p>
    <w:bookmarkEnd w:id="221"/>
    <w:p w14:paraId="0F523167" w14:textId="3B02A8CF" w:rsidR="00AC0CDC" w:rsidRPr="00D13AF1" w:rsidRDefault="00E45813" w:rsidP="00AC0CDC">
      <w:pPr>
        <w:pStyle w:val="BodyEE"/>
      </w:pPr>
      <w:r w:rsidRPr="00D13AF1">
        <w:t>The Board is r</w:t>
      </w:r>
      <w:r w:rsidR="00AC0CDC" w:rsidRPr="00D13AF1">
        <w:t xml:space="preserve">esponsible for the regulation of medicine and surgery for in North Carolina for the benefit and protection of the people of North Carolina. This includes licensing and discipline of physicians (MD and DO) and physician assistants (PA). </w:t>
      </w:r>
    </w:p>
    <w:p w14:paraId="5F3DFFA1" w14:textId="77777777" w:rsidR="00AC0CDC" w:rsidRPr="00D13AF1" w:rsidRDefault="00AC0CDC" w:rsidP="00AC0CDC">
      <w:pPr>
        <w:pStyle w:val="Heading3Pink"/>
      </w:pPr>
      <w:bookmarkStart w:id="222" w:name="_Ref499730918"/>
      <w:r w:rsidRPr="00D13AF1">
        <w:t>Definition of telemedicine</w:t>
      </w:r>
      <w:bookmarkEnd w:id="222"/>
    </w:p>
    <w:p w14:paraId="68849AB4" w14:textId="1FBEBE2E" w:rsidR="00AC0CDC" w:rsidRPr="00D13AF1" w:rsidRDefault="00AC0CDC" w:rsidP="00AC0CDC">
      <w:pPr>
        <w:pStyle w:val="BodyEE"/>
      </w:pPr>
      <w:bookmarkStart w:id="223" w:name="_Hlk494365689"/>
      <w:r w:rsidRPr="00D13AF1">
        <w:t xml:space="preserve">"Telemedicine" is the practice of medicine using electronic communication, information technology or other means between a licensee in one location and a patient in another location with or without an intervening health care provider. Physician must be licensed in North Carolina to treat any patients in North Carolina, including via telemedicine. The full North Carolina Medical Board Policy on Telemedicine can be found on the North Carolina Medical Board Website: </w:t>
      </w:r>
      <w:r w:rsidRPr="00D13AF1">
        <w:rPr>
          <w:color w:val="C64187" w:themeColor="accent2"/>
          <w:u w:val="single"/>
        </w:rPr>
        <w:t>NCMedBoard.org</w:t>
      </w:r>
      <w:r w:rsidR="00D958F4" w:rsidRPr="00D13AF1">
        <w:t xml:space="preserve"> </w:t>
      </w:r>
      <w:r w:rsidRPr="00D13AF1">
        <w:t>under Position Statements on Clinical Practice.</w:t>
      </w:r>
    </w:p>
    <w:bookmarkEnd w:id="223"/>
    <w:p w14:paraId="422FD5B7" w14:textId="77777777" w:rsidR="00AC0CDC" w:rsidRPr="00D13AF1" w:rsidRDefault="00AC0CDC" w:rsidP="00AC0CDC">
      <w:pPr>
        <w:pStyle w:val="Heading3Pink"/>
      </w:pPr>
      <w:r w:rsidRPr="00D13AF1">
        <w:lastRenderedPageBreak/>
        <w:t>Frameworks for telemedicine regulation</w:t>
      </w:r>
    </w:p>
    <w:p w14:paraId="40269DA7" w14:textId="39AF0B63" w:rsidR="00AC0CDC" w:rsidRPr="00D13AF1" w:rsidRDefault="0083038C" w:rsidP="00AC0CDC">
      <w:pPr>
        <w:pStyle w:val="BodyEE"/>
      </w:pPr>
      <w:r w:rsidRPr="00D13AF1">
        <w:t>North Carolina Medical Board has</w:t>
      </w:r>
      <w:r w:rsidR="00AC0CDC" w:rsidRPr="00D13AF1">
        <w:t xml:space="preserve"> formal regulations and/or policies regarding telemedicine</w:t>
      </w:r>
      <w:r w:rsidRPr="00D13AF1">
        <w:t>.</w:t>
      </w:r>
    </w:p>
    <w:p w14:paraId="03E0EA9D" w14:textId="77777777" w:rsidR="0083038C" w:rsidRPr="00D13AF1" w:rsidRDefault="0083038C" w:rsidP="0083038C">
      <w:pPr>
        <w:pStyle w:val="BodyEE"/>
      </w:pPr>
      <w:r w:rsidRPr="00D13AF1">
        <w:t xml:space="preserve">It develops requirements in the following areas: </w:t>
      </w:r>
    </w:p>
    <w:p w14:paraId="1C681A5D" w14:textId="2D401CD7" w:rsidR="00AC0CDC" w:rsidRPr="00D13AF1" w:rsidRDefault="00263FB8" w:rsidP="0083038C">
      <w:pPr>
        <w:pStyle w:val="Bulletlevel1"/>
      </w:pPr>
      <w:r w:rsidRPr="00D13AF1">
        <w:t>l</w:t>
      </w:r>
      <w:r w:rsidR="00AC0CDC" w:rsidRPr="00D13AF1">
        <w:t>icensing and/or registration</w:t>
      </w:r>
      <w:r w:rsidRPr="00D13AF1">
        <w:t>;</w:t>
      </w:r>
    </w:p>
    <w:p w14:paraId="60C8260B" w14:textId="61A17B8F" w:rsidR="00AC0CDC" w:rsidRPr="00D13AF1" w:rsidRDefault="00263FB8" w:rsidP="00AC0CDC">
      <w:pPr>
        <w:pStyle w:val="Bulletlevel1"/>
      </w:pPr>
      <w:r w:rsidRPr="00D13AF1">
        <w:t>s</w:t>
      </w:r>
      <w:r w:rsidR="00AC0CDC" w:rsidRPr="00D13AF1">
        <w:t>tandards of work</w:t>
      </w:r>
      <w:r w:rsidRPr="00D13AF1">
        <w:t>;</w:t>
      </w:r>
    </w:p>
    <w:p w14:paraId="7968600A" w14:textId="0055C238" w:rsidR="00AC0CDC" w:rsidRPr="00D13AF1" w:rsidRDefault="00263FB8" w:rsidP="00AC0CDC">
      <w:pPr>
        <w:pStyle w:val="Bulletlevel1"/>
      </w:pPr>
      <w:r w:rsidRPr="00D13AF1">
        <w:t>d</w:t>
      </w:r>
      <w:r w:rsidR="00AC0CDC" w:rsidRPr="00D13AF1">
        <w:t>iscipline and/or fitness to practise</w:t>
      </w:r>
      <w:r w:rsidRPr="00D13AF1">
        <w:t>.</w:t>
      </w:r>
    </w:p>
    <w:p w14:paraId="34395CFD" w14:textId="6D2E8C25" w:rsidR="00AC0CDC" w:rsidRPr="00D13AF1" w:rsidRDefault="00E45813" w:rsidP="00AC0CDC">
      <w:pPr>
        <w:pStyle w:val="BodyEE"/>
      </w:pPr>
      <w:r w:rsidRPr="00D13AF1">
        <w:t>It c</w:t>
      </w:r>
      <w:r w:rsidR="00AC0CDC" w:rsidRPr="00D13AF1">
        <w:t>ooperation with the Fede</w:t>
      </w:r>
      <w:r w:rsidRPr="00D13AF1">
        <w:t>ration of State Medical Boards on</w:t>
      </w:r>
      <w:r w:rsidR="00AC0CDC" w:rsidRPr="00D13AF1">
        <w:t xml:space="preserve"> policy guidance.</w:t>
      </w:r>
    </w:p>
    <w:p w14:paraId="17B12B68" w14:textId="77777777" w:rsidR="00AC0CDC" w:rsidRPr="00D13AF1" w:rsidRDefault="00AC0CDC" w:rsidP="00AC0CDC">
      <w:pPr>
        <w:pStyle w:val="Heading3Pink"/>
      </w:pPr>
      <w:bookmarkStart w:id="224" w:name="_Ref499731841"/>
      <w:r w:rsidRPr="00D13AF1">
        <w:t>Regulation of individual doctors who provide telemedicine services</w:t>
      </w:r>
      <w:bookmarkEnd w:id="224"/>
    </w:p>
    <w:p w14:paraId="02DAF1ED" w14:textId="77777777" w:rsidR="00AC0CDC" w:rsidRPr="00D13AF1" w:rsidRDefault="00AC0CDC" w:rsidP="00AC0CDC">
      <w:pPr>
        <w:pStyle w:val="BodyEE"/>
      </w:pPr>
      <w:r w:rsidRPr="00D13AF1">
        <w:t>The Telemedicine policy statement covers the following aspects:</w:t>
      </w:r>
    </w:p>
    <w:p w14:paraId="247FCCF8" w14:textId="77777777" w:rsidR="00AC0CDC" w:rsidRPr="00D13AF1" w:rsidRDefault="00AC0CDC" w:rsidP="00AC0CDC">
      <w:pPr>
        <w:pStyle w:val="Bulletlevel1"/>
      </w:pPr>
      <w:r w:rsidRPr="00D13AF1">
        <w:t>Training of Staff</w:t>
      </w:r>
    </w:p>
    <w:p w14:paraId="55E6FE97" w14:textId="77777777" w:rsidR="00AC0CDC" w:rsidRPr="00D13AF1" w:rsidRDefault="00AC0CDC" w:rsidP="00AC0CDC">
      <w:pPr>
        <w:pStyle w:val="Bulletlevel1"/>
      </w:pPr>
      <w:r w:rsidRPr="00D13AF1">
        <w:t>Evaluations and Examinations</w:t>
      </w:r>
    </w:p>
    <w:p w14:paraId="19C1D60D" w14:textId="77777777" w:rsidR="00AC0CDC" w:rsidRPr="00D13AF1" w:rsidRDefault="00AC0CDC" w:rsidP="00AC0CDC">
      <w:pPr>
        <w:pStyle w:val="Bulletlevel1"/>
      </w:pPr>
      <w:r w:rsidRPr="00D13AF1">
        <w:t>Licensee-Patient Relationship</w:t>
      </w:r>
    </w:p>
    <w:p w14:paraId="3C3D797B" w14:textId="77777777" w:rsidR="00AC0CDC" w:rsidRPr="00D13AF1" w:rsidRDefault="00AC0CDC" w:rsidP="00AC0CDC">
      <w:pPr>
        <w:pStyle w:val="Bulletlevel1"/>
      </w:pPr>
      <w:r w:rsidRPr="00D13AF1">
        <w:t>Prescribing</w:t>
      </w:r>
    </w:p>
    <w:p w14:paraId="1D6A2579" w14:textId="77777777" w:rsidR="00AC0CDC" w:rsidRPr="00D13AF1" w:rsidRDefault="00AC0CDC" w:rsidP="00AC0CDC">
      <w:pPr>
        <w:pStyle w:val="Bulletlevel1"/>
      </w:pPr>
      <w:r w:rsidRPr="00D13AF1">
        <w:t>Medical Records</w:t>
      </w:r>
    </w:p>
    <w:p w14:paraId="0C2C58DE" w14:textId="77777777" w:rsidR="00AC0CDC" w:rsidRPr="00D13AF1" w:rsidRDefault="00AC0CDC" w:rsidP="00AC0CDC">
      <w:pPr>
        <w:pStyle w:val="Bulletlevel1"/>
      </w:pPr>
      <w:r w:rsidRPr="00D13AF1">
        <w:t>Licensure</w:t>
      </w:r>
    </w:p>
    <w:p w14:paraId="44128E21" w14:textId="77777777" w:rsidR="00AC0CDC" w:rsidRPr="00D13AF1" w:rsidRDefault="00AC0CDC" w:rsidP="00AC0CDC">
      <w:pPr>
        <w:pStyle w:val="Heading3Pink"/>
      </w:pPr>
      <w:bookmarkStart w:id="225" w:name="_Ref499732293"/>
      <w:r w:rsidRPr="00D13AF1">
        <w:t>Cross-jurisdiction issues in telemedicine</w:t>
      </w:r>
      <w:bookmarkEnd w:id="225"/>
    </w:p>
    <w:p w14:paraId="16E365A7" w14:textId="77777777" w:rsidR="00AC0CDC" w:rsidRPr="00D13AF1" w:rsidRDefault="00AC0CDC" w:rsidP="00AC0CDC">
      <w:pPr>
        <w:pStyle w:val="BodyEE"/>
      </w:pPr>
      <w:r w:rsidRPr="00D13AF1">
        <w:t>The practice of medicine is deemed to occur in the state in which the patient is located. Therefore, any licensee using telemedicine to regularly provide medical services to patients located in North Carolina should be licensed to practice medicine in North Carolina. (3) Licensees need not reside in North Carolina, as long as they have a valid, current North Carolina license.</w:t>
      </w:r>
    </w:p>
    <w:p w14:paraId="2CBF6D18" w14:textId="77777777" w:rsidR="00AC0CDC" w:rsidRPr="00D13AF1" w:rsidRDefault="00AC0CDC" w:rsidP="00AC0CDC">
      <w:pPr>
        <w:pStyle w:val="BodyEE"/>
      </w:pPr>
      <w:r w:rsidRPr="00D13AF1">
        <w:t>North Carolina licensees intending to practice medicine via telemedicine technology to treat or diagnose patients outside of North Carolina should check with other state licensing boards. Most states require physicians to be licensed, and some have enacted limitations to telemedicine practice or require or offer a special registration. </w:t>
      </w:r>
    </w:p>
    <w:p w14:paraId="46C8F8C0" w14:textId="583AEB38" w:rsidR="00AC0CDC" w:rsidRPr="00D13AF1" w:rsidRDefault="00AC0CDC" w:rsidP="00AC0CDC">
      <w:pPr>
        <w:pStyle w:val="Heading2Pink"/>
      </w:pPr>
      <w:bookmarkStart w:id="226" w:name="_Toc504484183"/>
      <w:bookmarkStart w:id="227" w:name="_Hlk494365695"/>
      <w:r w:rsidRPr="00D13AF1">
        <w:t>Oregon Medical Board</w:t>
      </w:r>
      <w:r w:rsidRPr="00D13AF1">
        <w:rPr>
          <w:vertAlign w:val="superscript"/>
        </w:rPr>
        <w:footnoteReference w:id="143"/>
      </w:r>
      <w:bookmarkEnd w:id="226"/>
    </w:p>
    <w:bookmarkEnd w:id="227"/>
    <w:p w14:paraId="26FBBF15" w14:textId="2731B70D" w:rsidR="00AC0CDC" w:rsidRPr="00D13AF1" w:rsidRDefault="00E45813" w:rsidP="00AC0CDC">
      <w:pPr>
        <w:pStyle w:val="BodyEE"/>
      </w:pPr>
      <w:r w:rsidRPr="00D13AF1">
        <w:t>The Board regulates i</w:t>
      </w:r>
      <w:r w:rsidR="00AC0CDC" w:rsidRPr="00D13AF1">
        <w:t xml:space="preserve">ndividuals: physicians, podiatric physicians, physician assistants and acupuncturists. </w:t>
      </w:r>
      <w:r w:rsidRPr="00D13AF1">
        <w:t>They also</w:t>
      </w:r>
      <w:r w:rsidR="00AC0CDC" w:rsidRPr="00D13AF1">
        <w:t xml:space="preserve"> send systems letters when an investigation uncovers a systems problem.</w:t>
      </w:r>
    </w:p>
    <w:p w14:paraId="22DE6099" w14:textId="77777777" w:rsidR="00AC0CDC" w:rsidRPr="00D13AF1" w:rsidRDefault="00AC0CDC" w:rsidP="00AC0CDC">
      <w:pPr>
        <w:pStyle w:val="Heading3Pink"/>
      </w:pPr>
      <w:bookmarkStart w:id="228" w:name="_Ref499730927"/>
      <w:r w:rsidRPr="00D13AF1">
        <w:t>Definition of telemedicine</w:t>
      </w:r>
      <w:bookmarkEnd w:id="228"/>
    </w:p>
    <w:p w14:paraId="482C8A80" w14:textId="77777777" w:rsidR="00AC0CDC" w:rsidRPr="00D13AF1" w:rsidRDefault="00AC0CDC" w:rsidP="00AC0CDC">
      <w:pPr>
        <w:pStyle w:val="BodyEE"/>
      </w:pPr>
      <w:bookmarkStart w:id="229" w:name="_Hlk494365699"/>
      <w:r w:rsidRPr="00D13AF1">
        <w:t>Telemedicine: the direct rendering to a person of a written or otherwise documented medical opinion concerning diagnosis or treatment of that person located in Oregon for the purpose of patient care by a physician located outside Oregon as a result of transmission of individual patient data by electronic or other means. Also the direct rendering of medical treatment to a patient in Oregon by a physician outside Oregon by electronic or other means</w:t>
      </w:r>
    </w:p>
    <w:bookmarkEnd w:id="229"/>
    <w:p w14:paraId="6FCA1DD3" w14:textId="77777777" w:rsidR="00AC0CDC" w:rsidRPr="00D13AF1" w:rsidRDefault="00AC0CDC" w:rsidP="00AC0CDC">
      <w:pPr>
        <w:pStyle w:val="Heading3Pink"/>
      </w:pPr>
      <w:r w:rsidRPr="00D13AF1">
        <w:lastRenderedPageBreak/>
        <w:t>Frameworks for telemedicine regulation</w:t>
      </w:r>
    </w:p>
    <w:p w14:paraId="37E712E0" w14:textId="045F0A6C" w:rsidR="00AC0CDC" w:rsidRPr="00D13AF1" w:rsidRDefault="00FA5555" w:rsidP="00AC0CDC">
      <w:pPr>
        <w:pStyle w:val="BodyEE"/>
      </w:pPr>
      <w:r w:rsidRPr="00D13AF1">
        <w:t xml:space="preserve">Oregon Medical Board has </w:t>
      </w:r>
      <w:r w:rsidR="00AC0CDC" w:rsidRPr="00D13AF1">
        <w:t>formal regulations and/or policies regarding telemedicine</w:t>
      </w:r>
      <w:r w:rsidRPr="00D13AF1">
        <w:t>.</w:t>
      </w:r>
    </w:p>
    <w:p w14:paraId="36CBF284" w14:textId="5615C8AF" w:rsidR="00AC0CDC" w:rsidRPr="00D13AF1" w:rsidRDefault="00FA5555" w:rsidP="00AC0CDC">
      <w:pPr>
        <w:pStyle w:val="BodyEE"/>
      </w:pPr>
      <w:r w:rsidRPr="00D13AF1">
        <w:t>It develops requirements in the following areas:</w:t>
      </w:r>
      <w:r w:rsidR="00AC0CDC" w:rsidRPr="00D13AF1">
        <w:t xml:space="preserve"> </w:t>
      </w:r>
    </w:p>
    <w:p w14:paraId="4923954F" w14:textId="31187CBE" w:rsidR="00AC0CDC" w:rsidRPr="00D13AF1" w:rsidRDefault="00FA5555" w:rsidP="00AC0CDC">
      <w:pPr>
        <w:pStyle w:val="Bulletlevel1"/>
      </w:pPr>
      <w:r w:rsidRPr="00D13AF1">
        <w:t>l</w:t>
      </w:r>
      <w:r w:rsidR="00AC0CDC" w:rsidRPr="00D13AF1">
        <w:t>icensing and/or registration</w:t>
      </w:r>
      <w:r w:rsidRPr="00D13AF1">
        <w:t>;</w:t>
      </w:r>
    </w:p>
    <w:p w14:paraId="7523CBFE" w14:textId="528FA7AC" w:rsidR="00AC0CDC" w:rsidRPr="00D13AF1" w:rsidRDefault="00FA5555" w:rsidP="00AC0CDC">
      <w:pPr>
        <w:pStyle w:val="Bulletlevel1"/>
      </w:pPr>
      <w:r w:rsidRPr="00D13AF1">
        <w:t>s</w:t>
      </w:r>
      <w:r w:rsidR="00AC0CDC" w:rsidRPr="00D13AF1">
        <w:t>tandards of work</w:t>
      </w:r>
      <w:r w:rsidRPr="00D13AF1">
        <w:t>;</w:t>
      </w:r>
    </w:p>
    <w:p w14:paraId="7955B65F" w14:textId="16A18CDF" w:rsidR="00AC0CDC" w:rsidRPr="00D13AF1" w:rsidRDefault="00FA5555" w:rsidP="00AC0CDC">
      <w:pPr>
        <w:pStyle w:val="Bulletlevel1"/>
      </w:pPr>
      <w:r w:rsidRPr="00D13AF1">
        <w:t>d</w:t>
      </w:r>
      <w:r w:rsidR="00AC0CDC" w:rsidRPr="00D13AF1">
        <w:t>iscipline and/or fitness to practise</w:t>
      </w:r>
      <w:r w:rsidRPr="00D13AF1">
        <w:t>.</w:t>
      </w:r>
    </w:p>
    <w:p w14:paraId="68425850" w14:textId="19D41991" w:rsidR="00AC0CDC" w:rsidRPr="00D13AF1" w:rsidRDefault="00E45813" w:rsidP="00AC0CDC">
      <w:pPr>
        <w:pStyle w:val="BodyEE"/>
      </w:pPr>
      <w:r w:rsidRPr="00D13AF1">
        <w:t>They</w:t>
      </w:r>
      <w:r w:rsidR="00AC0CDC" w:rsidRPr="00D13AF1">
        <w:t xml:space="preserve"> started regulatin</w:t>
      </w:r>
      <w:r w:rsidRPr="00D13AF1">
        <w:t>g telemedicine in the mid-1990s and</w:t>
      </w:r>
      <w:r w:rsidR="00AC0CDC" w:rsidRPr="00D13AF1">
        <w:t xml:space="preserve"> have had few difficulties in the regulation of this practice.</w:t>
      </w:r>
    </w:p>
    <w:p w14:paraId="5442F45D" w14:textId="650E12FD" w:rsidR="00AC0CDC" w:rsidRPr="00D13AF1" w:rsidRDefault="00E45813" w:rsidP="00AC0CDC">
      <w:pPr>
        <w:pStyle w:val="BodyEE"/>
      </w:pPr>
      <w:r w:rsidRPr="00D13AF1">
        <w:t>They c</w:t>
      </w:r>
      <w:r w:rsidR="00AC0CDC" w:rsidRPr="00D13AF1">
        <w:t xml:space="preserve">ooperation work with </w:t>
      </w:r>
      <w:proofErr w:type="spellStart"/>
      <w:r w:rsidR="00AC0CDC" w:rsidRPr="00D13AF1">
        <w:t>CTeL</w:t>
      </w:r>
      <w:proofErr w:type="spellEnd"/>
      <w:r w:rsidR="00AC0CDC" w:rsidRPr="00D13AF1">
        <w:t>, an executive telehealth group</w:t>
      </w:r>
      <w:r w:rsidRPr="00D13AF1">
        <w:t xml:space="preserve"> on a regular basis.</w:t>
      </w:r>
      <w:r w:rsidRPr="00D13AF1">
        <w:rPr>
          <w:rStyle w:val="FootnoteReference"/>
        </w:rPr>
        <w:footnoteReference w:id="144"/>
      </w:r>
      <w:r w:rsidRPr="00D13AF1">
        <w:t xml:space="preserve"> </w:t>
      </w:r>
    </w:p>
    <w:p w14:paraId="7A91637E" w14:textId="77777777" w:rsidR="00AC0CDC" w:rsidRPr="00D13AF1" w:rsidRDefault="00AC0CDC" w:rsidP="00AC0CDC">
      <w:pPr>
        <w:pStyle w:val="Heading3Pink"/>
      </w:pPr>
      <w:bookmarkStart w:id="230" w:name="_Ref499731897"/>
      <w:r w:rsidRPr="00D13AF1">
        <w:t>Cross-jurisdiction issues in telemedicine</w:t>
      </w:r>
      <w:bookmarkEnd w:id="230"/>
    </w:p>
    <w:p w14:paraId="36A2CEC9" w14:textId="77777777" w:rsidR="00AC0CDC" w:rsidRPr="00D13AF1" w:rsidRDefault="00AC0CDC" w:rsidP="00AC0CDC">
      <w:pPr>
        <w:pStyle w:val="Bulletlevel1"/>
        <w:jc w:val="left"/>
      </w:pPr>
      <w:r w:rsidRPr="00D13AF1">
        <w:t xml:space="preserve">Section 677.135 to 677.141 in </w:t>
      </w:r>
      <w:r w:rsidRPr="00D13AF1">
        <w:rPr>
          <w:rStyle w:val="BodyEEChar"/>
        </w:rPr>
        <w:t xml:space="preserve">Chapter 677 — Regulation of Medicine, Podiatry and Acupuncture </w:t>
      </w:r>
      <w:hyperlink r:id="rId60" w:history="1">
        <w:r w:rsidRPr="00D13AF1">
          <w:rPr>
            <w:rStyle w:val="Hyperlink"/>
            <w:rFonts w:ascii="Gill Sans MT" w:eastAsia="Gill Sans MT" w:hAnsi="Gill Sans MT" w:cs="Times New Roman"/>
            <w:szCs w:val="60"/>
          </w:rPr>
          <w:t>https://www.oregonlegislature.gov/bills</w:t>
        </w:r>
        <w:r w:rsidRPr="00D13AF1">
          <w:rPr>
            <w:rStyle w:val="Hyperlink"/>
          </w:rPr>
          <w:t>_laws/ors/ors677.html</w:t>
        </w:r>
      </w:hyperlink>
    </w:p>
    <w:p w14:paraId="1EE3D228" w14:textId="77777777" w:rsidR="00AC0CDC" w:rsidRPr="00D13AF1" w:rsidRDefault="00AC0CDC" w:rsidP="00AC0CDC">
      <w:pPr>
        <w:pStyle w:val="Bulletlevel1"/>
        <w:rPr>
          <w:b/>
        </w:rPr>
      </w:pPr>
      <w:r w:rsidRPr="00D13AF1">
        <w:rPr>
          <w:rStyle w:val="Strong"/>
          <w:b w:val="0"/>
        </w:rPr>
        <w:t>RULES FOR LICENSURE TO PRACTICE MEDICINE ACROSS STATE LINES</w:t>
      </w:r>
    </w:p>
    <w:p w14:paraId="5CA896CC" w14:textId="6E55FE2F" w:rsidR="00AC0CDC" w:rsidRPr="00D13AF1" w:rsidRDefault="00000000" w:rsidP="00C326C1">
      <w:pPr>
        <w:pStyle w:val="Bulletlevel1"/>
        <w:numPr>
          <w:ilvl w:val="0"/>
          <w:numId w:val="0"/>
        </w:numPr>
        <w:ind w:left="360"/>
      </w:pPr>
      <w:hyperlink r:id="rId61" w:history="1">
        <w:r w:rsidR="00AC0CDC" w:rsidRPr="00D13AF1">
          <w:rPr>
            <w:rStyle w:val="Hyperlink"/>
          </w:rPr>
          <w:t>http://arcweb.sos.state.or.us/pages/rules/oars_800/oar_847/847_025.html</w:t>
        </w:r>
      </w:hyperlink>
    </w:p>
    <w:p w14:paraId="4AADEED2" w14:textId="23ED5A62" w:rsidR="00AC0CDC" w:rsidRPr="00D13AF1" w:rsidRDefault="00C326C1" w:rsidP="00AC0CDC">
      <w:pPr>
        <w:pStyle w:val="BodyEE"/>
      </w:pPr>
      <w:r w:rsidRPr="00D13AF1">
        <w:t>“T</w:t>
      </w:r>
      <w:r w:rsidR="00AC0CDC" w:rsidRPr="00D13AF1">
        <w:t>he practice of medicine across state lines” means:</w:t>
      </w:r>
    </w:p>
    <w:p w14:paraId="0DAFB88C" w14:textId="4D695621" w:rsidR="00AC0CDC" w:rsidRPr="00D13AF1" w:rsidRDefault="00AC0CDC" w:rsidP="00C326C1">
      <w:pPr>
        <w:pStyle w:val="Bulletlevel1"/>
      </w:pPr>
      <w:r w:rsidRPr="00D13AF1">
        <w:t>The rendering directly to a person of a written or otherwise documented medical opinion concerning the diagnosis or treatment of that person located within this state for the purpose of patient care by a physician located outside this state as a result of the transmission of individual patient data by electronic or other means from within this state to that physician or the physician’s agent; or</w:t>
      </w:r>
    </w:p>
    <w:p w14:paraId="38020287" w14:textId="68F58528" w:rsidR="00AC0CDC" w:rsidRPr="00D13AF1" w:rsidRDefault="00AC0CDC" w:rsidP="00C326C1">
      <w:pPr>
        <w:pStyle w:val="Bulletlevel1"/>
      </w:pPr>
      <w:r w:rsidRPr="00D13AF1">
        <w:t>The rendering of medical treatment directly to a person located within this state by a physician located outside this state as a result of the outward transmission of individual patient data by electronic or other means from within this state to that physician or the phy</w:t>
      </w:r>
      <w:r w:rsidR="00C326C1" w:rsidRPr="00D13AF1">
        <w:t>sician’s agent. [1999 c.549 §2]</w:t>
      </w:r>
    </w:p>
    <w:p w14:paraId="4027C212" w14:textId="77777777" w:rsidR="00AC0CDC" w:rsidRPr="00D13AF1" w:rsidRDefault="00AC0CDC" w:rsidP="00C326C1">
      <w:pPr>
        <w:pStyle w:val="BodyEE"/>
      </w:pPr>
      <w:r w:rsidRPr="00D13AF1">
        <w:t>A physician issued a license under ORS 677.139 is subject to all the provisions of this chapter and to all the rules of the Oregon Medical Board. A physician issued a license under ORS 677.139 has the same duties and responsibilities and is subject to the same penalties and sanctions as any other physician licensed under this chapter.</w:t>
      </w:r>
    </w:p>
    <w:p w14:paraId="504CFBE3" w14:textId="0E98CA6B" w:rsidR="00AC0CDC" w:rsidRPr="00D13AF1" w:rsidRDefault="00AC0CDC" w:rsidP="00AC0CDC">
      <w:pPr>
        <w:pStyle w:val="Heading2Pink"/>
      </w:pPr>
      <w:bookmarkStart w:id="231" w:name="_Toc504484184"/>
      <w:bookmarkStart w:id="232" w:name="_Hlk494365705"/>
      <w:r w:rsidRPr="00D13AF1">
        <w:t>Washington, DC Board of Medicine</w:t>
      </w:r>
      <w:r w:rsidRPr="00D13AF1">
        <w:rPr>
          <w:vertAlign w:val="superscript"/>
        </w:rPr>
        <w:footnoteReference w:id="145"/>
      </w:r>
      <w:bookmarkEnd w:id="231"/>
    </w:p>
    <w:bookmarkEnd w:id="232"/>
    <w:p w14:paraId="34681B04" w14:textId="18EDAE27" w:rsidR="00AC0CDC" w:rsidRPr="00D13AF1" w:rsidRDefault="00AC0CDC" w:rsidP="00AC0CDC">
      <w:pPr>
        <w:pStyle w:val="BodyEE"/>
      </w:pPr>
      <w:r w:rsidRPr="00D13AF1">
        <w:t>The DC Board of Medicine regulates various individual professions, including physicians (MD &amp; DO), physician assistants, anaesthesiologists</w:t>
      </w:r>
      <w:r w:rsidR="00705EBB" w:rsidRPr="00D13AF1">
        <w:t>’</w:t>
      </w:r>
      <w:r w:rsidRPr="00D13AF1">
        <w:t xml:space="preserve"> assistants, surgical assistants, naturopathic physicians, acupuncturists, </w:t>
      </w:r>
      <w:proofErr w:type="spellStart"/>
      <w:r w:rsidRPr="00D13AF1">
        <w:t>polysomnographers</w:t>
      </w:r>
      <w:proofErr w:type="spellEnd"/>
      <w:r w:rsidRPr="00D13AF1">
        <w:t xml:space="preserve"> and trauma technologists.</w:t>
      </w:r>
    </w:p>
    <w:p w14:paraId="18E14358" w14:textId="77777777" w:rsidR="00AC0CDC" w:rsidRPr="00D13AF1" w:rsidRDefault="00AC0CDC" w:rsidP="00AC0CDC">
      <w:pPr>
        <w:pStyle w:val="Heading3Pink"/>
      </w:pPr>
      <w:bookmarkStart w:id="233" w:name="_Ref499730937"/>
      <w:r w:rsidRPr="00D13AF1">
        <w:t>Definition of telemedicine</w:t>
      </w:r>
      <w:bookmarkEnd w:id="233"/>
    </w:p>
    <w:p w14:paraId="14E1471C" w14:textId="77777777" w:rsidR="00AC0CDC" w:rsidRPr="00D13AF1" w:rsidRDefault="00AC0CDC" w:rsidP="00AC0CDC">
      <w:pPr>
        <w:pStyle w:val="BodyEE"/>
      </w:pPr>
      <w:bookmarkStart w:id="234" w:name="_Hlk494365709"/>
      <w:r w:rsidRPr="00D13AF1">
        <w:t>Telemedicine is defined as "[t]he practice of medicine by a licensed practitioner to provide patient care, treatment or services, between a licensee in one location and a patient in another location with or without an intervening healthcare provider, through the use of health information and technology communications, subject to the existing standards of care and conduct."</w:t>
      </w:r>
    </w:p>
    <w:bookmarkEnd w:id="234"/>
    <w:p w14:paraId="2171C33B" w14:textId="77777777" w:rsidR="00AC0CDC" w:rsidRPr="00D13AF1" w:rsidRDefault="00AC0CDC" w:rsidP="00AC0CDC">
      <w:pPr>
        <w:pStyle w:val="Heading3Pink"/>
      </w:pPr>
      <w:r w:rsidRPr="00D13AF1">
        <w:lastRenderedPageBreak/>
        <w:t>Frameworks for telemedicine regulation</w:t>
      </w:r>
    </w:p>
    <w:p w14:paraId="62271120" w14:textId="78D5DAC2" w:rsidR="00AC0CDC" w:rsidRPr="00D13AF1" w:rsidRDefault="00D1664D" w:rsidP="00D1664D">
      <w:pPr>
        <w:pStyle w:val="BodyEE"/>
      </w:pPr>
      <w:r w:rsidRPr="00D13AF1">
        <w:t xml:space="preserve">Washington, DC Board of Medicine has </w:t>
      </w:r>
      <w:r w:rsidR="00AC0CDC" w:rsidRPr="00D13AF1">
        <w:t>informal or "work-in-progress" regulations and/or policies, including non-binding recommendations</w:t>
      </w:r>
      <w:r w:rsidRPr="00D13AF1">
        <w:t>. It develops requirements regarding s</w:t>
      </w:r>
      <w:r w:rsidR="00AC0CDC" w:rsidRPr="00D13AF1">
        <w:t>tandards of work</w:t>
      </w:r>
      <w:r w:rsidRPr="00D13AF1">
        <w:t>.</w:t>
      </w:r>
    </w:p>
    <w:p w14:paraId="0FC8F3BC" w14:textId="77777777" w:rsidR="00AC0CDC" w:rsidRPr="00D13AF1" w:rsidRDefault="00AC0CDC" w:rsidP="00AC0CDC">
      <w:pPr>
        <w:pStyle w:val="BodyEE"/>
      </w:pPr>
      <w:r w:rsidRPr="00D13AF1">
        <w:t>We interact with healthcare facilities regulators regarding incidents at hospitals involving our licensees, as well as with the Department of Healthcare Finance regarding regulations on reimbursement of telemedicine services.</w:t>
      </w:r>
    </w:p>
    <w:p w14:paraId="2B3B377C" w14:textId="77777777" w:rsidR="00AC0CDC" w:rsidRPr="00D13AF1" w:rsidRDefault="00AC0CDC" w:rsidP="00AC0CDC">
      <w:pPr>
        <w:pStyle w:val="Heading3Pink"/>
      </w:pPr>
      <w:bookmarkStart w:id="235" w:name="_Ref499731410"/>
      <w:r w:rsidRPr="00D13AF1">
        <w:t>Regulation of individual doctors who provide telemedicine services</w:t>
      </w:r>
      <w:bookmarkEnd w:id="235"/>
    </w:p>
    <w:p w14:paraId="19CC4EC4" w14:textId="77777777" w:rsidR="00AC0CDC" w:rsidRPr="00D13AF1" w:rsidRDefault="00AC0CDC" w:rsidP="00AC0CDC">
      <w:pPr>
        <w:pStyle w:val="BodyEE"/>
        <w:rPr>
          <w:bCs/>
          <w:szCs w:val="24"/>
        </w:rPr>
      </w:pPr>
      <w:r w:rsidRPr="00D13AF1">
        <w:rPr>
          <w:bCs/>
          <w:szCs w:val="24"/>
        </w:rPr>
        <w:t>Extracts from the Policy document “Establishing rules on the practice of telemedicine”:</w:t>
      </w:r>
    </w:p>
    <w:p w14:paraId="4DF669F4" w14:textId="77777777" w:rsidR="00AC0CDC" w:rsidRPr="00D13AF1" w:rsidRDefault="00AC0CDC" w:rsidP="00AC0CDC">
      <w:pPr>
        <w:pStyle w:val="Bulletlevel1"/>
      </w:pPr>
      <w:r w:rsidRPr="00D13AF1">
        <w:t>In order to practice telemedicine for a patient located within the District of Columbia, a license to practice medicine in the District of Columbia is required.</w:t>
      </w:r>
    </w:p>
    <w:p w14:paraId="014B8AB0" w14:textId="77777777" w:rsidR="00AC0CDC" w:rsidRPr="00D13AF1" w:rsidRDefault="00AC0CDC" w:rsidP="00AC0CDC">
      <w:pPr>
        <w:pStyle w:val="Bulletlevel1"/>
      </w:pPr>
      <w:r w:rsidRPr="00D13AF1">
        <w:t xml:space="preserve">A physician shall adhere to the same standards of care as when making medical decisions in an in-person encounter with a patient. </w:t>
      </w:r>
    </w:p>
    <w:p w14:paraId="4A143BA2" w14:textId="77777777" w:rsidR="00AC0CDC" w:rsidRPr="00D13AF1" w:rsidRDefault="00AC0CDC" w:rsidP="00AC0CDC">
      <w:pPr>
        <w:pStyle w:val="Bulletlevel1"/>
      </w:pPr>
      <w:r w:rsidRPr="00D13AF1">
        <w:t>Adequate security measures shall be implemented to ensure that all patient communications, recordings and records remain confidential.</w:t>
      </w:r>
    </w:p>
    <w:p w14:paraId="05408A73" w14:textId="77777777" w:rsidR="00AC0CDC" w:rsidRPr="00D13AF1" w:rsidRDefault="00AC0CDC" w:rsidP="00AC0CDC">
      <w:pPr>
        <w:pStyle w:val="Bulletlevel1"/>
      </w:pPr>
      <w:r w:rsidRPr="00D13AF1">
        <w:t>All relevant patient-physician, communications, including those done via an electronic method such as email or other electronic messaging system, shall be documented and filed in the patient's medical record</w:t>
      </w:r>
    </w:p>
    <w:p w14:paraId="167679AC" w14:textId="034240D1" w:rsidR="00F53C35" w:rsidRPr="00D13AF1" w:rsidRDefault="00F53C35" w:rsidP="00F53C35">
      <w:pPr>
        <w:pStyle w:val="Bulletlevel1"/>
        <w:rPr>
          <w:rFonts w:cs="Times New Roman"/>
          <w:color w:val="auto"/>
        </w:rPr>
      </w:pPr>
      <w:r w:rsidRPr="00D13AF1">
        <w:t xml:space="preserve">If a physician-patient relationship does not include a prior in-person interaction with a patient, the physician may use real-time telemedicine to allow a free exchange of protected health information between the patient and the physician to establish the physician-patient relationship </w:t>
      </w:r>
      <w:proofErr w:type="gramStart"/>
      <w:r w:rsidRPr="00D13AF1">
        <w:t>and  perform</w:t>
      </w:r>
      <w:proofErr w:type="gramEnd"/>
      <w:r w:rsidRPr="00D13AF1">
        <w:t xml:space="preserve"> the patient evaluation.</w:t>
      </w:r>
    </w:p>
    <w:p w14:paraId="2420E3B7" w14:textId="77777777" w:rsidR="00AC0CDC" w:rsidRPr="00D13AF1" w:rsidRDefault="00AC0CDC" w:rsidP="00AC0CDC">
      <w:pPr>
        <w:pStyle w:val="Heading3Pink"/>
      </w:pPr>
      <w:bookmarkStart w:id="236" w:name="_Ref499732333"/>
      <w:r w:rsidRPr="00D13AF1">
        <w:t>Cross-jurisdiction issues in telemedicine</w:t>
      </w:r>
      <w:bookmarkEnd w:id="236"/>
    </w:p>
    <w:p w14:paraId="1CCCAD23" w14:textId="77777777" w:rsidR="00AC0CDC" w:rsidRPr="00D13AF1" w:rsidRDefault="00AC0CDC" w:rsidP="00AC0CDC">
      <w:pPr>
        <w:pStyle w:val="BodyEE"/>
        <w:rPr>
          <w:bCs/>
          <w:szCs w:val="24"/>
        </w:rPr>
      </w:pPr>
      <w:r w:rsidRPr="00D13AF1">
        <w:rPr>
          <w:bCs/>
          <w:szCs w:val="24"/>
        </w:rPr>
        <w:t>In order to practice telemedicine for a patient located within the District of Columbia, a license to practice medicine in the District of Columbia is required.</w:t>
      </w:r>
    </w:p>
    <w:p w14:paraId="146B63D3" w14:textId="68173B38" w:rsidR="00820D81" w:rsidRPr="00D13AF1" w:rsidRDefault="00820D81" w:rsidP="00B463B4">
      <w:pPr>
        <w:pStyle w:val="Heading2Pink"/>
      </w:pPr>
      <w:bookmarkStart w:id="237" w:name="_Toc504484185"/>
      <w:bookmarkStart w:id="238" w:name="_Hlk494365714"/>
      <w:r w:rsidRPr="00D13AF1">
        <w:t>American Academy of Family Physicians</w:t>
      </w:r>
      <w:r w:rsidRPr="00D13AF1">
        <w:rPr>
          <w:vertAlign w:val="superscript"/>
        </w:rPr>
        <w:footnoteReference w:id="146"/>
      </w:r>
      <w:bookmarkEnd w:id="237"/>
    </w:p>
    <w:bookmarkEnd w:id="238"/>
    <w:p w14:paraId="76E164EC" w14:textId="05617F50" w:rsidR="00820D81" w:rsidRPr="00D13AF1" w:rsidRDefault="00820D81" w:rsidP="00820D81">
      <w:pPr>
        <w:pStyle w:val="BodyEE"/>
      </w:pPr>
      <w:r w:rsidRPr="00D13AF1">
        <w:t xml:space="preserve">The Academy is a membership society for individual U.S. Family Physicians, which regulates individual healthcare professionals across the </w:t>
      </w:r>
      <w:r w:rsidRPr="00D13AF1">
        <w:rPr>
          <w:color w:val="38383A" w:themeColor="text2"/>
        </w:rPr>
        <w:t>country</w:t>
      </w:r>
      <w:r w:rsidR="00E5185A" w:rsidRPr="00D13AF1">
        <w:rPr>
          <w:color w:val="38383A" w:themeColor="text2"/>
        </w:rPr>
        <w:t>.</w:t>
      </w:r>
      <w:r w:rsidR="00E5185A" w:rsidRPr="00D13AF1">
        <w:rPr>
          <w:rStyle w:val="FootnoteReference"/>
          <w:color w:val="38383A" w:themeColor="text2"/>
        </w:rPr>
        <w:footnoteReference w:id="147"/>
      </w:r>
      <w:r w:rsidRPr="00D13AF1">
        <w:rPr>
          <w:color w:val="38383A" w:themeColor="text2"/>
        </w:rPr>
        <w:t xml:space="preserve"> </w:t>
      </w:r>
    </w:p>
    <w:p w14:paraId="045ECA4D" w14:textId="77777777" w:rsidR="00820D81" w:rsidRPr="00D13AF1" w:rsidRDefault="00820D81" w:rsidP="00894E82">
      <w:pPr>
        <w:keepNext/>
        <w:keepLines/>
        <w:numPr>
          <w:ilvl w:val="2"/>
          <w:numId w:val="5"/>
        </w:numPr>
        <w:tabs>
          <w:tab w:val="clear" w:pos="280"/>
          <w:tab w:val="clear" w:pos="4800"/>
          <w:tab w:val="clear" w:pos="5780"/>
        </w:tabs>
        <w:suppressAutoHyphens w:val="0"/>
        <w:autoSpaceDE/>
        <w:autoSpaceDN/>
        <w:adjustRightInd/>
        <w:spacing w:before="360" w:after="120" w:line="264" w:lineRule="auto"/>
        <w:textAlignment w:val="auto"/>
        <w:outlineLvl w:val="2"/>
        <w:rPr>
          <w:rFonts w:asciiTheme="majorHAnsi" w:eastAsia="Gill Sans MT" w:hAnsiTheme="majorHAnsi" w:cs="Times New Roman"/>
          <w:color w:val="C64187" w:themeColor="accent2"/>
          <w:sz w:val="28"/>
          <w:szCs w:val="24"/>
        </w:rPr>
      </w:pPr>
      <w:r w:rsidRPr="00D13AF1">
        <w:rPr>
          <w:rFonts w:asciiTheme="majorHAnsi" w:eastAsia="Gill Sans MT" w:hAnsiTheme="majorHAnsi" w:cs="Times New Roman"/>
          <w:color w:val="C64187" w:themeColor="accent2"/>
          <w:sz w:val="28"/>
          <w:szCs w:val="24"/>
        </w:rPr>
        <w:t>Definition of telemedicine</w:t>
      </w:r>
    </w:p>
    <w:p w14:paraId="43838C57" w14:textId="77777777" w:rsidR="00820D81" w:rsidRPr="00D13AF1" w:rsidRDefault="00820D81" w:rsidP="00820D81">
      <w:pPr>
        <w:pStyle w:val="BodyEE"/>
      </w:pPr>
      <w:bookmarkStart w:id="239" w:name="_Hlk494365721"/>
      <w:r w:rsidRPr="00D13AF1">
        <w:t xml:space="preserve">The AAFP defines telehealth and telemedicine as: </w:t>
      </w:r>
    </w:p>
    <w:p w14:paraId="28ABD16E" w14:textId="77777777" w:rsidR="00820D81" w:rsidRPr="00D13AF1" w:rsidRDefault="00820D81" w:rsidP="00820D81">
      <w:pPr>
        <w:pStyle w:val="BodyEE"/>
      </w:pPr>
      <w:r w:rsidRPr="00D13AF1">
        <w:t xml:space="preserve">“Telemedicine is the practice of medicine using technology to deliver care at a distance, over a telecommunications infrastructure, between a patient at an originating (spoke) site and a physician, or other practitioner licensed to practice medicine, at a distant (hub) site.  Telehealth refers to a broad collection of electronic and telecommunications technologies and services that support at-a-distance healthcare delivery and services. Telehealth technologies and tactics support virtual medical, health and education services.  Telehealth is different from telemedicine in that it refers to a broader scope of remote healthcare services than telemedicine. While telemedicine refers specifically to remote clinical services, telehealth can refer to remote non-clinical services such as provider training, continuing medical education or public health </w:t>
      </w:r>
      <w:r w:rsidRPr="00D13AF1">
        <w:lastRenderedPageBreak/>
        <w:t>education, administrative meetings, and electronic information sharing to facilitate and support assessment, diagnosis, consultation, treatment, education, and care management.”</w:t>
      </w:r>
    </w:p>
    <w:bookmarkEnd w:id="239"/>
    <w:p w14:paraId="628E2B0C" w14:textId="77777777" w:rsidR="00820D81" w:rsidRPr="00D13AF1" w:rsidRDefault="00820D81" w:rsidP="00894E82">
      <w:pPr>
        <w:keepNext/>
        <w:keepLines/>
        <w:numPr>
          <w:ilvl w:val="2"/>
          <w:numId w:val="5"/>
        </w:numPr>
        <w:tabs>
          <w:tab w:val="clear" w:pos="280"/>
          <w:tab w:val="clear" w:pos="4800"/>
          <w:tab w:val="clear" w:pos="5780"/>
        </w:tabs>
        <w:suppressAutoHyphens w:val="0"/>
        <w:autoSpaceDE/>
        <w:autoSpaceDN/>
        <w:adjustRightInd/>
        <w:spacing w:before="360" w:after="120" w:line="264" w:lineRule="auto"/>
        <w:textAlignment w:val="auto"/>
        <w:outlineLvl w:val="2"/>
        <w:rPr>
          <w:rFonts w:asciiTheme="majorHAnsi" w:eastAsia="Gill Sans MT" w:hAnsiTheme="majorHAnsi" w:cs="Times New Roman"/>
          <w:color w:val="C64187" w:themeColor="accent2"/>
          <w:sz w:val="28"/>
          <w:szCs w:val="24"/>
        </w:rPr>
      </w:pPr>
      <w:r w:rsidRPr="00D13AF1">
        <w:rPr>
          <w:rFonts w:asciiTheme="majorHAnsi" w:eastAsia="Gill Sans MT" w:hAnsiTheme="majorHAnsi" w:cs="Times New Roman"/>
          <w:color w:val="C64187" w:themeColor="accent2"/>
          <w:sz w:val="28"/>
          <w:szCs w:val="24"/>
        </w:rPr>
        <w:t>Frameworks for telemedicine regulation</w:t>
      </w:r>
    </w:p>
    <w:p w14:paraId="03164D25" w14:textId="2C979946" w:rsidR="00820D81" w:rsidRPr="00D13AF1" w:rsidRDefault="00C326C1" w:rsidP="00820D81">
      <w:pPr>
        <w:pStyle w:val="BodyEE"/>
      </w:pPr>
      <w:r w:rsidRPr="00D13AF1">
        <w:t>They</w:t>
      </w:r>
      <w:r w:rsidR="00820D81" w:rsidRPr="00D13AF1">
        <w:t xml:space="preserve"> are a membership organization, not a regulatory body. </w:t>
      </w:r>
      <w:r w:rsidR="002510A4">
        <w:t>Their</w:t>
      </w:r>
      <w:r w:rsidR="002510A4" w:rsidRPr="00D13AF1">
        <w:t xml:space="preserve"> </w:t>
      </w:r>
      <w:r w:rsidR="00820D81" w:rsidRPr="00D13AF1">
        <w:t>policy states AAFP's position on telemedicine, but does not require individuals to do anything.</w:t>
      </w:r>
    </w:p>
    <w:p w14:paraId="099A397F" w14:textId="77777777" w:rsidR="00820D81" w:rsidRPr="00D13AF1" w:rsidRDefault="00820D81" w:rsidP="00820D81">
      <w:pPr>
        <w:pStyle w:val="BodyEE"/>
      </w:pPr>
      <w:r w:rsidRPr="00D13AF1">
        <w:t xml:space="preserve">On the topic of telemedicine, the AAFP interacts with other physician organizations, </w:t>
      </w:r>
      <w:proofErr w:type="spellStart"/>
      <w:r w:rsidRPr="00D13AF1">
        <w:t>Centers</w:t>
      </w:r>
      <w:proofErr w:type="spellEnd"/>
      <w:r w:rsidRPr="00D13AF1">
        <w:t xml:space="preserve"> for Medicaid and Medicare Services (CMS), Federation of State Medical Boards (FSMB), Private Payers, Office of the National Coordinator for Health IT (ONC), Federal Drug Administration (FDA).</w:t>
      </w:r>
    </w:p>
    <w:p w14:paraId="7C9C6153" w14:textId="77777777" w:rsidR="00820D81" w:rsidRPr="00D13AF1" w:rsidRDefault="00820D81" w:rsidP="00820D81">
      <w:pPr>
        <w:pStyle w:val="BodyEE"/>
      </w:pPr>
      <w:r w:rsidRPr="00D13AF1">
        <w:t>The AAFP considers continuity of care, freedom of choice by patient and physicians, appropriate reimbursement, appropriate oversight to ensure standard of care is met, to be areas of particular importance to the organisation.</w:t>
      </w:r>
    </w:p>
    <w:p w14:paraId="49E71813" w14:textId="2949FA5C" w:rsidR="00323866" w:rsidRPr="00D13AF1" w:rsidRDefault="00323866" w:rsidP="00323866">
      <w:pPr>
        <w:pStyle w:val="Heading2Pink"/>
      </w:pPr>
      <w:bookmarkStart w:id="240" w:name="_Toc504484186"/>
      <w:bookmarkStart w:id="241" w:name="_Hlk495507964"/>
      <w:r w:rsidRPr="00D13AF1">
        <w:t>National Board of Medical Examiners</w:t>
      </w:r>
      <w:r w:rsidR="00301059" w:rsidRPr="00D13AF1">
        <w:rPr>
          <w:rStyle w:val="FootnoteReference"/>
        </w:rPr>
        <w:footnoteReference w:id="148"/>
      </w:r>
      <w:bookmarkEnd w:id="240"/>
    </w:p>
    <w:bookmarkEnd w:id="241"/>
    <w:p w14:paraId="41937442" w14:textId="0BF47A8C" w:rsidR="00323866" w:rsidRPr="00D13AF1" w:rsidRDefault="00E64A05" w:rsidP="00323866">
      <w:pPr>
        <w:pStyle w:val="BodyEE"/>
      </w:pPr>
      <w:r w:rsidRPr="00D13AF1">
        <w:t>The Board c</w:t>
      </w:r>
      <w:r w:rsidR="00323866" w:rsidRPr="00D13AF1">
        <w:t xml:space="preserve">o-sponsors the examination series that leads to unrestricted licensure in the </w:t>
      </w:r>
      <w:r w:rsidR="00996726">
        <w:t>USA</w:t>
      </w:r>
      <w:r w:rsidR="00323866" w:rsidRPr="00D13AF1">
        <w:t>.</w:t>
      </w:r>
    </w:p>
    <w:p w14:paraId="50DFDC45" w14:textId="77777777" w:rsidR="00323866" w:rsidRPr="00D13AF1" w:rsidRDefault="00323866" w:rsidP="00323866">
      <w:pPr>
        <w:pStyle w:val="Heading3Pink"/>
      </w:pPr>
      <w:r w:rsidRPr="00D13AF1">
        <w:t>Definition of telemedicine</w:t>
      </w:r>
    </w:p>
    <w:p w14:paraId="37122A2B" w14:textId="37389107" w:rsidR="00323866" w:rsidRPr="00D13AF1" w:rsidRDefault="00E64A05" w:rsidP="00323866">
      <w:pPr>
        <w:pStyle w:val="BodyEE"/>
      </w:pPr>
      <w:bookmarkStart w:id="242" w:name="_Hlk495507978"/>
      <w:r w:rsidRPr="00D13AF1">
        <w:t>There is n</w:t>
      </w:r>
      <w:r w:rsidR="00323866" w:rsidRPr="00D13AF1">
        <w:t>o formal definition</w:t>
      </w:r>
      <w:r w:rsidRPr="00D13AF1">
        <w:t xml:space="preserve"> of telemedicine at this time, however the Board</w:t>
      </w:r>
      <w:r w:rsidR="00323866" w:rsidRPr="00D13AF1">
        <w:t xml:space="preserve"> typically use</w:t>
      </w:r>
      <w:r w:rsidRPr="00D13AF1">
        <w:t>s</w:t>
      </w:r>
      <w:r w:rsidR="00323866" w:rsidRPr="00D13AF1">
        <w:t xml:space="preserve"> the medical literature for grounding principles.</w:t>
      </w:r>
    </w:p>
    <w:bookmarkEnd w:id="242"/>
    <w:p w14:paraId="4EE88B10" w14:textId="77777777" w:rsidR="00323866" w:rsidRPr="00D13AF1" w:rsidRDefault="00323866" w:rsidP="00323866">
      <w:pPr>
        <w:pStyle w:val="Heading3Pink"/>
      </w:pPr>
      <w:r w:rsidRPr="00D13AF1">
        <w:t>Frameworks for telemedicine regulation</w:t>
      </w:r>
    </w:p>
    <w:p w14:paraId="4A2BBDAD" w14:textId="33D788CB" w:rsidR="00323866" w:rsidRPr="00D13AF1" w:rsidRDefault="00E64A05" w:rsidP="00323866">
      <w:pPr>
        <w:pStyle w:val="BodyEE"/>
      </w:pPr>
      <w:r w:rsidRPr="00D13AF1">
        <w:t>The Board has</w:t>
      </w:r>
      <w:r w:rsidR="00323866" w:rsidRPr="00D13AF1">
        <w:t xml:space="preserve"> no specific regulations or policies relating to telemedicine.</w:t>
      </w:r>
      <w:r w:rsidRPr="00D13AF1">
        <w:t xml:space="preserve"> If it did, however, these would be placed under the following categories:</w:t>
      </w:r>
    </w:p>
    <w:p w14:paraId="45F4286B" w14:textId="65A59FE1" w:rsidR="00323866" w:rsidRPr="00D13AF1" w:rsidRDefault="00301059" w:rsidP="00323866">
      <w:pPr>
        <w:pStyle w:val="Bulletlevel1"/>
      </w:pPr>
      <w:r w:rsidRPr="00D13AF1">
        <w:t>l</w:t>
      </w:r>
      <w:r w:rsidR="00323866" w:rsidRPr="00D13AF1">
        <w:t>icensing and/or registration</w:t>
      </w:r>
      <w:r w:rsidRPr="00D13AF1">
        <w:t>;</w:t>
      </w:r>
    </w:p>
    <w:p w14:paraId="42BF5A3A" w14:textId="0D61C21D" w:rsidR="00323866" w:rsidRPr="00D13AF1" w:rsidRDefault="00301059" w:rsidP="00323866">
      <w:pPr>
        <w:pStyle w:val="Bulletlevel1"/>
      </w:pPr>
      <w:r w:rsidRPr="00D13AF1">
        <w:t>q</w:t>
      </w:r>
      <w:r w:rsidR="00323866" w:rsidRPr="00D13AF1">
        <w:t>ualifications and training, including continuing professional development</w:t>
      </w:r>
      <w:r w:rsidRPr="00D13AF1">
        <w:t>.</w:t>
      </w:r>
    </w:p>
    <w:p w14:paraId="41F5363E" w14:textId="0E0661DC" w:rsidR="00323866" w:rsidRPr="00D13AF1" w:rsidRDefault="00E64A05" w:rsidP="00323866">
      <w:pPr>
        <w:pStyle w:val="BodyEE"/>
      </w:pPr>
      <w:r w:rsidRPr="00D13AF1">
        <w:t>Telephone medicine</w:t>
      </w:r>
      <w:r w:rsidR="00323866" w:rsidRPr="00D13AF1">
        <w:t xml:space="preserve"> appears in </w:t>
      </w:r>
      <w:r w:rsidRPr="00D13AF1">
        <w:t>their</w:t>
      </w:r>
      <w:r w:rsidR="00323866" w:rsidRPr="00D13AF1">
        <w:t xml:space="preserve"> standardized clinical skills assessment.</w:t>
      </w:r>
    </w:p>
    <w:p w14:paraId="772EB3D3" w14:textId="407CDCB2" w:rsidR="00323866" w:rsidRPr="00D13AF1" w:rsidRDefault="00CC6454" w:rsidP="00323866">
      <w:pPr>
        <w:pStyle w:val="BodyEE"/>
      </w:pPr>
      <w:r w:rsidRPr="00D13AF1">
        <w:t>The Board collaborates</w:t>
      </w:r>
      <w:r w:rsidR="00323866" w:rsidRPr="00D13AF1">
        <w:t xml:space="preserve"> with the Fed</w:t>
      </w:r>
      <w:r w:rsidRPr="00D13AF1">
        <w:t>eration of State Medical Boards on a regular basis and is a c</w:t>
      </w:r>
      <w:r w:rsidR="00323866" w:rsidRPr="00D13AF1">
        <w:t xml:space="preserve">o-sponsor of </w:t>
      </w:r>
      <w:r w:rsidRPr="00D13AF1">
        <w:t>United States Medical Licensing Examination</w:t>
      </w:r>
      <w:r w:rsidR="00323866" w:rsidRPr="00D13AF1">
        <w:t xml:space="preserve"> program.</w:t>
      </w:r>
    </w:p>
    <w:p w14:paraId="3210921B" w14:textId="77777777" w:rsidR="00323866" w:rsidRPr="00D13AF1" w:rsidRDefault="00323866" w:rsidP="00323866">
      <w:pPr>
        <w:pStyle w:val="Heading3Pink"/>
      </w:pPr>
      <w:r w:rsidRPr="00D13AF1">
        <w:t>Regulation of individual doctors who provide telemedicine services</w:t>
      </w:r>
    </w:p>
    <w:p w14:paraId="40C1E815" w14:textId="77777777" w:rsidR="00323866" w:rsidRPr="00D13AF1" w:rsidRDefault="00323866" w:rsidP="00323866">
      <w:pPr>
        <w:pStyle w:val="BodyEE"/>
      </w:pPr>
      <w:r w:rsidRPr="00D13AF1">
        <w:t>[not mentioned in the survey]</w:t>
      </w:r>
    </w:p>
    <w:p w14:paraId="69F13209" w14:textId="77777777" w:rsidR="00323866" w:rsidRPr="00D13AF1" w:rsidRDefault="00323866" w:rsidP="00323866">
      <w:pPr>
        <w:pStyle w:val="Heading3Pink"/>
      </w:pPr>
      <w:r w:rsidRPr="00D13AF1">
        <w:t>Cross-jurisdiction issues in telemedicine</w:t>
      </w:r>
    </w:p>
    <w:p w14:paraId="65197D40" w14:textId="77777777" w:rsidR="00323866" w:rsidRPr="00D13AF1" w:rsidRDefault="00323866" w:rsidP="00323866">
      <w:pPr>
        <w:pStyle w:val="BodyEE"/>
      </w:pPr>
      <w:r w:rsidRPr="00D13AF1">
        <w:t>[not mentioned in the survey]</w:t>
      </w:r>
    </w:p>
    <w:p w14:paraId="1DE6F55E" w14:textId="12965F43" w:rsidR="00323866" w:rsidRPr="00D13AF1" w:rsidRDefault="00323866" w:rsidP="00323866">
      <w:pPr>
        <w:pStyle w:val="Heading2Pink"/>
      </w:pPr>
      <w:bookmarkStart w:id="243" w:name="_Toc504484187"/>
      <w:bookmarkStart w:id="244" w:name="_Hlk495507984"/>
      <w:r w:rsidRPr="00D13AF1">
        <w:lastRenderedPageBreak/>
        <w:t>Medical Board of California</w:t>
      </w:r>
      <w:r w:rsidR="009D70D6" w:rsidRPr="00D13AF1">
        <w:rPr>
          <w:rStyle w:val="FootnoteReference"/>
        </w:rPr>
        <w:footnoteReference w:id="149"/>
      </w:r>
      <w:bookmarkEnd w:id="243"/>
    </w:p>
    <w:bookmarkEnd w:id="244"/>
    <w:p w14:paraId="405FC6F4" w14:textId="008E3FD0" w:rsidR="00323866" w:rsidRPr="00D13AF1" w:rsidRDefault="009D70D6" w:rsidP="00323866">
      <w:pPr>
        <w:pStyle w:val="BodyEE"/>
      </w:pPr>
      <w:r w:rsidRPr="00D13AF1">
        <w:t>The Board regulates a</w:t>
      </w:r>
      <w:r w:rsidR="00323866" w:rsidRPr="00D13AF1">
        <w:t>ll California allopathic physicians and surgeons, other allied health providers (licensed midwives, research psychoanalysts, and polysomnographic trainees, technicians, and technologists).</w:t>
      </w:r>
    </w:p>
    <w:p w14:paraId="35605423" w14:textId="77777777" w:rsidR="00323866" w:rsidRPr="00D13AF1" w:rsidRDefault="00323866" w:rsidP="00323866">
      <w:pPr>
        <w:pStyle w:val="Heading3Pink"/>
      </w:pPr>
      <w:bookmarkStart w:id="245" w:name="_Ref499730868"/>
      <w:r w:rsidRPr="00D13AF1">
        <w:t>Definition of telemedicine</w:t>
      </w:r>
      <w:bookmarkEnd w:id="245"/>
    </w:p>
    <w:p w14:paraId="6C32C003" w14:textId="77777777" w:rsidR="009D70D6" w:rsidRPr="00D13AF1" w:rsidRDefault="00323866" w:rsidP="00323866">
      <w:pPr>
        <w:pStyle w:val="BodyEE"/>
      </w:pPr>
      <w:bookmarkStart w:id="246" w:name="_Hlk495507988"/>
      <w:r w:rsidRPr="00D13AF1">
        <w:t xml:space="preserve">"Telehealth" means the mode of delivering health care services and public health via information and communication technologies to facilitate the diagnosis, consultation, treatment, education, care management, and self-management of a patient's health care while the patient is at the originating site and the health care provider is at a distant site. Telehealth facilitates patient self-management and caregiver support for patients and includes synchronous interactions and asynchronous store and forward transfers. </w:t>
      </w:r>
    </w:p>
    <w:p w14:paraId="4B887FDB" w14:textId="71FD2ECB" w:rsidR="00323866" w:rsidRPr="00D13AF1" w:rsidRDefault="00323866" w:rsidP="00323866">
      <w:pPr>
        <w:pStyle w:val="BodyEE"/>
      </w:pPr>
      <w:r w:rsidRPr="00D13AF1">
        <w:t>"Asynchronous store and forward" means the transmission of a patient's medical information from an originating site to the health care provider at a distant site without the presence of the patient. "Distant site" means a site where a health care provider who provides health care services is located while providing these services via a telecommunications system. "Originating site" means a site where a patient is located at the time health care services are provided via a telecommunications system or where the asynchronous store and forward service originates. "Synchronous interaction" means a real-time interaction between a patient and a health care provider located at a distant site.</w:t>
      </w:r>
    </w:p>
    <w:p w14:paraId="4E9DD6CA" w14:textId="77777777" w:rsidR="00323866" w:rsidRPr="00D13AF1" w:rsidRDefault="00323866" w:rsidP="00323866">
      <w:pPr>
        <w:pStyle w:val="BodyEE"/>
      </w:pPr>
      <w:r w:rsidRPr="00D13AF1">
        <w:t>Telehealth is not a telephone conversation, email/instant messaging conversation, or fax; it typically involves the application of videoconferencing or store and forward technology to provide or support health care delivery.</w:t>
      </w:r>
    </w:p>
    <w:bookmarkEnd w:id="246"/>
    <w:p w14:paraId="1845E23F" w14:textId="77777777" w:rsidR="00323866" w:rsidRPr="00D13AF1" w:rsidRDefault="00323866" w:rsidP="00323866">
      <w:pPr>
        <w:pStyle w:val="Heading3Pink"/>
      </w:pPr>
      <w:r w:rsidRPr="00D13AF1">
        <w:t>Frameworks for telemedicine regulation</w:t>
      </w:r>
    </w:p>
    <w:p w14:paraId="4353134D" w14:textId="41872517" w:rsidR="00323866" w:rsidRPr="00D13AF1" w:rsidRDefault="009D70D6" w:rsidP="00301059">
      <w:pPr>
        <w:pStyle w:val="BodyEE"/>
      </w:pPr>
      <w:r w:rsidRPr="00D13AF1">
        <w:t>The Board has</w:t>
      </w:r>
      <w:r w:rsidR="00323866" w:rsidRPr="00D13AF1">
        <w:t xml:space="preserve"> formal regulations and/or policies regarding telemedicine</w:t>
      </w:r>
      <w:r w:rsidR="00301059" w:rsidRPr="00D13AF1">
        <w:t>, which fall under the scope of s</w:t>
      </w:r>
      <w:r w:rsidR="00323866" w:rsidRPr="00D13AF1">
        <w:t>tandards of work</w:t>
      </w:r>
      <w:r w:rsidR="00301059" w:rsidRPr="00D13AF1">
        <w:t>.</w:t>
      </w:r>
    </w:p>
    <w:p w14:paraId="65183707" w14:textId="77777777" w:rsidR="00323866" w:rsidRPr="00D13AF1" w:rsidRDefault="00323866" w:rsidP="00323866">
      <w:pPr>
        <w:pStyle w:val="Heading3Pink"/>
      </w:pPr>
      <w:bookmarkStart w:id="247" w:name="_Ref499731379"/>
      <w:r w:rsidRPr="00D13AF1">
        <w:t>Regulation of individual doctors who provide telemedicine services</w:t>
      </w:r>
      <w:bookmarkEnd w:id="247"/>
    </w:p>
    <w:p w14:paraId="7BE4387D" w14:textId="77777777" w:rsidR="009D70D6" w:rsidRPr="00D13AF1" w:rsidRDefault="00323866" w:rsidP="00323866">
      <w:pPr>
        <w:pStyle w:val="BodyEE"/>
      </w:pPr>
      <w:r w:rsidRPr="00D13AF1">
        <w:t>Physicians must maintain the same standard of care whether they are providing the care in-person or via telehealth</w:t>
      </w:r>
      <w:r w:rsidR="009D70D6" w:rsidRPr="00D13AF1">
        <w:t>.</w:t>
      </w:r>
      <w:r w:rsidR="009D70D6" w:rsidRPr="00D13AF1">
        <w:rPr>
          <w:rStyle w:val="FootnoteReference"/>
        </w:rPr>
        <w:footnoteReference w:id="150"/>
      </w:r>
      <w:r w:rsidRPr="00D13AF1">
        <w:t xml:space="preserve"> </w:t>
      </w:r>
    </w:p>
    <w:p w14:paraId="6D040160" w14:textId="7C477FC1" w:rsidR="00323866" w:rsidRPr="00D13AF1" w:rsidRDefault="009D70D6" w:rsidP="00323866">
      <w:pPr>
        <w:pStyle w:val="BodyEE"/>
      </w:pPr>
      <w:r w:rsidRPr="00D13AF1">
        <w:t xml:space="preserve">We provide here some important points of the Practicing Medicine Through Telehealth Technology in California: </w:t>
      </w:r>
    </w:p>
    <w:p w14:paraId="7A7B0423" w14:textId="77777777" w:rsidR="00323866" w:rsidRPr="00D13AF1" w:rsidRDefault="00323866" w:rsidP="00323866">
      <w:pPr>
        <w:pStyle w:val="BodyEE"/>
      </w:pPr>
      <w:r w:rsidRPr="00D13AF1">
        <w:t xml:space="preserve">The </w:t>
      </w:r>
      <w:r w:rsidRPr="00D13AF1">
        <w:rPr>
          <w:rStyle w:val="Strong"/>
        </w:rPr>
        <w:t>standard of care</w:t>
      </w:r>
      <w:r w:rsidRPr="00D13AF1">
        <w:t xml:space="preserve"> is the same whether the patient is seen in-person, through telehealth or other methods of electronically enabled health care. Physicians need not reside in California, as long as they have a valid, current California license.</w:t>
      </w:r>
    </w:p>
    <w:p w14:paraId="5C5A9997" w14:textId="77777777" w:rsidR="00323866" w:rsidRPr="00D13AF1" w:rsidRDefault="00323866" w:rsidP="00323866">
      <w:pPr>
        <w:pStyle w:val="BodyEE"/>
      </w:pPr>
      <w:r w:rsidRPr="00D13AF1">
        <w:t>In 1996, Senate Bill 1665 (M. Thompson; Chap 864, Stats of 1996) enacted the "Telemedicine Development Act of 1996" which imposed several requirements governing the delivery of health care services through telemedicine and also made several changes to different sections of law, which are also related to telemedicine.</w:t>
      </w:r>
    </w:p>
    <w:p w14:paraId="1AC31ED5" w14:textId="420673B1" w:rsidR="00323866" w:rsidRPr="00D13AF1" w:rsidRDefault="00323866" w:rsidP="00323866">
      <w:pPr>
        <w:pStyle w:val="BodyEE"/>
      </w:pPr>
      <w:r w:rsidRPr="00D13AF1">
        <w:lastRenderedPageBreak/>
        <w:t xml:space="preserve">Below </w:t>
      </w:r>
      <w:r w:rsidR="00B47998" w:rsidRPr="00D13AF1">
        <w:t>are</w:t>
      </w:r>
      <w:r w:rsidRPr="00D13AF1">
        <w:t xml:space="preserve"> listed a </w:t>
      </w:r>
      <w:r w:rsidRPr="00D13AF1">
        <w:rPr>
          <w:rStyle w:val="Emphasis"/>
        </w:rPr>
        <w:t>few</w:t>
      </w:r>
      <w:r w:rsidRPr="00D13AF1">
        <w:t xml:space="preserve"> highlights of Senate Bill 1665:</w:t>
      </w:r>
    </w:p>
    <w:p w14:paraId="4A829736" w14:textId="77777777" w:rsidR="00323866" w:rsidRPr="00D13AF1" w:rsidRDefault="00323866" w:rsidP="00323866">
      <w:pPr>
        <w:pStyle w:val="Bulletlevel1"/>
      </w:pPr>
      <w:r w:rsidRPr="00D13AF1">
        <w:t>The act shall not be construed to alter the scope of practice of any health care provider or authorize the delivery of health care services in a setting, or in a manner, not otherwise authorized by law.</w:t>
      </w:r>
    </w:p>
    <w:p w14:paraId="0EEFD78D" w14:textId="77777777" w:rsidR="00323866" w:rsidRPr="00D13AF1" w:rsidRDefault="00323866" w:rsidP="00323866">
      <w:pPr>
        <w:pStyle w:val="Bulletlevel1"/>
      </w:pPr>
      <w:r w:rsidRPr="00D13AF1">
        <w:t>Exempts out-of-state practitioners, as defined, from the Medical Practice Act when consulting either within this state or across state lines, with a licensed practitioner in California. Prohibits the out-of-state practitioner from having ultimate authority over the care or primary diagnosis of a patient in California.</w:t>
      </w:r>
    </w:p>
    <w:p w14:paraId="222CE30A" w14:textId="77777777" w:rsidR="00323866" w:rsidRPr="00D13AF1" w:rsidRDefault="00323866" w:rsidP="00323866">
      <w:pPr>
        <w:pStyle w:val="Bulletlevel1"/>
      </w:pPr>
      <w:r w:rsidRPr="00D13AF1">
        <w:t>Requires the practitioner to obtain verbal and written informed consent from the patient prior to delivering health care via telemedicine, and also requires that this signed written consent statement becomes part of the patient's medical record.</w:t>
      </w:r>
    </w:p>
    <w:p w14:paraId="2F0EAD8E" w14:textId="77777777" w:rsidR="00323866" w:rsidRPr="00D13AF1" w:rsidRDefault="00323866" w:rsidP="00323866">
      <w:pPr>
        <w:pStyle w:val="Bulletlevel1"/>
      </w:pPr>
      <w:r w:rsidRPr="00D13AF1">
        <w:t>Provides that no health care service plan contract that is issued, amended, or renewed, on and after January 1, 1997, shall require face-to-face contract between a health care provider and patient for services appropriately provided through telemedicine, subject to all terms and conditions of the contract agreed upon.</w:t>
      </w:r>
    </w:p>
    <w:p w14:paraId="6124FFE5" w14:textId="77777777" w:rsidR="00323866" w:rsidRPr="00D13AF1" w:rsidRDefault="00323866" w:rsidP="00323866">
      <w:pPr>
        <w:pStyle w:val="BodyEE"/>
      </w:pPr>
      <w:r w:rsidRPr="00D13AF1">
        <w:t>In 2011, AB 415 repealed existing law related to telemedicine and replaced this law with the Telehealth Advancement Act of 2011, which revises and updates existing law to facilitate the advancement of telehealth as a service delivery mode in managed care and the Medi-Cal program. This bill repeals and replaces section 2290.5 of the Business and Professions Code to do the following:</w:t>
      </w:r>
    </w:p>
    <w:p w14:paraId="6379CFD4" w14:textId="77777777" w:rsidR="00323866" w:rsidRPr="00D13AF1" w:rsidRDefault="00323866" w:rsidP="00323866">
      <w:pPr>
        <w:pStyle w:val="Bulletlevel1"/>
      </w:pPr>
      <w:r w:rsidRPr="00D13AF1">
        <w:t>Defines “Asynchronous store and forward” as the transmission of a patient’s medical information from an originating site to the health care provider at a distant site without the presence of the patient.</w:t>
      </w:r>
    </w:p>
    <w:p w14:paraId="5326D779" w14:textId="77777777" w:rsidR="00323866" w:rsidRPr="00D13AF1" w:rsidRDefault="00323866" w:rsidP="00323866">
      <w:pPr>
        <w:pStyle w:val="Bulletlevel1"/>
      </w:pPr>
      <w:r w:rsidRPr="00D13AF1">
        <w:t>Defines “Distant Site” as a site where a health care provider is located while providing services via a telecommunications system.</w:t>
      </w:r>
    </w:p>
    <w:p w14:paraId="14252689" w14:textId="77777777" w:rsidR="00323866" w:rsidRPr="00D13AF1" w:rsidRDefault="00323866" w:rsidP="00323866">
      <w:pPr>
        <w:pStyle w:val="Bulletlevel1"/>
      </w:pPr>
      <w:r w:rsidRPr="00D13AF1">
        <w:t>Defines “Originating Site” as a site where a patient is located at the time health care services are provided via a telecommunications system or where the asynchronous store and forward transfer occurs.</w:t>
      </w:r>
    </w:p>
    <w:p w14:paraId="7044069F" w14:textId="77777777" w:rsidR="00323866" w:rsidRPr="00D13AF1" w:rsidRDefault="00323866" w:rsidP="00323866">
      <w:pPr>
        <w:pStyle w:val="Bulletlevel1"/>
      </w:pPr>
      <w:r w:rsidRPr="00D13AF1">
        <w:t>Defines “telehealth” as the mode of delivering health care services and public health via information and communication technologies to facilitate the diagnosis, consultation, treatment, education, care management, and self-management of a patient’s health care while the patient is at the originating site and the health care provider is at the distant site. States that telehealth facilitates patient self-management and caregiver support for patients and includes synchronous interactions and asynchronous store and forward transfers.</w:t>
      </w:r>
    </w:p>
    <w:p w14:paraId="7CBEEC15" w14:textId="77777777" w:rsidR="00323866" w:rsidRPr="00D13AF1" w:rsidRDefault="00323866" w:rsidP="00323866">
      <w:pPr>
        <w:pStyle w:val="Bulletlevel1"/>
      </w:pPr>
      <w:r w:rsidRPr="00D13AF1">
        <w:t>States that this section shall not be construed to alter the scope of practice of any health care provider.</w:t>
      </w:r>
    </w:p>
    <w:p w14:paraId="4373D83E" w14:textId="77777777" w:rsidR="00323866" w:rsidRPr="00D13AF1" w:rsidRDefault="00323866" w:rsidP="00323866">
      <w:pPr>
        <w:pStyle w:val="Bulletlevel1"/>
      </w:pPr>
      <w:r w:rsidRPr="00D13AF1">
        <w:t>Provides that all laws regarding the confidentiality of health care information and a patient’s rights to his or her medical information shall apply to telehealth interactions.</w:t>
      </w:r>
    </w:p>
    <w:p w14:paraId="4E3B8AAE" w14:textId="77777777" w:rsidR="00323866" w:rsidRPr="00D13AF1" w:rsidRDefault="00323866" w:rsidP="00323866">
      <w:pPr>
        <w:pStyle w:val="Bulletlevel1"/>
      </w:pPr>
      <w:r w:rsidRPr="00D13AF1">
        <w:t>This bill also applies the Business and Professions Code Section to the laws relating to Health Care Service Plans and to the Insurance code and requires health care service plans and health insurance companies to adopt payment policies to compensate health care providers who provide covered health care services through telehealth. This bill also applies these requirements to the Medi-Cal managed care program.</w:t>
      </w:r>
    </w:p>
    <w:p w14:paraId="5D440BFA" w14:textId="77777777" w:rsidR="00323866" w:rsidRPr="00D13AF1" w:rsidRDefault="00323866" w:rsidP="00323866">
      <w:pPr>
        <w:pStyle w:val="BodyEE"/>
      </w:pPr>
      <w:r w:rsidRPr="00D13AF1">
        <w:t>In 2015, AB 809 revised the informed consent requirements relating to the delivery of health care via telehealth by permitting consent to be made verbally or in writing, and by deleting the requirement that the health care provider who obtains the consent be at the originating site where the patient is physically located. This bill requires the health care provider to document the consent.</w:t>
      </w:r>
    </w:p>
    <w:p w14:paraId="168C5CB3" w14:textId="77777777" w:rsidR="00323866" w:rsidRPr="00D13AF1" w:rsidRDefault="00323866" w:rsidP="00323866">
      <w:pPr>
        <w:pStyle w:val="Heading3Pink"/>
      </w:pPr>
      <w:bookmarkStart w:id="248" w:name="_Ref499732244"/>
      <w:r w:rsidRPr="00D13AF1">
        <w:t>Cross-jurisdiction issues in telemedicine</w:t>
      </w:r>
      <w:bookmarkEnd w:id="248"/>
    </w:p>
    <w:p w14:paraId="1FE0B8E1" w14:textId="77777777" w:rsidR="00323866" w:rsidRPr="00D13AF1" w:rsidRDefault="00323866" w:rsidP="00323866">
      <w:pPr>
        <w:pStyle w:val="BodyEE"/>
      </w:pPr>
      <w:r w:rsidRPr="00D13AF1">
        <w:t>Physicians need not reside in California, as long as they have a valid, current California license.</w:t>
      </w:r>
    </w:p>
    <w:p w14:paraId="0B214A30" w14:textId="77777777" w:rsidR="00323866" w:rsidRPr="00D13AF1" w:rsidRDefault="00323866" w:rsidP="00323866">
      <w:pPr>
        <w:pStyle w:val="BodyEE"/>
        <w:rPr>
          <w:rStyle w:val="Strong"/>
          <w:b w:val="0"/>
          <w:bCs w:val="0"/>
        </w:rPr>
      </w:pPr>
      <w:r w:rsidRPr="00D13AF1">
        <w:rPr>
          <w:rStyle w:val="Strong"/>
          <w:b w:val="0"/>
        </w:rPr>
        <w:t>Physicians using telehealth technologies to provide care to patients located in California must be licensed in California.</w:t>
      </w:r>
    </w:p>
    <w:p w14:paraId="1727BAA1" w14:textId="54B46059" w:rsidR="00323866" w:rsidRPr="00D13AF1" w:rsidRDefault="00323866" w:rsidP="00323866">
      <w:pPr>
        <w:pStyle w:val="Heading2Pink"/>
      </w:pPr>
      <w:bookmarkStart w:id="249" w:name="_Toc504484188"/>
      <w:bookmarkStart w:id="250" w:name="_Hlk495507997"/>
      <w:r w:rsidRPr="00D13AF1">
        <w:lastRenderedPageBreak/>
        <w:t>Oklahoma State Board of Medical Licensure and Supervision</w:t>
      </w:r>
      <w:r w:rsidR="00301059" w:rsidRPr="00D13AF1">
        <w:rPr>
          <w:vertAlign w:val="superscript"/>
        </w:rPr>
        <w:footnoteReference w:id="151"/>
      </w:r>
      <w:bookmarkEnd w:id="249"/>
    </w:p>
    <w:bookmarkEnd w:id="250"/>
    <w:p w14:paraId="6A2F65E3" w14:textId="10691D39" w:rsidR="00323866" w:rsidRPr="00D13AF1" w:rsidRDefault="00323866" w:rsidP="00323866">
      <w:pPr>
        <w:pStyle w:val="BodyEE"/>
      </w:pPr>
      <w:r w:rsidRPr="00D13AF1">
        <w:t xml:space="preserve">The Oklahoma Medical Board is the state regulatory agency responsible for licensing and regulating approximately 11,000 medical doctors and an additional 12,000 licensees in </w:t>
      </w:r>
      <w:r w:rsidR="00ED4458" w:rsidRPr="00D13AF1">
        <w:t>13 related health professions. T</w:t>
      </w:r>
      <w:r w:rsidRPr="00D13AF1">
        <w:t>he OMB also provides the necessary staff f</w:t>
      </w:r>
      <w:r w:rsidR="00ED4458" w:rsidRPr="00D13AF1">
        <w:t>or 2 separate regulatory boards:</w:t>
      </w:r>
      <w:r w:rsidRPr="00D13AF1">
        <w:t xml:space="preserve"> Oklahoma Board of Podiatric Examiners and the Oklahoma Board of Licensed Perfusionist Examiners.</w:t>
      </w:r>
    </w:p>
    <w:p w14:paraId="3764A688" w14:textId="77777777" w:rsidR="00323866" w:rsidRPr="00D13AF1" w:rsidRDefault="00323866" w:rsidP="00323866">
      <w:pPr>
        <w:pStyle w:val="Heading3Pink"/>
      </w:pPr>
      <w:bookmarkStart w:id="251" w:name="_Ref499730947"/>
      <w:r w:rsidRPr="00D13AF1">
        <w:t>Definition of telemedicine</w:t>
      </w:r>
      <w:bookmarkEnd w:id="251"/>
    </w:p>
    <w:p w14:paraId="2B558CEB" w14:textId="03E08117" w:rsidR="00323866" w:rsidRPr="00D13AF1" w:rsidRDefault="00ED4458" w:rsidP="00323866">
      <w:pPr>
        <w:pStyle w:val="BodyEE"/>
      </w:pPr>
      <w:bookmarkStart w:id="252" w:name="_Hlk495508001"/>
      <w:r w:rsidRPr="00D13AF1">
        <w:t>Telemedicine</w:t>
      </w:r>
      <w:r w:rsidR="00323866" w:rsidRPr="00D13AF1">
        <w:t xml:space="preserve"> </w:t>
      </w:r>
      <w:r w:rsidRPr="00D13AF1">
        <w:t>is defined as</w:t>
      </w:r>
      <w:r w:rsidR="00323866" w:rsidRPr="00D13AF1">
        <w:t xml:space="preserve"> the practice of healthcare delivery, diagnosis, consultati</w:t>
      </w:r>
      <w:r w:rsidRPr="00D13AF1">
        <w:t>on and</w:t>
      </w:r>
      <w:r w:rsidR="00323866" w:rsidRPr="00D13AF1">
        <w:t xml:space="preserve"> treatment, by transfer of medical data, or exchange of medical education information by means of audio, video, or data communications.</w:t>
      </w:r>
    </w:p>
    <w:p w14:paraId="0C0BE13A" w14:textId="77777777" w:rsidR="00323866" w:rsidRPr="00D13AF1" w:rsidRDefault="00323866" w:rsidP="00323866">
      <w:pPr>
        <w:pStyle w:val="BodyEE"/>
      </w:pPr>
      <w:r w:rsidRPr="00D13AF1">
        <w:t>Telemedicine is not a consultation provided by telephone or facsimile machine (Oklahoma Statutes, Title 36, Sec. 6802). This definition excludes phone or Internet contact or prescribing and other forms of communication, such as web-based video, that might occur between parties that does not meet the equipment requirements as specified in OAC 435:10-7-13 and therefore requires an actual face-to-face encounter. Telemedicine physicians who meet the requirements of OAC 435:10-7-13 do not require a face to face encounter</w:t>
      </w:r>
    </w:p>
    <w:bookmarkEnd w:id="252"/>
    <w:p w14:paraId="3ECC16FB" w14:textId="77777777" w:rsidR="00323866" w:rsidRPr="00D13AF1" w:rsidRDefault="00323866" w:rsidP="00323866">
      <w:pPr>
        <w:pStyle w:val="Heading3Pink"/>
      </w:pPr>
      <w:r w:rsidRPr="00D13AF1">
        <w:t>Frameworks for telemedicine regulation</w:t>
      </w:r>
    </w:p>
    <w:p w14:paraId="369A7BC4" w14:textId="5D894861" w:rsidR="00323866" w:rsidRPr="00D13AF1" w:rsidRDefault="00ED4458" w:rsidP="00323866">
      <w:pPr>
        <w:pStyle w:val="BodyEE"/>
      </w:pPr>
      <w:r w:rsidRPr="00D13AF1">
        <w:t>The Board has formal rules and regulations on the topic of telemedicine that fall under the following categories:</w:t>
      </w:r>
    </w:p>
    <w:p w14:paraId="6FBB16BE" w14:textId="15486E15" w:rsidR="00323866" w:rsidRPr="00D13AF1" w:rsidRDefault="00301059" w:rsidP="00323866">
      <w:pPr>
        <w:pStyle w:val="Bulletlevel1"/>
      </w:pPr>
      <w:r w:rsidRPr="00D13AF1">
        <w:t>s</w:t>
      </w:r>
      <w:r w:rsidR="00323866" w:rsidRPr="00D13AF1">
        <w:t>tandards of work</w:t>
      </w:r>
      <w:r w:rsidRPr="00D13AF1">
        <w:t>;</w:t>
      </w:r>
    </w:p>
    <w:p w14:paraId="776466F7" w14:textId="16B3D5B4" w:rsidR="00323866" w:rsidRPr="00D13AF1" w:rsidRDefault="00301059" w:rsidP="00323866">
      <w:pPr>
        <w:pStyle w:val="Bulletlevel1"/>
      </w:pPr>
      <w:r w:rsidRPr="00D13AF1">
        <w:t>d</w:t>
      </w:r>
      <w:r w:rsidR="00323866" w:rsidRPr="00D13AF1">
        <w:t>iscipline and/or fitness to practise</w:t>
      </w:r>
      <w:r w:rsidRPr="00D13AF1">
        <w:t>.</w:t>
      </w:r>
    </w:p>
    <w:p w14:paraId="61CEF9F4" w14:textId="4EDFDFAE" w:rsidR="00323866" w:rsidRPr="00D13AF1" w:rsidRDefault="00ED4458" w:rsidP="00323866">
      <w:pPr>
        <w:pStyle w:val="BodyEE"/>
      </w:pPr>
      <w:r w:rsidRPr="00D13AF1">
        <w:t>The Board</w:t>
      </w:r>
      <w:r w:rsidR="00323866" w:rsidRPr="00D13AF1">
        <w:t xml:space="preserve"> might interact with a health system regulator. </w:t>
      </w:r>
      <w:r w:rsidRPr="00D13AF1">
        <w:t>They</w:t>
      </w:r>
      <w:r w:rsidR="00323866" w:rsidRPr="00D13AF1">
        <w:t xml:space="preserve"> collaborate with other regulators on the dev</w:t>
      </w:r>
      <w:r w:rsidRPr="00D13AF1">
        <w:t>elopment of Telemedicine policy as they</w:t>
      </w:r>
      <w:r w:rsidR="00323866" w:rsidRPr="00D13AF1">
        <w:t xml:space="preserve"> try to ensure compatibility of </w:t>
      </w:r>
      <w:r w:rsidR="002510A4">
        <w:t>their</w:t>
      </w:r>
      <w:r w:rsidR="002510A4" w:rsidRPr="00D13AF1">
        <w:t xml:space="preserve"> </w:t>
      </w:r>
      <w:r w:rsidR="00323866" w:rsidRPr="00D13AF1">
        <w:t>policies with policies of other regulators.</w:t>
      </w:r>
    </w:p>
    <w:p w14:paraId="5C57F8F4" w14:textId="6D5E3241" w:rsidR="00323866" w:rsidRPr="00D13AF1" w:rsidRDefault="00ED4458" w:rsidP="00323866">
      <w:pPr>
        <w:pStyle w:val="BodyEE"/>
      </w:pPr>
      <w:r w:rsidRPr="00D13AF1">
        <w:t>The Board has some c</w:t>
      </w:r>
      <w:r w:rsidR="00323866" w:rsidRPr="00D13AF1">
        <w:t xml:space="preserve">oncern </w:t>
      </w:r>
      <w:r w:rsidRPr="00D13AF1">
        <w:t>about telemedicine, in particular about</w:t>
      </w:r>
      <w:r w:rsidR="00323866" w:rsidRPr="00D13AF1">
        <w:t xml:space="preserve"> interfering with </w:t>
      </w:r>
      <w:r w:rsidRPr="00D13AF1">
        <w:t>the doctor/patient relationship; co</w:t>
      </w:r>
      <w:r w:rsidR="00323866" w:rsidRPr="00D13AF1">
        <w:t>ncern</w:t>
      </w:r>
      <w:r w:rsidRPr="00D13AF1">
        <w:t>s</w:t>
      </w:r>
      <w:r w:rsidR="00323866" w:rsidRPr="00D13AF1">
        <w:t xml:space="preserve"> about patient safety and confidentiality</w:t>
      </w:r>
      <w:r w:rsidRPr="00D13AF1">
        <w:t>, as well as potential</w:t>
      </w:r>
      <w:r w:rsidR="00323866" w:rsidRPr="00D13AF1">
        <w:t xml:space="preserve"> </w:t>
      </w:r>
      <w:r w:rsidRPr="00D13AF1">
        <w:t>complications to</w:t>
      </w:r>
      <w:r w:rsidR="00323866" w:rsidRPr="00D13AF1">
        <w:t xml:space="preserve"> the investigative process to protect the public.</w:t>
      </w:r>
    </w:p>
    <w:p w14:paraId="2C6E215A" w14:textId="2DFEA426" w:rsidR="00323866" w:rsidRPr="00D13AF1" w:rsidRDefault="00323866" w:rsidP="00323866">
      <w:pPr>
        <w:pStyle w:val="Heading3Pink"/>
      </w:pPr>
      <w:bookmarkStart w:id="253" w:name="_Ref499731391"/>
      <w:r w:rsidRPr="00D13AF1">
        <w:t>Regulation of individual doctors who provide telemedici</w:t>
      </w:r>
      <w:r w:rsidR="00ED4458" w:rsidRPr="00D13AF1">
        <w:t>ne services</w:t>
      </w:r>
      <w:r w:rsidR="00ED4458" w:rsidRPr="00D13AF1">
        <w:rPr>
          <w:rStyle w:val="FootnoteReference"/>
        </w:rPr>
        <w:footnoteReference w:id="152"/>
      </w:r>
      <w:bookmarkEnd w:id="253"/>
    </w:p>
    <w:p w14:paraId="18024C0B" w14:textId="77777777" w:rsidR="00323866" w:rsidRPr="00D13AF1" w:rsidRDefault="00323866" w:rsidP="00323866">
      <w:pPr>
        <w:pStyle w:val="BodyEE"/>
        <w:rPr>
          <w:lang w:eastAsia="en-GB"/>
        </w:rPr>
      </w:pPr>
      <w:r w:rsidRPr="00D13AF1">
        <w:rPr>
          <w:lang w:eastAsia="en-GB"/>
        </w:rPr>
        <w:t>435:10-7-13. Telemedicine</w:t>
      </w:r>
    </w:p>
    <w:p w14:paraId="2B2C0D60" w14:textId="77777777" w:rsidR="00323866" w:rsidRPr="00D13AF1" w:rsidRDefault="00323866" w:rsidP="00301059">
      <w:pPr>
        <w:pStyle w:val="BodyEE"/>
        <w:numPr>
          <w:ilvl w:val="0"/>
          <w:numId w:val="11"/>
        </w:numPr>
        <w:ind w:left="360"/>
      </w:pPr>
      <w:r w:rsidRPr="00D13AF1">
        <w:rPr>
          <w:lang w:eastAsia="en-GB"/>
        </w:rPr>
        <w:t>Physicians treating patients in Oklahoma through telemedicine must be fully licensed to practice medicine in Oklahoma; and</w:t>
      </w:r>
    </w:p>
    <w:p w14:paraId="5409EB5F" w14:textId="77777777" w:rsidR="00323866" w:rsidRPr="00D13AF1" w:rsidRDefault="00323866" w:rsidP="00301059">
      <w:pPr>
        <w:pStyle w:val="BodyEE"/>
        <w:numPr>
          <w:ilvl w:val="0"/>
          <w:numId w:val="11"/>
        </w:numPr>
        <w:ind w:left="360"/>
      </w:pPr>
      <w:r w:rsidRPr="00D13AF1">
        <w:rPr>
          <w:lang w:eastAsia="en-GB"/>
        </w:rPr>
        <w:t xml:space="preserve">Must practice telemedicine in compliance with standards established in these rules. In order to be exempt from the face-to-face meeting requirement set out in these rules, the telemedicine encounter must meet the following:  </w:t>
      </w:r>
    </w:p>
    <w:p w14:paraId="1B979100" w14:textId="77777777" w:rsidR="00323866" w:rsidRPr="00D13AF1" w:rsidRDefault="00323866" w:rsidP="00301059">
      <w:pPr>
        <w:pStyle w:val="BodyEE"/>
        <w:numPr>
          <w:ilvl w:val="0"/>
          <w:numId w:val="12"/>
        </w:numPr>
        <w:ind w:left="720"/>
        <w:rPr>
          <w:lang w:eastAsia="en-GB"/>
        </w:rPr>
      </w:pPr>
      <w:r w:rsidRPr="00D13AF1">
        <w:rPr>
          <w:lang w:eastAsia="en-GB"/>
        </w:rPr>
        <w:t xml:space="preserve">Telemedicine encounters. Telemedicine encounters require the distant site physician to perform an exam of a patient at a separate, remote originating site location. In order to accomplish this, and if </w:t>
      </w:r>
      <w:r w:rsidRPr="00D13AF1">
        <w:rPr>
          <w:lang w:eastAsia="en-GB"/>
        </w:rPr>
        <w:lastRenderedPageBreak/>
        <w:t>the distant site physician deems it to be medically necessary, a licensed healthcare provider trained in the use of the equipment may be utilized at the originating site to "present" the patient, manage the cameras, and perform any physical activities to successfully complete the exam. A medical record must be kept and be accessible at both the distant and originating sites, preferably a shared Electronic Medical Record, that is full and complete and meets the standards as a valid medical record. There should be provisions for appropriate follow up care equivalent to that available to face-to-face patients. The information available to the distant site physician for the medical problem to be addressed must be equivalent in scope and quality to what would be obtained with an original or follow-up face-to-face encounter and must meet all applicable standards of care for that medical problem including the documentation of a history, a physical exam, the ordering of any diagnostic tests, making a diagnosis and initiating a treatment plan with appropriate discussion and informed consent.</w:t>
      </w:r>
    </w:p>
    <w:p w14:paraId="20A27FA6" w14:textId="77777777" w:rsidR="00323866" w:rsidRPr="00D13AF1" w:rsidRDefault="00323866" w:rsidP="00301059">
      <w:pPr>
        <w:pStyle w:val="BodyEE"/>
        <w:numPr>
          <w:ilvl w:val="0"/>
          <w:numId w:val="12"/>
        </w:numPr>
        <w:ind w:left="720"/>
        <w:rPr>
          <w:lang w:eastAsia="en-GB"/>
        </w:rPr>
      </w:pPr>
      <w:r w:rsidRPr="00D13AF1">
        <w:rPr>
          <w:lang w:eastAsia="en-GB"/>
        </w:rPr>
        <w:t>Equipment and technical standards.</w:t>
      </w:r>
    </w:p>
    <w:p w14:paraId="1507C432" w14:textId="77777777" w:rsidR="00323866" w:rsidRPr="00D13AF1" w:rsidRDefault="00323866" w:rsidP="00301059">
      <w:pPr>
        <w:pStyle w:val="BodyEE"/>
        <w:numPr>
          <w:ilvl w:val="0"/>
          <w:numId w:val="13"/>
        </w:numPr>
        <w:ind w:left="1080"/>
        <w:rPr>
          <w:lang w:eastAsia="en-GB"/>
        </w:rPr>
      </w:pPr>
      <w:r w:rsidRPr="00D13AF1">
        <w:rPr>
          <w:lang w:eastAsia="en-GB"/>
        </w:rPr>
        <w:t>Telemedicine technology must be sufficient to provide the same information to the provider as if the exam has been performed face-to-face.</w:t>
      </w:r>
    </w:p>
    <w:p w14:paraId="65FE712D" w14:textId="77777777" w:rsidR="00323866" w:rsidRPr="00D13AF1" w:rsidRDefault="00323866" w:rsidP="00301059">
      <w:pPr>
        <w:pStyle w:val="BodyEE"/>
        <w:numPr>
          <w:ilvl w:val="0"/>
          <w:numId w:val="13"/>
        </w:numPr>
        <w:ind w:left="1080"/>
        <w:rPr>
          <w:lang w:eastAsia="en-GB"/>
        </w:rPr>
      </w:pPr>
      <w:r w:rsidRPr="00D13AF1">
        <w:rPr>
          <w:lang w:eastAsia="en-GB"/>
        </w:rPr>
        <w:t>Telemedicine encounters must comply with HIPAA (Health Insurance Portability and Accountability Act of 1996) security measures to ensure that all patient communications and records are secure and remain confidential.</w:t>
      </w:r>
    </w:p>
    <w:p w14:paraId="6D48C255" w14:textId="77777777" w:rsidR="00323866" w:rsidRPr="00D13AF1" w:rsidRDefault="00323866" w:rsidP="00301059">
      <w:pPr>
        <w:pStyle w:val="BodyEE"/>
        <w:numPr>
          <w:ilvl w:val="0"/>
          <w:numId w:val="12"/>
        </w:numPr>
        <w:ind w:left="720"/>
        <w:rPr>
          <w:lang w:eastAsia="en-GB"/>
        </w:rPr>
      </w:pPr>
      <w:r w:rsidRPr="00D13AF1">
        <w:rPr>
          <w:lang w:eastAsia="en-GB"/>
        </w:rPr>
        <w:t>Technology guidelines.</w:t>
      </w:r>
    </w:p>
    <w:p w14:paraId="1B5421CE" w14:textId="77777777" w:rsidR="00323866" w:rsidRPr="00D13AF1" w:rsidRDefault="00323866" w:rsidP="00301059">
      <w:pPr>
        <w:pStyle w:val="BodyEE"/>
        <w:numPr>
          <w:ilvl w:val="0"/>
          <w:numId w:val="14"/>
        </w:numPr>
        <w:ind w:left="1080"/>
        <w:rPr>
          <w:lang w:eastAsia="en-GB"/>
        </w:rPr>
      </w:pPr>
      <w:r w:rsidRPr="00D13AF1">
        <w:rPr>
          <w:lang w:eastAsia="en-GB"/>
        </w:rPr>
        <w:t>Audio and video equipment must permit interactive, real-time communications.</w:t>
      </w:r>
    </w:p>
    <w:p w14:paraId="05A1971C" w14:textId="77777777" w:rsidR="00323866" w:rsidRPr="00D13AF1" w:rsidRDefault="00323866" w:rsidP="00301059">
      <w:pPr>
        <w:pStyle w:val="BodyEE"/>
        <w:numPr>
          <w:ilvl w:val="0"/>
          <w:numId w:val="14"/>
        </w:numPr>
        <w:ind w:left="1080"/>
        <w:rPr>
          <w:lang w:eastAsia="en-GB"/>
        </w:rPr>
      </w:pPr>
      <w:r w:rsidRPr="00D13AF1">
        <w:rPr>
          <w:lang w:eastAsia="en-GB"/>
        </w:rPr>
        <w:t>Technology must be HIPAA compliant.</w:t>
      </w:r>
    </w:p>
    <w:p w14:paraId="232EB449" w14:textId="77777777" w:rsidR="00323866" w:rsidRPr="00D13AF1" w:rsidRDefault="00323866" w:rsidP="00301059">
      <w:pPr>
        <w:pStyle w:val="BodyEE"/>
        <w:numPr>
          <w:ilvl w:val="0"/>
          <w:numId w:val="12"/>
        </w:numPr>
        <w:ind w:left="720"/>
        <w:rPr>
          <w:lang w:eastAsia="en-GB"/>
        </w:rPr>
      </w:pPr>
      <w:r w:rsidRPr="00D13AF1">
        <w:rPr>
          <w:lang w:eastAsia="en-GB"/>
        </w:rPr>
        <w:t>Board Approval of Telemedicine.</w:t>
      </w:r>
    </w:p>
    <w:p w14:paraId="51C72751" w14:textId="77777777" w:rsidR="00323866" w:rsidRPr="00D13AF1" w:rsidRDefault="00323866" w:rsidP="00301059">
      <w:pPr>
        <w:pStyle w:val="BodyEE"/>
        <w:ind w:left="720"/>
        <w:rPr>
          <w:lang w:eastAsia="en-GB"/>
        </w:rPr>
      </w:pPr>
      <w:r w:rsidRPr="00D13AF1">
        <w:rPr>
          <w:lang w:eastAsia="en-GB"/>
        </w:rPr>
        <w:t>In the event a specific telemedicine program is outside the parameters of these rules, the Board reserves the right to approve or deny the program.</w:t>
      </w:r>
    </w:p>
    <w:p w14:paraId="7D3AFD62" w14:textId="77777777" w:rsidR="00323866" w:rsidRPr="00D13AF1" w:rsidRDefault="00323866" w:rsidP="00323866">
      <w:pPr>
        <w:pStyle w:val="Heading3Pink"/>
      </w:pPr>
      <w:bookmarkStart w:id="254" w:name="_Ref499732312"/>
      <w:r w:rsidRPr="00D13AF1">
        <w:t>Cross-jurisdiction issues in telemedicine</w:t>
      </w:r>
      <w:bookmarkEnd w:id="254"/>
    </w:p>
    <w:p w14:paraId="5B179056" w14:textId="42A06B4F" w:rsidR="00323866" w:rsidRPr="00D13AF1" w:rsidRDefault="00323866" w:rsidP="00323866">
      <w:pPr>
        <w:pStyle w:val="BodyEE"/>
      </w:pPr>
      <w:r w:rsidRPr="00D13AF1">
        <w:rPr>
          <w:lang w:eastAsia="en-GB"/>
        </w:rPr>
        <w:t>Physicians treating patients in Oklahoma through telemedicine must be fully licensed to practice medicine in Oklahoma.</w:t>
      </w:r>
    </w:p>
    <w:p w14:paraId="59D67C4C" w14:textId="77777777" w:rsidR="00820D81" w:rsidRPr="00D13AF1" w:rsidRDefault="00820D81" w:rsidP="00AC0CDC">
      <w:pPr>
        <w:pStyle w:val="BodyEE"/>
      </w:pPr>
    </w:p>
    <w:p w14:paraId="731AE064" w14:textId="77777777" w:rsidR="00AC0CDC" w:rsidRPr="00D13AF1" w:rsidRDefault="00AC0CDC" w:rsidP="00AC0CDC">
      <w:pPr>
        <w:pStyle w:val="BodyEE"/>
      </w:pPr>
    </w:p>
    <w:p w14:paraId="6FF67719" w14:textId="77777777" w:rsidR="00B65F49" w:rsidRPr="00D13AF1" w:rsidRDefault="00B65F49" w:rsidP="00255B2F">
      <w:pPr>
        <w:pStyle w:val="BodyEE"/>
      </w:pPr>
    </w:p>
    <w:p w14:paraId="5D43F470" w14:textId="77777777" w:rsidR="00B65F49" w:rsidRPr="00D13AF1" w:rsidRDefault="00B65F49" w:rsidP="00255B2F">
      <w:pPr>
        <w:pStyle w:val="BodyEE"/>
      </w:pPr>
    </w:p>
    <w:p w14:paraId="052478B1" w14:textId="77777777" w:rsidR="001C00D0" w:rsidRPr="00D13AF1" w:rsidRDefault="001C00D0" w:rsidP="00255B2F">
      <w:pPr>
        <w:pStyle w:val="BodyEE"/>
        <w:sectPr w:rsidR="001C00D0" w:rsidRPr="00D13AF1" w:rsidSect="00547CDF">
          <w:headerReference w:type="default" r:id="rId62"/>
          <w:headerReference w:type="first" r:id="rId63"/>
          <w:pgSz w:w="11906" w:h="16838"/>
          <w:pgMar w:top="1701" w:right="1134" w:bottom="1134" w:left="1134" w:header="567" w:footer="397" w:gutter="0"/>
          <w:cols w:space="708"/>
          <w:titlePg/>
          <w:docGrid w:linePitch="360"/>
        </w:sectPr>
      </w:pPr>
    </w:p>
    <w:p w14:paraId="6336BF1E" w14:textId="77777777" w:rsidR="001C00D0" w:rsidRPr="00D13AF1" w:rsidRDefault="001C00D0" w:rsidP="001C00D0">
      <w:pPr>
        <w:pStyle w:val="Bulletlevel1"/>
        <w:numPr>
          <w:ilvl w:val="0"/>
          <w:numId w:val="0"/>
        </w:numPr>
      </w:pPr>
      <w:r w:rsidRPr="00D13AF1">
        <w:rPr>
          <w:rStyle w:val="SectionDividerChar"/>
          <w:noProof/>
          <w:color w:val="18416A" w:themeColor="accent5"/>
          <w:lang w:eastAsia="en-GB"/>
        </w:rPr>
        <w:lastRenderedPageBreak/>
        <w:drawing>
          <wp:anchor distT="0" distB="0" distL="114300" distR="114300" simplePos="0" relativeHeight="251660288" behindDoc="1" locked="0" layoutInCell="1" allowOverlap="1" wp14:anchorId="006B2849" wp14:editId="29F53A88">
            <wp:simplePos x="0" y="0"/>
            <wp:positionH relativeFrom="page">
              <wp:posOffset>0</wp:posOffset>
            </wp:positionH>
            <wp:positionV relativeFrom="page">
              <wp:posOffset>0</wp:posOffset>
            </wp:positionV>
            <wp:extent cx="7563159" cy="10689589"/>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 - CL copy.jpg"/>
                    <pic:cNvPicPr/>
                  </pic:nvPicPr>
                  <pic:blipFill>
                    <a:blip r:embed="rId64">
                      <a:extLst>
                        <a:ext uri="{28A0092B-C50C-407E-A947-70E740481C1C}">
                          <a14:useLocalDpi xmlns:a14="http://schemas.microsoft.com/office/drawing/2010/main" val="0"/>
                        </a:ext>
                      </a:extLst>
                    </a:blip>
                    <a:stretch>
                      <a:fillRect/>
                    </a:stretch>
                  </pic:blipFill>
                  <pic:spPr>
                    <a:xfrm>
                      <a:off x="0" y="0"/>
                      <a:ext cx="7563159" cy="106895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4ED12B" w14:textId="471173FC" w:rsidR="001C00D0" w:rsidRPr="00D13AF1" w:rsidRDefault="001C00D0" w:rsidP="001C00D0">
      <w:pPr>
        <w:pStyle w:val="Heading1"/>
        <w:pageBreakBefore w:val="0"/>
        <w:numPr>
          <w:ilvl w:val="0"/>
          <w:numId w:val="0"/>
        </w:numPr>
        <w:ind w:left="709" w:hanging="709"/>
        <w:rPr>
          <w:b/>
          <w:color w:val="C64187" w:themeColor="accent2"/>
        </w:rPr>
      </w:pPr>
      <w:bookmarkStart w:id="255" w:name="_Ref499224601"/>
      <w:bookmarkStart w:id="256" w:name="_Ref499224603"/>
      <w:bookmarkStart w:id="257" w:name="_Ref499224696"/>
      <w:bookmarkStart w:id="258" w:name="_Ref499307054"/>
      <w:bookmarkStart w:id="259" w:name="_Toc504484189"/>
      <w:r w:rsidRPr="00D13AF1">
        <w:rPr>
          <w:b/>
          <w:color w:val="C64187" w:themeColor="accent2"/>
        </w:rPr>
        <w:t xml:space="preserve">Appendix </w:t>
      </w:r>
      <w:r w:rsidR="00D02020" w:rsidRPr="00D13AF1">
        <w:rPr>
          <w:b/>
          <w:color w:val="C64187" w:themeColor="accent2"/>
        </w:rPr>
        <w:t xml:space="preserve">3 </w:t>
      </w:r>
      <w:r w:rsidRPr="00D13AF1">
        <w:rPr>
          <w:b/>
          <w:color w:val="C64187" w:themeColor="accent2"/>
        </w:rPr>
        <w:t xml:space="preserve">— </w:t>
      </w:r>
      <w:r w:rsidR="00D02020" w:rsidRPr="00D13AF1">
        <w:rPr>
          <w:b/>
          <w:color w:val="C64187" w:themeColor="accent2"/>
        </w:rPr>
        <w:t>non-core</w:t>
      </w:r>
      <w:r w:rsidRPr="00D13AF1">
        <w:rPr>
          <w:b/>
          <w:color w:val="C64187" w:themeColor="accent2"/>
        </w:rPr>
        <w:t xml:space="preserve"> countries</w:t>
      </w:r>
      <w:bookmarkEnd w:id="255"/>
      <w:bookmarkEnd w:id="256"/>
      <w:bookmarkEnd w:id="257"/>
      <w:bookmarkEnd w:id="258"/>
      <w:bookmarkEnd w:id="259"/>
    </w:p>
    <w:p w14:paraId="58BB2E58" w14:textId="77777777" w:rsidR="001C00D0" w:rsidRPr="00D13AF1" w:rsidRDefault="001C00D0" w:rsidP="001C00D0"/>
    <w:p w14:paraId="1FEDCA00" w14:textId="77777777" w:rsidR="001C00D0" w:rsidRPr="00D13AF1" w:rsidRDefault="001C00D0" w:rsidP="001C00D0">
      <w:pPr>
        <w:sectPr w:rsidR="001C00D0" w:rsidRPr="00D13AF1" w:rsidSect="002D7A15">
          <w:headerReference w:type="first" r:id="rId65"/>
          <w:footerReference w:type="first" r:id="rId66"/>
          <w:pgSz w:w="11906" w:h="16838"/>
          <w:pgMar w:top="9923" w:right="1134" w:bottom="1134" w:left="1134" w:header="567" w:footer="397" w:gutter="0"/>
          <w:cols w:space="708"/>
          <w:docGrid w:linePitch="360"/>
        </w:sectPr>
      </w:pPr>
    </w:p>
    <w:p w14:paraId="2945F6C6" w14:textId="77777777" w:rsidR="0020091B" w:rsidRPr="00D13AF1" w:rsidRDefault="0020091B" w:rsidP="00524B0E">
      <w:pPr>
        <w:pStyle w:val="Heading1"/>
        <w:ind w:left="709" w:hanging="714"/>
        <w:rPr>
          <w:color w:val="C64187" w:themeColor="accent2"/>
        </w:rPr>
      </w:pPr>
      <w:bookmarkStart w:id="260" w:name="_Toc504484190"/>
      <w:r w:rsidRPr="00D13AF1">
        <w:rPr>
          <w:color w:val="C64187" w:themeColor="accent2"/>
        </w:rPr>
        <w:lastRenderedPageBreak/>
        <w:t>Bhutan</w:t>
      </w:r>
      <w:bookmarkEnd w:id="260"/>
    </w:p>
    <w:p w14:paraId="7C18DA79" w14:textId="1F4185E0" w:rsidR="0020091B" w:rsidRPr="00D13AF1" w:rsidRDefault="0020091B" w:rsidP="00B463B4">
      <w:pPr>
        <w:pStyle w:val="Heading2Pink"/>
      </w:pPr>
      <w:bookmarkStart w:id="261" w:name="_Toc504484191"/>
      <w:r w:rsidRPr="00D13AF1">
        <w:t>Bhutan Medical and Health Council</w:t>
      </w:r>
      <w:r w:rsidR="00ED4458" w:rsidRPr="00D13AF1">
        <w:rPr>
          <w:vertAlign w:val="superscript"/>
        </w:rPr>
        <w:footnoteReference w:id="153"/>
      </w:r>
      <w:bookmarkEnd w:id="261"/>
    </w:p>
    <w:p w14:paraId="04678943" w14:textId="77777777" w:rsidR="0020091B" w:rsidRPr="00D13AF1" w:rsidRDefault="0020091B" w:rsidP="0020091B">
      <w:pPr>
        <w:pStyle w:val="Heading3Pink"/>
      </w:pPr>
      <w:r w:rsidRPr="00D13AF1">
        <w:t>Definition of telemedicine</w:t>
      </w:r>
    </w:p>
    <w:p w14:paraId="13097D0D" w14:textId="3502B6D9" w:rsidR="0020091B" w:rsidRPr="00D13AF1" w:rsidRDefault="0020091B" w:rsidP="0020091B">
      <w:pPr>
        <w:pStyle w:val="BodyEE"/>
      </w:pPr>
      <w:r w:rsidRPr="00D13AF1">
        <w:t>Patient consultation through various mode</w:t>
      </w:r>
      <w:r w:rsidR="00ED4458" w:rsidRPr="00D13AF1">
        <w:t>s such as through email</w:t>
      </w:r>
      <w:r w:rsidRPr="00D13AF1">
        <w:t xml:space="preserve"> and </w:t>
      </w:r>
      <w:proofErr w:type="spellStart"/>
      <w:r w:rsidRPr="00D13AF1">
        <w:t>wechat</w:t>
      </w:r>
      <w:proofErr w:type="spellEnd"/>
      <w:r w:rsidRPr="00D13AF1">
        <w:t>.</w:t>
      </w:r>
    </w:p>
    <w:p w14:paraId="6E0F078E" w14:textId="77777777" w:rsidR="0020091B" w:rsidRPr="00D13AF1" w:rsidRDefault="0020091B" w:rsidP="0020091B">
      <w:pPr>
        <w:pStyle w:val="Heading3Pink"/>
      </w:pPr>
      <w:r w:rsidRPr="00D13AF1">
        <w:t>Frameworks for telemedicine regulation</w:t>
      </w:r>
    </w:p>
    <w:p w14:paraId="51A1B664" w14:textId="77777777" w:rsidR="0020091B" w:rsidRPr="00D13AF1" w:rsidRDefault="0020091B" w:rsidP="0020091B">
      <w:pPr>
        <w:pStyle w:val="BodyEE"/>
      </w:pPr>
      <w:proofErr w:type="gramStart"/>
      <w:r w:rsidRPr="00D13AF1">
        <w:t>No ;</w:t>
      </w:r>
      <w:proofErr w:type="gramEnd"/>
      <w:r w:rsidRPr="00D13AF1">
        <w:t xml:space="preserve"> no specific regulations or policies relating to telemedicine.</w:t>
      </w:r>
    </w:p>
    <w:p w14:paraId="43DEF212" w14:textId="77777777" w:rsidR="0020091B" w:rsidRPr="00D13AF1" w:rsidRDefault="0020091B" w:rsidP="0020091B">
      <w:pPr>
        <w:pStyle w:val="Heading3Pink"/>
      </w:pPr>
      <w:r w:rsidRPr="00D13AF1">
        <w:t>Regulation of individual doctors who provide telemedicine services</w:t>
      </w:r>
    </w:p>
    <w:p w14:paraId="5AF96AEA" w14:textId="77777777" w:rsidR="0020091B" w:rsidRPr="00D13AF1" w:rsidRDefault="0020091B" w:rsidP="0020091B">
      <w:pPr>
        <w:pStyle w:val="BodyEE"/>
      </w:pPr>
      <w:r w:rsidRPr="00D13AF1">
        <w:t>[not mentioned in the survey]</w:t>
      </w:r>
    </w:p>
    <w:p w14:paraId="2D876CB3" w14:textId="77777777" w:rsidR="0020091B" w:rsidRPr="00D13AF1" w:rsidRDefault="0020091B" w:rsidP="0020091B">
      <w:pPr>
        <w:pStyle w:val="Heading3Pink"/>
      </w:pPr>
      <w:r w:rsidRPr="00D13AF1">
        <w:t>Cross-jurisdiction issues in telemedicine</w:t>
      </w:r>
    </w:p>
    <w:p w14:paraId="3F61D2C3" w14:textId="77777777" w:rsidR="0020091B" w:rsidRPr="00D13AF1" w:rsidRDefault="0020091B" w:rsidP="0020091B">
      <w:pPr>
        <w:pStyle w:val="BodyEE"/>
      </w:pPr>
      <w:r w:rsidRPr="00D13AF1">
        <w:t>[not mentioned in the survey]</w:t>
      </w:r>
    </w:p>
    <w:p w14:paraId="12D0F2C5" w14:textId="77777777" w:rsidR="001C00D0" w:rsidRPr="00D13AF1" w:rsidRDefault="001C00D0" w:rsidP="00524B0E">
      <w:pPr>
        <w:pStyle w:val="Heading1"/>
        <w:ind w:left="709" w:hanging="714"/>
        <w:rPr>
          <w:color w:val="C64187" w:themeColor="accent2"/>
        </w:rPr>
      </w:pPr>
      <w:bookmarkStart w:id="262" w:name="_Toc504484192"/>
      <w:r w:rsidRPr="00D13AF1">
        <w:rPr>
          <w:color w:val="C64187" w:themeColor="accent2"/>
        </w:rPr>
        <w:lastRenderedPageBreak/>
        <w:t>Germany</w:t>
      </w:r>
      <w:bookmarkEnd w:id="262"/>
    </w:p>
    <w:p w14:paraId="74FE1ACC" w14:textId="77777777" w:rsidR="001C00D0" w:rsidRPr="00D13AF1" w:rsidRDefault="001C00D0" w:rsidP="001C00D0">
      <w:pPr>
        <w:pStyle w:val="Heading2Pink"/>
      </w:pPr>
      <w:bookmarkStart w:id="263" w:name="_Toc504484193"/>
      <w:bookmarkStart w:id="264" w:name="_Hlk494365542"/>
      <w:r w:rsidRPr="00D13AF1">
        <w:t>German Medical Association</w:t>
      </w:r>
      <w:r w:rsidRPr="00D13AF1">
        <w:rPr>
          <w:rStyle w:val="FootnoteReference"/>
        </w:rPr>
        <w:footnoteReference w:id="154"/>
      </w:r>
      <w:bookmarkEnd w:id="263"/>
    </w:p>
    <w:bookmarkEnd w:id="264"/>
    <w:p w14:paraId="5356FCE5" w14:textId="77777777" w:rsidR="001C00D0" w:rsidRPr="00D13AF1" w:rsidRDefault="001C00D0" w:rsidP="001C00D0">
      <w:pPr>
        <w:pStyle w:val="BodyEE"/>
      </w:pPr>
      <w:r w:rsidRPr="00D13AF1">
        <w:t>The German Medical Association (</w:t>
      </w:r>
      <w:proofErr w:type="spellStart"/>
      <w:r w:rsidRPr="00D13AF1">
        <w:t>Bundesärztekammer</w:t>
      </w:r>
      <w:proofErr w:type="spellEnd"/>
      <w:r w:rsidRPr="00D13AF1">
        <w:t>) is the federation of the 17 state chambers of physicians in Germany (</w:t>
      </w:r>
      <w:proofErr w:type="spellStart"/>
      <w:r w:rsidRPr="00D13AF1">
        <w:t>Landesärztekammer</w:t>
      </w:r>
      <w:proofErr w:type="spellEnd"/>
      <w:r w:rsidRPr="00D13AF1">
        <w:t>). As the central organisation in the system of medical self-governance, it represents the professional interests of the 496,240 physicians in Germany (as of 31 December 2016).</w:t>
      </w:r>
    </w:p>
    <w:p w14:paraId="4B30AF8A" w14:textId="77777777" w:rsidR="001C00D0" w:rsidRPr="00D13AF1" w:rsidRDefault="001C00D0" w:rsidP="001C00D0">
      <w:pPr>
        <w:pStyle w:val="Heading3Pink"/>
      </w:pPr>
      <w:r w:rsidRPr="00D13AF1">
        <w:t>Definition of telemedicine</w:t>
      </w:r>
    </w:p>
    <w:p w14:paraId="25CB0C83" w14:textId="7D94FA76" w:rsidR="001C00D0" w:rsidRPr="00D13AF1" w:rsidRDefault="001C00D0" w:rsidP="001C00D0">
      <w:pPr>
        <w:pStyle w:val="BodyEE"/>
      </w:pPr>
      <w:bookmarkStart w:id="265" w:name="_Hlk494365545"/>
      <w:r w:rsidRPr="00D13AF1">
        <w:t xml:space="preserve">Telemedicine is used as a generic term for different approaches in </w:t>
      </w:r>
      <w:r w:rsidR="00712299">
        <w:t>p</w:t>
      </w:r>
      <w:r w:rsidR="00712299" w:rsidRPr="00D13AF1">
        <w:t xml:space="preserve">atient </w:t>
      </w:r>
      <w:r w:rsidRPr="00D13AF1">
        <w:t>care. The common feature of all telemedical services in patient care is the use of ICT for clinical diagnostics, therapy and rehabilitation as well as for medical counselling over distance (or time).</w:t>
      </w:r>
    </w:p>
    <w:bookmarkEnd w:id="265"/>
    <w:p w14:paraId="79ABCD16" w14:textId="77777777" w:rsidR="001C00D0" w:rsidRPr="00D13AF1" w:rsidRDefault="001C00D0" w:rsidP="001C00D0">
      <w:pPr>
        <w:pStyle w:val="Heading3Pink"/>
      </w:pPr>
      <w:r w:rsidRPr="00D13AF1">
        <w:t>Frameworks for telemedicine regulation</w:t>
      </w:r>
    </w:p>
    <w:p w14:paraId="4EE7BA7B" w14:textId="77777777" w:rsidR="001C00D0" w:rsidRPr="00D13AF1" w:rsidRDefault="001C00D0" w:rsidP="001C00D0">
      <w:pPr>
        <w:pStyle w:val="BodyEE"/>
      </w:pPr>
      <w:r w:rsidRPr="00D13AF1">
        <w:t>The GMA has formal regulations and/or policies regarding telemedicine.</w:t>
      </w:r>
    </w:p>
    <w:p w14:paraId="2AE9D355" w14:textId="77777777" w:rsidR="001C00D0" w:rsidRPr="00D13AF1" w:rsidRDefault="001C00D0" w:rsidP="001C00D0">
      <w:pPr>
        <w:pStyle w:val="BodyEE"/>
      </w:pPr>
      <w:r w:rsidRPr="00D13AF1">
        <w:t xml:space="preserve">It develops requirements in the following areas: </w:t>
      </w:r>
    </w:p>
    <w:p w14:paraId="675D24C4" w14:textId="77777777" w:rsidR="001C00D0" w:rsidRPr="00D13AF1" w:rsidRDefault="001C00D0" w:rsidP="001C00D0">
      <w:pPr>
        <w:pStyle w:val="Bulletlevel1"/>
      </w:pPr>
      <w:r w:rsidRPr="00D13AF1">
        <w:t>standards of work;</w:t>
      </w:r>
    </w:p>
    <w:p w14:paraId="7B585894" w14:textId="77777777" w:rsidR="001C00D0" w:rsidRPr="00D13AF1" w:rsidRDefault="001C00D0" w:rsidP="001C00D0">
      <w:pPr>
        <w:pStyle w:val="Bulletlevel1"/>
      </w:pPr>
      <w:r w:rsidRPr="00D13AF1">
        <w:t>discipline and/or fitness to practise.</w:t>
      </w:r>
    </w:p>
    <w:p w14:paraId="074B1CC1" w14:textId="66C97FE8" w:rsidR="001C00D0" w:rsidRPr="00D13AF1" w:rsidRDefault="001C00D0" w:rsidP="001C00D0">
      <w:pPr>
        <w:pStyle w:val="BodyEE"/>
      </w:pPr>
      <w:r w:rsidRPr="00D13AF1">
        <w:t xml:space="preserve">There is a regular interaction with the health ministry at the federal level and other health care </w:t>
      </w:r>
      <w:r w:rsidR="00712299">
        <w:t>r</w:t>
      </w:r>
      <w:r w:rsidR="00712299" w:rsidRPr="00D13AF1">
        <w:t xml:space="preserve">egulators </w:t>
      </w:r>
      <w:r w:rsidRPr="00D13AF1">
        <w:t xml:space="preserve">or health insurances. </w:t>
      </w:r>
    </w:p>
    <w:p w14:paraId="679ADCAC" w14:textId="77777777" w:rsidR="001C00D0" w:rsidRPr="00D13AF1" w:rsidRDefault="001C00D0" w:rsidP="001C00D0">
      <w:pPr>
        <w:pStyle w:val="Heading3Pink"/>
      </w:pPr>
      <w:r w:rsidRPr="00D13AF1">
        <w:t>Regulation of individual doctors who provide telemedicine services</w:t>
      </w:r>
    </w:p>
    <w:p w14:paraId="3B10940B" w14:textId="77777777" w:rsidR="001C00D0" w:rsidRPr="00D13AF1" w:rsidRDefault="001C00D0" w:rsidP="001C00D0">
      <w:pPr>
        <w:pStyle w:val="BodyEE"/>
      </w:pPr>
      <w:r w:rsidRPr="00D13AF1">
        <w:t xml:space="preserve">The professional code for </w:t>
      </w:r>
      <w:proofErr w:type="gramStart"/>
      <w:r w:rsidRPr="00D13AF1">
        <w:t>physicians</w:t>
      </w:r>
      <w:proofErr w:type="gramEnd"/>
      <w:r w:rsidRPr="00D13AF1">
        <w:t xml:space="preserve"> art 7 (3) states: "Physicians may not perform individual medical treatment, in particular medical counselling, exclusively via print and communications media. It must also be ensured that that physicians treat patients directly in the case of telemedicine procedures." Whereas this Provision does not exclude telemedicine it still seems fairly strict. Some regional state chambers have therefore started pilot projects enabling an easier use of telemedicine for physicians.</w:t>
      </w:r>
    </w:p>
    <w:p w14:paraId="362C550B" w14:textId="77777777" w:rsidR="0020091B" w:rsidRPr="00D13AF1" w:rsidRDefault="0020091B" w:rsidP="00524B0E">
      <w:pPr>
        <w:pStyle w:val="Heading1"/>
        <w:ind w:left="709" w:hanging="714"/>
        <w:rPr>
          <w:color w:val="C64187" w:themeColor="accent2"/>
        </w:rPr>
      </w:pPr>
      <w:bookmarkStart w:id="266" w:name="_Toc504484194"/>
      <w:r w:rsidRPr="00D13AF1">
        <w:rPr>
          <w:color w:val="C64187" w:themeColor="accent2"/>
        </w:rPr>
        <w:lastRenderedPageBreak/>
        <w:t>Indonesia</w:t>
      </w:r>
      <w:bookmarkEnd w:id="266"/>
    </w:p>
    <w:p w14:paraId="5DC74842" w14:textId="4FA42F8C" w:rsidR="0020091B" w:rsidRPr="00D13AF1" w:rsidRDefault="0020091B" w:rsidP="0020091B">
      <w:pPr>
        <w:pStyle w:val="Heading2Pink"/>
      </w:pPr>
      <w:bookmarkStart w:id="267" w:name="_Toc504484195"/>
      <w:bookmarkStart w:id="268" w:name="_Hlk495508916"/>
      <w:r w:rsidRPr="00D13AF1">
        <w:t>Indonesia Medical Council</w:t>
      </w:r>
      <w:r w:rsidR="009D706A" w:rsidRPr="00D13AF1">
        <w:rPr>
          <w:vertAlign w:val="superscript"/>
        </w:rPr>
        <w:footnoteReference w:id="155"/>
      </w:r>
      <w:bookmarkEnd w:id="267"/>
    </w:p>
    <w:bookmarkEnd w:id="268"/>
    <w:p w14:paraId="412BEDD5" w14:textId="71C62DB5" w:rsidR="0020091B" w:rsidRPr="00D13AF1" w:rsidRDefault="0020091B" w:rsidP="0020091B">
      <w:pPr>
        <w:pStyle w:val="BodyEE"/>
      </w:pPr>
      <w:r w:rsidRPr="00D13AF1">
        <w:t>The Indonesia Medical Council (IMC) is an independent state organization directly under the</w:t>
      </w:r>
      <w:r w:rsidR="007D472E" w:rsidRPr="00D13AF1">
        <w:t xml:space="preserve"> </w:t>
      </w:r>
      <w:proofErr w:type="spellStart"/>
      <w:r w:rsidR="007D472E" w:rsidRPr="00D13AF1">
        <w:t>jurisdiciton</w:t>
      </w:r>
      <w:proofErr w:type="spellEnd"/>
      <w:r w:rsidRPr="00D13AF1">
        <w:t xml:space="preserve"> President of Republic of Indonesia. The IMC regulates:</w:t>
      </w:r>
    </w:p>
    <w:p w14:paraId="4D4FE6C2" w14:textId="77777777" w:rsidR="0020091B" w:rsidRPr="00D13AF1" w:rsidRDefault="0020091B" w:rsidP="007D472E">
      <w:pPr>
        <w:pStyle w:val="Bulletlevel1"/>
      </w:pPr>
      <w:r w:rsidRPr="00D13AF1">
        <w:t>Register Medical and Dental Practitioners</w:t>
      </w:r>
    </w:p>
    <w:p w14:paraId="0D548D47" w14:textId="77777777" w:rsidR="0020091B" w:rsidRPr="00D13AF1" w:rsidRDefault="0020091B" w:rsidP="007D472E">
      <w:pPr>
        <w:pStyle w:val="Bulletlevel1"/>
      </w:pPr>
      <w:r w:rsidRPr="00D13AF1">
        <w:t>De-register Medical and Dental Practitioners through disciplinary proceedings</w:t>
      </w:r>
    </w:p>
    <w:p w14:paraId="7FBC8660" w14:textId="77777777" w:rsidR="0020091B" w:rsidRPr="00D13AF1" w:rsidRDefault="0020091B" w:rsidP="007D472E">
      <w:pPr>
        <w:pStyle w:val="Bulletlevel1"/>
      </w:pPr>
      <w:r w:rsidRPr="00D13AF1">
        <w:t>Examine and verify registration requirements submitted by the applicants</w:t>
      </w:r>
    </w:p>
    <w:p w14:paraId="7E7C09CE" w14:textId="77777777" w:rsidR="0020091B" w:rsidRPr="00D13AF1" w:rsidRDefault="0020091B" w:rsidP="007D472E">
      <w:pPr>
        <w:pStyle w:val="Bulletlevel1"/>
      </w:pPr>
      <w:r w:rsidRPr="00D13AF1">
        <w:t>Approve or disapprove Medical and Dental Educational Standard</w:t>
      </w:r>
    </w:p>
    <w:p w14:paraId="77912AA1" w14:textId="77777777" w:rsidR="0020091B" w:rsidRPr="00D13AF1" w:rsidRDefault="0020091B" w:rsidP="007D472E">
      <w:pPr>
        <w:pStyle w:val="Bulletlevel1"/>
      </w:pPr>
      <w:r w:rsidRPr="00D13AF1">
        <w:t>Approve or disapprove of Practice Standard for Medical and Dental practitioners.</w:t>
      </w:r>
    </w:p>
    <w:p w14:paraId="171D5A00" w14:textId="77777777" w:rsidR="0020091B" w:rsidRPr="00D13AF1" w:rsidRDefault="0020091B" w:rsidP="0020091B">
      <w:pPr>
        <w:pStyle w:val="Heading3Pink"/>
      </w:pPr>
      <w:r w:rsidRPr="00D13AF1">
        <w:t>Definition of telemedicine</w:t>
      </w:r>
    </w:p>
    <w:p w14:paraId="4CED9B66" w14:textId="6C639015" w:rsidR="0020091B" w:rsidRPr="00D13AF1" w:rsidRDefault="007D472E" w:rsidP="0020091B">
      <w:pPr>
        <w:pStyle w:val="BodyEE"/>
      </w:pPr>
      <w:r w:rsidRPr="00D13AF1">
        <w:t>Telemedicine is defined by the IMC as t</w:t>
      </w:r>
      <w:r w:rsidR="0020091B" w:rsidRPr="00D13AF1">
        <w:t>echnology based (phon</w:t>
      </w:r>
      <w:r w:rsidRPr="00D13AF1">
        <w:t>e/internet)</w:t>
      </w:r>
      <w:r w:rsidR="00E048FE" w:rsidRPr="00D13AF1">
        <w:t xml:space="preserve"> consultations, as well as m</w:t>
      </w:r>
      <w:r w:rsidR="0020091B" w:rsidRPr="00D13AF1">
        <w:rPr>
          <w:lang w:eastAsia="en-GB"/>
        </w:rPr>
        <w:t>edical practice which is done with consultation in long distance.</w:t>
      </w:r>
    </w:p>
    <w:p w14:paraId="526F836D" w14:textId="77777777" w:rsidR="0020091B" w:rsidRPr="00D13AF1" w:rsidRDefault="0020091B" w:rsidP="0020091B">
      <w:pPr>
        <w:pStyle w:val="Heading3Pink"/>
      </w:pPr>
      <w:r w:rsidRPr="00D13AF1">
        <w:t>Frameworks for telemedicine regulation</w:t>
      </w:r>
    </w:p>
    <w:p w14:paraId="1B11D19B" w14:textId="557621B3" w:rsidR="0020091B" w:rsidRPr="00D13AF1" w:rsidRDefault="00E048FE" w:rsidP="0020091B">
      <w:pPr>
        <w:pStyle w:val="BodyEE"/>
      </w:pPr>
      <w:r w:rsidRPr="00D13AF1">
        <w:t>The IMC has certain</w:t>
      </w:r>
      <w:r w:rsidR="0020091B" w:rsidRPr="00D13AF1">
        <w:t xml:space="preserve"> informal or "work-in-progress" regulations and/or policies, including non-binding recommendations</w:t>
      </w:r>
      <w:r w:rsidRPr="00D13AF1">
        <w:t xml:space="preserve"> on the topic of telemedicine.</w:t>
      </w:r>
    </w:p>
    <w:p w14:paraId="15A2D518" w14:textId="46A26BBF" w:rsidR="0020091B" w:rsidRPr="00D13AF1" w:rsidRDefault="00E048FE" w:rsidP="0020091B">
      <w:pPr>
        <w:pStyle w:val="BodyEE"/>
      </w:pPr>
      <w:r w:rsidRPr="00D13AF1">
        <w:t>The IMC places telemedicine regulation in the following category:</w:t>
      </w:r>
    </w:p>
    <w:p w14:paraId="7A4849FF" w14:textId="48347E94" w:rsidR="0020091B" w:rsidRPr="00D13AF1" w:rsidRDefault="0020091B" w:rsidP="0020091B">
      <w:pPr>
        <w:pStyle w:val="Bulletlevel1"/>
      </w:pPr>
      <w:r w:rsidRPr="00D13AF1">
        <w:t>Licensing and/or registration</w:t>
      </w:r>
      <w:r w:rsidR="00E048FE" w:rsidRPr="00D13AF1">
        <w:t>, as it</w:t>
      </w:r>
      <w:r w:rsidRPr="00D13AF1">
        <w:rPr>
          <w:lang w:eastAsia="en-GB"/>
        </w:rPr>
        <w:t xml:space="preserve"> requires</w:t>
      </w:r>
      <w:r w:rsidR="00E048FE" w:rsidRPr="00D13AF1">
        <w:rPr>
          <w:lang w:eastAsia="en-GB"/>
        </w:rPr>
        <w:t xml:space="preserve"> a particular regulation</w:t>
      </w:r>
      <w:r w:rsidRPr="00D13AF1">
        <w:rPr>
          <w:lang w:eastAsia="en-GB"/>
        </w:rPr>
        <w:t xml:space="preserve"> on the qualification and competency of the doctor who is </w:t>
      </w:r>
      <w:r w:rsidR="00E048FE" w:rsidRPr="00D13AF1">
        <w:rPr>
          <w:lang w:eastAsia="en-GB"/>
        </w:rPr>
        <w:t xml:space="preserve">practicing </w:t>
      </w:r>
      <w:r w:rsidRPr="00D13AF1">
        <w:rPr>
          <w:lang w:eastAsia="en-GB"/>
        </w:rPr>
        <w:t>telemedicine</w:t>
      </w:r>
      <w:r w:rsidR="00E048FE" w:rsidRPr="00D13AF1">
        <w:rPr>
          <w:lang w:eastAsia="en-GB"/>
        </w:rPr>
        <w:t>.</w:t>
      </w:r>
    </w:p>
    <w:p w14:paraId="424BBA1E" w14:textId="3F0911AD" w:rsidR="0020091B" w:rsidRPr="00D13AF1" w:rsidRDefault="00E048FE" w:rsidP="0020091B">
      <w:pPr>
        <w:pStyle w:val="BodyEE"/>
      </w:pPr>
      <w:r w:rsidRPr="00D13AF1">
        <w:t>The Council cooperates with the Ministry of Health, Professional Medical S</w:t>
      </w:r>
      <w:r w:rsidR="0020091B" w:rsidRPr="00D13AF1">
        <w:t>ociety,</w:t>
      </w:r>
      <w:r w:rsidRPr="00D13AF1">
        <w:t xml:space="preserve"> as well as the</w:t>
      </w:r>
      <w:r w:rsidR="0020091B" w:rsidRPr="00D13AF1">
        <w:t xml:space="preserve"> Ministry of Communication and Informatics</w:t>
      </w:r>
      <w:r w:rsidRPr="00D13AF1">
        <w:t xml:space="preserve"> in the area of telemedicine</w:t>
      </w:r>
      <w:r w:rsidR="0020091B" w:rsidRPr="00D13AF1">
        <w:t>.</w:t>
      </w:r>
    </w:p>
    <w:p w14:paraId="6E2FDBC0" w14:textId="77777777" w:rsidR="0020091B" w:rsidRPr="00D13AF1" w:rsidRDefault="0020091B" w:rsidP="0020091B">
      <w:pPr>
        <w:pStyle w:val="Heading3Pink"/>
      </w:pPr>
      <w:r w:rsidRPr="00D13AF1">
        <w:t>Regulation of individual doctors who provide telemedicine services</w:t>
      </w:r>
    </w:p>
    <w:p w14:paraId="3D0E4033" w14:textId="77777777" w:rsidR="0020091B" w:rsidRPr="00D13AF1" w:rsidRDefault="0020091B" w:rsidP="0020091B">
      <w:pPr>
        <w:pStyle w:val="BodyEE"/>
      </w:pPr>
      <w:r w:rsidRPr="00D13AF1">
        <w:t>[no regulation in place]</w:t>
      </w:r>
    </w:p>
    <w:p w14:paraId="66C1AA49" w14:textId="77777777" w:rsidR="0020091B" w:rsidRPr="00D13AF1" w:rsidRDefault="0020091B" w:rsidP="0020091B">
      <w:pPr>
        <w:pStyle w:val="Heading3Pink"/>
      </w:pPr>
      <w:r w:rsidRPr="00D13AF1">
        <w:t>Cross-jurisdiction issues in telemedicine</w:t>
      </w:r>
    </w:p>
    <w:p w14:paraId="2EAE907B" w14:textId="77777777" w:rsidR="0020091B" w:rsidRPr="00D13AF1" w:rsidRDefault="0020091B" w:rsidP="0020091B">
      <w:pPr>
        <w:pStyle w:val="BodyEE"/>
      </w:pPr>
      <w:bookmarkStart w:id="269" w:name="_Hlk495508919"/>
      <w:r w:rsidRPr="00D13AF1">
        <w:t>[not mentioned in the survey]</w:t>
      </w:r>
    </w:p>
    <w:p w14:paraId="4BF9044E" w14:textId="77777777" w:rsidR="0020091B" w:rsidRPr="00D13AF1" w:rsidRDefault="0020091B" w:rsidP="00524B0E">
      <w:pPr>
        <w:pStyle w:val="Heading1"/>
        <w:ind w:left="709" w:hanging="714"/>
        <w:rPr>
          <w:color w:val="C64187" w:themeColor="accent2"/>
        </w:rPr>
      </w:pPr>
      <w:bookmarkStart w:id="270" w:name="_Toc504484196"/>
      <w:bookmarkEnd w:id="269"/>
      <w:r w:rsidRPr="00D13AF1">
        <w:rPr>
          <w:color w:val="C64187" w:themeColor="accent2"/>
        </w:rPr>
        <w:lastRenderedPageBreak/>
        <w:t>Ireland</w:t>
      </w:r>
      <w:bookmarkEnd w:id="270"/>
    </w:p>
    <w:p w14:paraId="2B26FCE7" w14:textId="2B15AD32" w:rsidR="0020091B" w:rsidRPr="00D13AF1" w:rsidRDefault="0020091B" w:rsidP="0020091B">
      <w:pPr>
        <w:pStyle w:val="Heading2Pink"/>
      </w:pPr>
      <w:bookmarkStart w:id="271" w:name="_Toc504484197"/>
      <w:bookmarkStart w:id="272" w:name="_Hlk495508925"/>
      <w:r w:rsidRPr="00D13AF1">
        <w:t>Medical Council of Ireland</w:t>
      </w:r>
      <w:r w:rsidR="009D706A" w:rsidRPr="00D13AF1">
        <w:rPr>
          <w:vertAlign w:val="superscript"/>
        </w:rPr>
        <w:footnoteReference w:id="156"/>
      </w:r>
      <w:bookmarkEnd w:id="271"/>
    </w:p>
    <w:bookmarkEnd w:id="272"/>
    <w:p w14:paraId="11C0F839" w14:textId="5B3CDE7E" w:rsidR="0020091B" w:rsidRPr="00D13AF1" w:rsidRDefault="0020091B" w:rsidP="0020091B">
      <w:pPr>
        <w:pStyle w:val="BodyEE"/>
      </w:pPr>
      <w:r w:rsidRPr="00D13AF1">
        <w:t xml:space="preserve">The Medical Council regulates medical practitioners (doctors) in Ireland.  All doctors must be registered with </w:t>
      </w:r>
      <w:r w:rsidR="00712299">
        <w:t>them</w:t>
      </w:r>
      <w:r w:rsidRPr="00D13AF1">
        <w:t xml:space="preserve">. We regulate by setting standards for medical education and training at all levels, professional competence schemes, ethics and professionalism standards, maintaining a register of medical practitioners, and managing complaints about doctors. </w:t>
      </w:r>
    </w:p>
    <w:p w14:paraId="32FF4F11" w14:textId="2D18DA64" w:rsidR="0020091B" w:rsidRPr="00D13AF1" w:rsidRDefault="0020091B" w:rsidP="0020091B">
      <w:pPr>
        <w:pStyle w:val="Heading3Pink"/>
      </w:pPr>
      <w:r w:rsidRPr="00D13AF1">
        <w:t>Definition of telemedicine</w:t>
      </w:r>
      <w:r w:rsidR="00E048FE" w:rsidRPr="00D13AF1">
        <w:rPr>
          <w:rStyle w:val="FootnoteReference"/>
        </w:rPr>
        <w:footnoteReference w:id="157"/>
      </w:r>
    </w:p>
    <w:p w14:paraId="4E26A804" w14:textId="77777777" w:rsidR="0020091B" w:rsidRPr="00D13AF1" w:rsidRDefault="0020091B" w:rsidP="0020091B">
      <w:pPr>
        <w:pStyle w:val="BodyEE"/>
        <w:rPr>
          <w:rFonts w:asciiTheme="majorHAnsi" w:hAnsiTheme="majorHAnsi"/>
          <w:color w:val="C64187" w:themeColor="accent2"/>
          <w:sz w:val="28"/>
          <w:szCs w:val="24"/>
        </w:rPr>
      </w:pPr>
      <w:r w:rsidRPr="00D13AF1">
        <w:t>Telemedicine describes the delivery of health care services through information and communication technologies to promote the health of individuals and their communities.  It involves the exchange of information between doctors and patients, or between doctors and professional colleagues, for the diagnosis, treatment and prevention of disease and injuries, and for research, evaluation and continuing education.</w:t>
      </w:r>
    </w:p>
    <w:p w14:paraId="3C086E68" w14:textId="77777777" w:rsidR="0020091B" w:rsidRPr="00D13AF1" w:rsidRDefault="0020091B" w:rsidP="0020091B">
      <w:pPr>
        <w:pStyle w:val="Heading3Pink"/>
      </w:pPr>
      <w:r w:rsidRPr="00D13AF1">
        <w:t>Frameworks for telemedicine regulation</w:t>
      </w:r>
    </w:p>
    <w:p w14:paraId="18299492" w14:textId="1F684787" w:rsidR="0020091B" w:rsidRPr="00D13AF1" w:rsidRDefault="008E34B4" w:rsidP="0020091B">
      <w:pPr>
        <w:pStyle w:val="BodyEE"/>
      </w:pPr>
      <w:r w:rsidRPr="00D13AF1">
        <w:t xml:space="preserve">The Council has adopted rules and regulations on the topic of telemedicine, which deal with the following categories: </w:t>
      </w:r>
    </w:p>
    <w:p w14:paraId="0E355931" w14:textId="43C3E250" w:rsidR="0020091B" w:rsidRPr="00D13AF1" w:rsidRDefault="009D706A" w:rsidP="0020091B">
      <w:pPr>
        <w:pStyle w:val="Bulletlevel1"/>
      </w:pPr>
      <w:r w:rsidRPr="00D13AF1">
        <w:t>l</w:t>
      </w:r>
      <w:r w:rsidR="0020091B" w:rsidRPr="00D13AF1">
        <w:t>icensing and/or registration</w:t>
      </w:r>
      <w:r w:rsidRPr="00D13AF1">
        <w:t>;</w:t>
      </w:r>
    </w:p>
    <w:p w14:paraId="2FAB7076" w14:textId="10D6BFAA" w:rsidR="0020091B" w:rsidRPr="00D13AF1" w:rsidRDefault="009D706A" w:rsidP="0020091B">
      <w:pPr>
        <w:pStyle w:val="Bulletlevel1"/>
      </w:pPr>
      <w:r w:rsidRPr="00D13AF1">
        <w:t>q</w:t>
      </w:r>
      <w:r w:rsidR="0020091B" w:rsidRPr="00D13AF1">
        <w:t>ualifications and training, including continuing professional development</w:t>
      </w:r>
      <w:r w:rsidRPr="00D13AF1">
        <w:t>;</w:t>
      </w:r>
    </w:p>
    <w:p w14:paraId="5F063987" w14:textId="6ADEB5D3" w:rsidR="0020091B" w:rsidRPr="00D13AF1" w:rsidRDefault="009D706A" w:rsidP="0020091B">
      <w:pPr>
        <w:pStyle w:val="Bulletlevel1"/>
      </w:pPr>
      <w:r w:rsidRPr="00D13AF1">
        <w:t>s</w:t>
      </w:r>
      <w:r w:rsidR="0020091B" w:rsidRPr="00D13AF1">
        <w:t>tandards of work</w:t>
      </w:r>
      <w:r w:rsidRPr="00D13AF1">
        <w:t>;</w:t>
      </w:r>
    </w:p>
    <w:p w14:paraId="0CD9E802" w14:textId="75DECE23" w:rsidR="0020091B" w:rsidRPr="00D13AF1" w:rsidRDefault="009D706A" w:rsidP="0020091B">
      <w:pPr>
        <w:pStyle w:val="Bulletlevel1"/>
      </w:pPr>
      <w:r w:rsidRPr="00D13AF1">
        <w:t>d</w:t>
      </w:r>
      <w:r w:rsidR="0020091B" w:rsidRPr="00D13AF1">
        <w:t>iscipline and/or fitness to practise</w:t>
      </w:r>
      <w:r w:rsidRPr="00D13AF1">
        <w:t>.</w:t>
      </w:r>
    </w:p>
    <w:p w14:paraId="1EA640C9" w14:textId="571F49CC" w:rsidR="0020091B" w:rsidRPr="00D13AF1" w:rsidRDefault="0020091B" w:rsidP="0020091B">
      <w:pPr>
        <w:pStyle w:val="Heading3Pink"/>
      </w:pPr>
      <w:r w:rsidRPr="00D13AF1">
        <w:t>Regulation of individual doctors who provide telemedicine services</w:t>
      </w:r>
      <w:r w:rsidR="008E34B4" w:rsidRPr="00D13AF1">
        <w:rPr>
          <w:rStyle w:val="FootnoteReference"/>
        </w:rPr>
        <w:footnoteReference w:id="158"/>
      </w:r>
    </w:p>
    <w:p w14:paraId="4930613D" w14:textId="3F79F20D" w:rsidR="00AD2633" w:rsidRPr="002659CD" w:rsidRDefault="00AD2633" w:rsidP="002659CD">
      <w:pPr>
        <w:pStyle w:val="BodyEE"/>
      </w:pPr>
      <w:r w:rsidRPr="002659CD">
        <w:t xml:space="preserve">The Medical Council of Ireland’s general guidance to doctors providing telemedicine services consists of the following points: </w:t>
      </w:r>
    </w:p>
    <w:p w14:paraId="7D74A35C" w14:textId="64834FCC" w:rsidR="0020091B" w:rsidRPr="00D13AF1" w:rsidRDefault="0020091B" w:rsidP="008E34B4">
      <w:pPr>
        <w:pStyle w:val="Bulletlevel1"/>
      </w:pPr>
      <w:r w:rsidRPr="00D13AF1">
        <w:t>If you provide telemedicine services to patients within the State, you should be registered with the Medical Council. This is to maintain public confidence in telemedicine.</w:t>
      </w:r>
    </w:p>
    <w:p w14:paraId="7EABF12F" w14:textId="675438D0" w:rsidR="0020091B" w:rsidRPr="00D13AF1" w:rsidRDefault="0020091B" w:rsidP="008E34B4">
      <w:pPr>
        <w:pStyle w:val="Bulletlevel1"/>
      </w:pPr>
      <w:r w:rsidRPr="00D13AF1">
        <w:t>You must follow the standards of good practice set out in this guide, whether you provide services using telemedicine or traditional means. In particular, you should:</w:t>
      </w:r>
    </w:p>
    <w:p w14:paraId="2550A684" w14:textId="2F0C3A54" w:rsidR="0020091B" w:rsidRPr="00D13AF1" w:rsidRDefault="0020091B" w:rsidP="008E34B4">
      <w:pPr>
        <w:pStyle w:val="Bulletlevel2"/>
      </w:pPr>
      <w:r w:rsidRPr="00D13AF1">
        <w:t>make sure that patients have given their consent to conduct the consultation through telemedicine and consent to any treatment provided. See paragraphs 9 to 13;</w:t>
      </w:r>
    </w:p>
    <w:p w14:paraId="7AC6FEB7" w14:textId="327F2779" w:rsidR="0020091B" w:rsidRPr="00D13AF1" w:rsidRDefault="0020091B" w:rsidP="0020091B">
      <w:pPr>
        <w:pStyle w:val="Bulletlevel2"/>
      </w:pPr>
      <w:r w:rsidRPr="00D13AF1">
        <w:t xml:space="preserve">follow paragraph 44 of this guide if you advertise on websites or similar media; protect the privacy of patient information through effective security measures; protect patients’ privacy by following the </w:t>
      </w:r>
      <w:r w:rsidRPr="00D13AF1">
        <w:lastRenderedPageBreak/>
        <w:t>guidance on confidentiality and medical records set out in paragraphs 29 and 33, and expla</w:t>
      </w:r>
      <w:r w:rsidR="008E34B4" w:rsidRPr="00D13AF1">
        <w:t xml:space="preserve">in your information policies to </w:t>
      </w:r>
      <w:r w:rsidRPr="00D13AF1">
        <w:t>users;</w:t>
      </w:r>
    </w:p>
    <w:p w14:paraId="3F269D67" w14:textId="3F454515" w:rsidR="0020091B" w:rsidRPr="00D13AF1" w:rsidRDefault="0020091B" w:rsidP="008E34B4">
      <w:pPr>
        <w:pStyle w:val="Bulletlevel2"/>
      </w:pPr>
      <w:r w:rsidRPr="00D13AF1">
        <w:t>comply with data protection principles if you transfer any personal patient informa</w:t>
      </w:r>
      <w:r w:rsidR="008E34B4" w:rsidRPr="00D13AF1">
        <w:t>tion to other jurisdictions</w:t>
      </w:r>
      <w:r w:rsidRPr="00D13AF1">
        <w:t>; and</w:t>
      </w:r>
    </w:p>
    <w:p w14:paraId="47715A0D" w14:textId="5D9B8F0A" w:rsidR="0020091B" w:rsidRPr="00D13AF1" w:rsidRDefault="0020091B" w:rsidP="008E34B4">
      <w:pPr>
        <w:pStyle w:val="Bulletlevel2"/>
      </w:pPr>
      <w:r w:rsidRPr="00D13AF1">
        <w:t>inform the patient’s general pr</w:t>
      </w:r>
      <w:r w:rsidR="008E34B4" w:rsidRPr="00D13AF1">
        <w:t>actitioner of the consultation</w:t>
      </w:r>
      <w:r w:rsidRPr="00D13AF1">
        <w:t>.</w:t>
      </w:r>
    </w:p>
    <w:p w14:paraId="62987232" w14:textId="31EE6847" w:rsidR="0020091B" w:rsidRPr="00D13AF1" w:rsidRDefault="0020091B" w:rsidP="008E34B4">
      <w:pPr>
        <w:pStyle w:val="Bulletlevel1"/>
      </w:pPr>
      <w:r w:rsidRPr="00D13AF1">
        <w:t xml:space="preserve">You must satisfy yourself that the services you provide through telemedicine are safe and suitable for patients. You should explain to patients that there are aspects of telemedicine that are different to traditional medical practice – for example, a consultation through telemedicine does not involve a physical examination and any additional risks that may arise as a result. </w:t>
      </w:r>
    </w:p>
    <w:p w14:paraId="0D61E154" w14:textId="77777777" w:rsidR="0020091B" w:rsidRPr="00D13AF1" w:rsidRDefault="0020091B" w:rsidP="0020091B">
      <w:pPr>
        <w:pStyle w:val="Heading3Pink"/>
      </w:pPr>
      <w:r w:rsidRPr="00D13AF1">
        <w:t>Cross-jurisdiction issues in telemedicine</w:t>
      </w:r>
    </w:p>
    <w:p w14:paraId="7F0DFBF9" w14:textId="5A998587" w:rsidR="0020091B" w:rsidRPr="00D13AF1" w:rsidRDefault="0020091B" w:rsidP="0020091B">
      <w:pPr>
        <w:pStyle w:val="BodyEE"/>
      </w:pPr>
      <w:bookmarkStart w:id="273" w:name="_Hlk495508931"/>
      <w:r w:rsidRPr="00D13AF1">
        <w:t>If you provide telemedicine services to patients within the State, you should be registered with the Medical Council. This is to maintain public confidence in telemedicine.</w:t>
      </w:r>
    </w:p>
    <w:p w14:paraId="38EB00FC" w14:textId="77777777" w:rsidR="0020091B" w:rsidRPr="00D13AF1" w:rsidRDefault="0020091B" w:rsidP="00524B0E">
      <w:pPr>
        <w:pStyle w:val="Heading1"/>
        <w:ind w:left="709" w:hanging="714"/>
        <w:rPr>
          <w:color w:val="C64187" w:themeColor="accent2"/>
        </w:rPr>
      </w:pPr>
      <w:bookmarkStart w:id="274" w:name="_Toc504484198"/>
      <w:bookmarkEnd w:id="273"/>
      <w:r w:rsidRPr="00D13AF1">
        <w:rPr>
          <w:color w:val="C64187" w:themeColor="accent2"/>
        </w:rPr>
        <w:lastRenderedPageBreak/>
        <w:t>Kenya</w:t>
      </w:r>
      <w:bookmarkEnd w:id="274"/>
    </w:p>
    <w:p w14:paraId="2A918629" w14:textId="0EFE842A" w:rsidR="0020091B" w:rsidRPr="00D13AF1" w:rsidRDefault="0020091B" w:rsidP="0020091B">
      <w:pPr>
        <w:pStyle w:val="Heading2Pink"/>
      </w:pPr>
      <w:bookmarkStart w:id="275" w:name="_Toc504484199"/>
      <w:bookmarkStart w:id="276" w:name="_Hlk495508938"/>
      <w:r w:rsidRPr="00D13AF1">
        <w:t>Kenya Medical Practitioners and Dentists' Board</w:t>
      </w:r>
      <w:r w:rsidR="009D706A" w:rsidRPr="00D13AF1">
        <w:rPr>
          <w:vertAlign w:val="superscript"/>
        </w:rPr>
        <w:footnoteReference w:id="159"/>
      </w:r>
      <w:bookmarkEnd w:id="275"/>
    </w:p>
    <w:bookmarkEnd w:id="276"/>
    <w:p w14:paraId="2BD498BB" w14:textId="1975040C" w:rsidR="0020091B" w:rsidRPr="00D13AF1" w:rsidRDefault="00CF72EA" w:rsidP="0020091B">
      <w:pPr>
        <w:pStyle w:val="BodyEE"/>
      </w:pPr>
      <w:r w:rsidRPr="00D13AF1">
        <w:t>The Board regulates m</w:t>
      </w:r>
      <w:r w:rsidR="0020091B" w:rsidRPr="00D13AF1">
        <w:t>edical doctors and Dentists</w:t>
      </w:r>
      <w:r w:rsidRPr="00D13AF1">
        <w:t>, as well as</w:t>
      </w:r>
      <w:r w:rsidR="0020091B" w:rsidRPr="00D13AF1">
        <w:t xml:space="preserve"> </w:t>
      </w:r>
      <w:r w:rsidRPr="00D13AF1">
        <w:t>health i</w:t>
      </w:r>
      <w:r w:rsidR="0020091B" w:rsidRPr="00D13AF1">
        <w:t xml:space="preserve">nstitutions. </w:t>
      </w:r>
    </w:p>
    <w:p w14:paraId="15F3FC80" w14:textId="77777777" w:rsidR="0020091B" w:rsidRPr="00D13AF1" w:rsidRDefault="0020091B" w:rsidP="0020091B">
      <w:pPr>
        <w:pStyle w:val="Heading3Pink"/>
      </w:pPr>
      <w:r w:rsidRPr="00D13AF1">
        <w:t>Definition of telemedicine</w:t>
      </w:r>
    </w:p>
    <w:p w14:paraId="4C2A87AD" w14:textId="0FCD28A2" w:rsidR="0020091B" w:rsidRPr="00D13AF1" w:rsidRDefault="00CF72EA" w:rsidP="0020091B">
      <w:pPr>
        <w:pStyle w:val="BodyEE"/>
      </w:pPr>
      <w:r w:rsidRPr="00D13AF1">
        <w:t xml:space="preserve">Telemedicine is </w:t>
      </w:r>
      <w:r w:rsidR="007615DF" w:rsidRPr="00D13AF1">
        <w:t>define</w:t>
      </w:r>
      <w:r w:rsidR="007615DF">
        <w:t>d</w:t>
      </w:r>
      <w:r w:rsidR="007615DF" w:rsidRPr="00D13AF1">
        <w:t xml:space="preserve"> </w:t>
      </w:r>
      <w:r w:rsidRPr="00D13AF1">
        <w:t>as the use of m</w:t>
      </w:r>
      <w:r w:rsidR="0020091B" w:rsidRPr="00D13AF1">
        <w:t xml:space="preserve">obile or IT technology in </w:t>
      </w:r>
      <w:r w:rsidRPr="00D13AF1">
        <w:t>m</w:t>
      </w:r>
      <w:r w:rsidR="0020091B" w:rsidRPr="00D13AF1">
        <w:t>edical practice.</w:t>
      </w:r>
    </w:p>
    <w:p w14:paraId="16A3D523" w14:textId="77777777" w:rsidR="0020091B" w:rsidRPr="00D13AF1" w:rsidRDefault="0020091B" w:rsidP="0020091B">
      <w:pPr>
        <w:pStyle w:val="Heading3Pink"/>
      </w:pPr>
      <w:r w:rsidRPr="00D13AF1">
        <w:t>Frameworks for telemedicine regulation</w:t>
      </w:r>
    </w:p>
    <w:p w14:paraId="413A2708" w14:textId="037CAA93" w:rsidR="0020091B" w:rsidRPr="00D13AF1" w:rsidRDefault="00CF72EA" w:rsidP="0020091B">
      <w:pPr>
        <w:pStyle w:val="BodyEE"/>
      </w:pPr>
      <w:r w:rsidRPr="00D13AF1">
        <w:t xml:space="preserve">The Board does not currently have any rules or regulations on telemedicine, however Kenya’s E-health </w:t>
      </w:r>
      <w:proofErr w:type="gramStart"/>
      <w:r w:rsidRPr="00D13AF1">
        <w:t xml:space="preserve">Policy  </w:t>
      </w:r>
      <w:r w:rsidR="0020091B" w:rsidRPr="00D13AF1">
        <w:t>is</w:t>
      </w:r>
      <w:proofErr w:type="gramEnd"/>
      <w:r w:rsidR="0020091B" w:rsidRPr="00D13AF1">
        <w:t xml:space="preserve"> being developed</w:t>
      </w:r>
      <w:r w:rsidRPr="00D13AF1">
        <w:t>, which may include the practice of telemedicine</w:t>
      </w:r>
      <w:r w:rsidR="0020091B" w:rsidRPr="00D13AF1">
        <w:t>.</w:t>
      </w:r>
    </w:p>
    <w:p w14:paraId="6EF83D5D" w14:textId="216983C4" w:rsidR="0020091B" w:rsidRPr="00D13AF1" w:rsidRDefault="004D7A2C" w:rsidP="0020091B">
      <w:pPr>
        <w:pStyle w:val="BodyEE"/>
      </w:pPr>
      <w:r w:rsidRPr="00D13AF1">
        <w:t>Concerns regarding telemedicine would fall into the following categories:</w:t>
      </w:r>
    </w:p>
    <w:p w14:paraId="4457025C" w14:textId="554681F8" w:rsidR="0020091B" w:rsidRPr="00D13AF1" w:rsidRDefault="009D706A" w:rsidP="0020091B">
      <w:pPr>
        <w:pStyle w:val="Bulletlevel1"/>
      </w:pPr>
      <w:r w:rsidRPr="00D13AF1">
        <w:t>l</w:t>
      </w:r>
      <w:r w:rsidR="0020091B" w:rsidRPr="00D13AF1">
        <w:t>icensing and/or registration</w:t>
      </w:r>
      <w:r w:rsidRPr="00D13AF1">
        <w:t>;</w:t>
      </w:r>
    </w:p>
    <w:p w14:paraId="59025AB6" w14:textId="45E09F27" w:rsidR="0020091B" w:rsidRPr="00D13AF1" w:rsidRDefault="009D706A" w:rsidP="0020091B">
      <w:pPr>
        <w:pStyle w:val="Bulletlevel1"/>
      </w:pPr>
      <w:r w:rsidRPr="00D13AF1">
        <w:t>s</w:t>
      </w:r>
      <w:r w:rsidR="0020091B" w:rsidRPr="00D13AF1">
        <w:t>tandards of work</w:t>
      </w:r>
      <w:r w:rsidRPr="00D13AF1">
        <w:t>.</w:t>
      </w:r>
    </w:p>
    <w:p w14:paraId="4A5EE969" w14:textId="424B5ADF" w:rsidR="0020091B" w:rsidRPr="00D13AF1" w:rsidRDefault="004D7A2C" w:rsidP="0020091B">
      <w:pPr>
        <w:pStyle w:val="BodyEE"/>
      </w:pPr>
      <w:r w:rsidRPr="00D13AF1">
        <w:t>The Board cooperates</w:t>
      </w:r>
      <w:r w:rsidR="0020091B" w:rsidRPr="00D13AF1">
        <w:t xml:space="preserve"> with</w:t>
      </w:r>
      <w:r w:rsidRPr="00D13AF1">
        <w:t xml:space="preserve"> the</w:t>
      </w:r>
      <w:r w:rsidR="0020091B" w:rsidRPr="00D13AF1">
        <w:t xml:space="preserve"> Nursing Council of Kenya Clinical Officers, Council Pharmacy board of Kenya. Joint regulation of HCPs and Health products prescribed through the system.</w:t>
      </w:r>
    </w:p>
    <w:p w14:paraId="362D2D33" w14:textId="77777777" w:rsidR="0020091B" w:rsidRPr="00D13AF1" w:rsidRDefault="0020091B" w:rsidP="0020091B">
      <w:pPr>
        <w:pStyle w:val="Heading3Pink"/>
      </w:pPr>
      <w:r w:rsidRPr="00D13AF1">
        <w:t>Regulation of individual doctors who provide telemedicine services</w:t>
      </w:r>
    </w:p>
    <w:p w14:paraId="7E2BBF03" w14:textId="29C84B72" w:rsidR="0020091B" w:rsidRPr="00D13AF1" w:rsidRDefault="0020091B" w:rsidP="0020091B">
      <w:pPr>
        <w:pStyle w:val="BodyEE"/>
      </w:pPr>
      <w:r w:rsidRPr="00D13AF1">
        <w:t xml:space="preserve">All HCPs have to be licensed locally by the </w:t>
      </w:r>
      <w:r w:rsidR="005267BF" w:rsidRPr="00D13AF1">
        <w:t>regulatory body and</w:t>
      </w:r>
      <w:r w:rsidRPr="00D13AF1">
        <w:t xml:space="preserve"> </w:t>
      </w:r>
      <w:r w:rsidR="005267BF" w:rsidRPr="00D13AF1">
        <w:t>a</w:t>
      </w:r>
      <w:r w:rsidRPr="00D13AF1">
        <w:t>ll data for patients</w:t>
      </w:r>
      <w:r w:rsidR="007615DF">
        <w:t xml:space="preserve"> has</w:t>
      </w:r>
      <w:r w:rsidRPr="00D13AF1">
        <w:t xml:space="preserve"> to be stored securely.</w:t>
      </w:r>
    </w:p>
    <w:p w14:paraId="6F4BCCD9" w14:textId="77777777" w:rsidR="0020091B" w:rsidRPr="00D13AF1" w:rsidRDefault="0020091B" w:rsidP="0020091B">
      <w:pPr>
        <w:pStyle w:val="Heading3Pink"/>
      </w:pPr>
      <w:r w:rsidRPr="00D13AF1">
        <w:t>Cross-jurisdiction issues in telemedicine</w:t>
      </w:r>
    </w:p>
    <w:p w14:paraId="49FE9D4A" w14:textId="77777777" w:rsidR="0020091B" w:rsidRPr="00D13AF1" w:rsidRDefault="0020091B" w:rsidP="0020091B">
      <w:pPr>
        <w:pStyle w:val="BodyEE"/>
      </w:pPr>
      <w:bookmarkStart w:id="277" w:name="_Hlk495508941"/>
      <w:r w:rsidRPr="00D13AF1">
        <w:t>[not mentioned in the survey]</w:t>
      </w:r>
    </w:p>
    <w:p w14:paraId="47E4EE7C" w14:textId="77777777" w:rsidR="0020091B" w:rsidRPr="00D13AF1" w:rsidRDefault="0020091B" w:rsidP="00524B0E">
      <w:pPr>
        <w:pStyle w:val="Heading1"/>
        <w:ind w:left="709" w:hanging="714"/>
        <w:rPr>
          <w:color w:val="C64187" w:themeColor="accent2"/>
        </w:rPr>
      </w:pPr>
      <w:bookmarkStart w:id="278" w:name="_Toc504484200"/>
      <w:bookmarkEnd w:id="277"/>
      <w:r w:rsidRPr="00D13AF1">
        <w:rPr>
          <w:color w:val="C64187" w:themeColor="accent2"/>
        </w:rPr>
        <w:lastRenderedPageBreak/>
        <w:t>Poland</w:t>
      </w:r>
      <w:bookmarkEnd w:id="278"/>
    </w:p>
    <w:p w14:paraId="349DD347" w14:textId="6B7B16D5" w:rsidR="0020091B" w:rsidRPr="00D13AF1" w:rsidRDefault="0020091B" w:rsidP="0020091B">
      <w:pPr>
        <w:pStyle w:val="Heading2Pink"/>
      </w:pPr>
      <w:bookmarkStart w:id="279" w:name="_Toc504484201"/>
      <w:bookmarkStart w:id="280" w:name="_Hlk495508953"/>
      <w:r w:rsidRPr="00D13AF1">
        <w:t>Polish Supreme Chamber of Physicians and Dentists (</w:t>
      </w:r>
      <w:proofErr w:type="spellStart"/>
      <w:r w:rsidRPr="00D13AF1">
        <w:t>Naczelna</w:t>
      </w:r>
      <w:proofErr w:type="spellEnd"/>
      <w:r w:rsidRPr="00D13AF1">
        <w:t xml:space="preserve"> Izba </w:t>
      </w:r>
      <w:proofErr w:type="spellStart"/>
      <w:r w:rsidRPr="00D13AF1">
        <w:t>Lekarska</w:t>
      </w:r>
      <w:proofErr w:type="spellEnd"/>
      <w:r w:rsidRPr="00D13AF1">
        <w:t>)</w:t>
      </w:r>
      <w:r w:rsidR="009D706A" w:rsidRPr="00D13AF1">
        <w:rPr>
          <w:rFonts w:asciiTheme="minorHAnsi" w:eastAsiaTheme="minorHAnsi" w:hAnsiTheme="minorHAnsi"/>
          <w:color w:val="38383A" w:themeColor="text2"/>
          <w:sz w:val="22"/>
          <w:szCs w:val="18"/>
          <w:vertAlign w:val="superscript"/>
        </w:rPr>
        <w:t xml:space="preserve"> </w:t>
      </w:r>
      <w:r w:rsidR="009D706A" w:rsidRPr="00D13AF1">
        <w:rPr>
          <w:vertAlign w:val="superscript"/>
        </w:rPr>
        <w:footnoteReference w:id="160"/>
      </w:r>
      <w:bookmarkEnd w:id="279"/>
    </w:p>
    <w:bookmarkEnd w:id="280"/>
    <w:p w14:paraId="25BF2888" w14:textId="790A4073" w:rsidR="0020091B" w:rsidRPr="00D13AF1" w:rsidRDefault="0020091B" w:rsidP="0020091B">
      <w:pPr>
        <w:pStyle w:val="BodyEE"/>
      </w:pPr>
      <w:r w:rsidRPr="00D13AF1">
        <w:t>Together with</w:t>
      </w:r>
      <w:r w:rsidR="00370371" w:rsidRPr="00D13AF1">
        <w:t xml:space="preserve"> the</w:t>
      </w:r>
      <w:r w:rsidRPr="00D13AF1">
        <w:t xml:space="preserve"> 24 regional chambers of physicians and dentists, the Polish Supreme Chamber of Physicians and Dentists forms</w:t>
      </w:r>
      <w:r w:rsidR="00370371" w:rsidRPr="00D13AF1">
        <w:t xml:space="preserve"> a</w:t>
      </w:r>
      <w:r w:rsidRPr="00D13AF1">
        <w:t xml:space="preserve"> professional self-government </w:t>
      </w:r>
      <w:r w:rsidR="00370371" w:rsidRPr="00D13AF1">
        <w:t>which oversees</w:t>
      </w:r>
      <w:r w:rsidRPr="00D13AF1">
        <w:t xml:space="preserve"> all medical doctors and all dental practitioners </w:t>
      </w:r>
      <w:r w:rsidR="00370371" w:rsidRPr="00D13AF1">
        <w:t>who can</w:t>
      </w:r>
      <w:r w:rsidRPr="00D13AF1">
        <w:t xml:space="preserve"> practice the profession in Poland.</w:t>
      </w:r>
    </w:p>
    <w:p w14:paraId="3182A5CD" w14:textId="3C864DCB" w:rsidR="0020091B" w:rsidRPr="00D13AF1" w:rsidRDefault="0020091B" w:rsidP="0020091B">
      <w:pPr>
        <w:pStyle w:val="BodyEE"/>
      </w:pPr>
      <w:r w:rsidRPr="00D13AF1">
        <w:t>The tasks and competencies of the chambers of physicians and dentists in Poland include supervision over the exercise of the two professions (regulatory authorities)</w:t>
      </w:r>
      <w:r w:rsidR="00370371" w:rsidRPr="00D13AF1">
        <w:t xml:space="preserve">, and </w:t>
      </w:r>
      <w:r w:rsidRPr="00D13AF1">
        <w:t>awarding the right to practice, setting principles of professional ethics, carrying out disciplinary / fitness to practice pr</w:t>
      </w:r>
      <w:r w:rsidR="00370371" w:rsidRPr="00D13AF1">
        <w:t>oceedings (medical courts), as well as</w:t>
      </w:r>
      <w:r w:rsidRPr="00D13AF1">
        <w:t xml:space="preserve"> accreditation and supervision over Cont</w:t>
      </w:r>
      <w:r w:rsidR="00370371" w:rsidRPr="00D13AF1">
        <w:t xml:space="preserve">inuing Professional Development, </w:t>
      </w:r>
      <w:r w:rsidRPr="00D13AF1">
        <w:t xml:space="preserve"> representation and protection of the profession.</w:t>
      </w:r>
    </w:p>
    <w:p w14:paraId="7C1F6C61" w14:textId="77777777" w:rsidR="0020091B" w:rsidRPr="00D13AF1" w:rsidRDefault="0020091B" w:rsidP="0020091B">
      <w:pPr>
        <w:pStyle w:val="Heading3Pink"/>
      </w:pPr>
      <w:r w:rsidRPr="00D13AF1">
        <w:t>Definition of telemedicine</w:t>
      </w:r>
    </w:p>
    <w:p w14:paraId="5C8DCD4E" w14:textId="4C9C8673" w:rsidR="0020091B" w:rsidRPr="00D13AF1" w:rsidRDefault="0020091B" w:rsidP="0020091B">
      <w:pPr>
        <w:pStyle w:val="BodyEE"/>
      </w:pPr>
      <w:r w:rsidRPr="00D13AF1">
        <w:t>The chambers have not adopted for their own use any formal definition of telemedicine. Following an amendment to the law on the professions of physician and dentist</w:t>
      </w:r>
      <w:r w:rsidR="002D5110" w:rsidRPr="00D13AF1">
        <w:t>,</w:t>
      </w:r>
      <w:r w:rsidRPr="00D13AF1">
        <w:t xml:space="preserve"> a physician and dentist may perform </w:t>
      </w:r>
      <w:r w:rsidR="007615DF">
        <w:t>their</w:t>
      </w:r>
      <w:r w:rsidR="007615DF" w:rsidRPr="00D13AF1">
        <w:t xml:space="preserve"> </w:t>
      </w:r>
      <w:r w:rsidRPr="00D13AF1">
        <w:t>professional activities (i.e. provide health services) also by means of information and communication technologies (</w:t>
      </w:r>
      <w:bookmarkStart w:id="281" w:name="_Hlk494899676"/>
      <w:r w:rsidRPr="00D13AF1">
        <w:t xml:space="preserve">“za </w:t>
      </w:r>
      <w:proofErr w:type="spellStart"/>
      <w:r w:rsidRPr="00D13AF1">
        <w:t>pośrednictwem</w:t>
      </w:r>
      <w:proofErr w:type="spellEnd"/>
      <w:r w:rsidRPr="00D13AF1">
        <w:t xml:space="preserve"> </w:t>
      </w:r>
      <w:proofErr w:type="spellStart"/>
      <w:r w:rsidRPr="00D13AF1">
        <w:t>systemów</w:t>
      </w:r>
      <w:proofErr w:type="spellEnd"/>
      <w:r w:rsidRPr="00D13AF1">
        <w:t xml:space="preserve"> </w:t>
      </w:r>
      <w:proofErr w:type="spellStart"/>
      <w:r w:rsidRPr="00D13AF1">
        <w:t>teleinformatycznych</w:t>
      </w:r>
      <w:proofErr w:type="spellEnd"/>
      <w:r w:rsidRPr="00D13AF1">
        <w:t xml:space="preserve"> </w:t>
      </w:r>
      <w:proofErr w:type="spellStart"/>
      <w:r w:rsidRPr="00D13AF1">
        <w:t>lub</w:t>
      </w:r>
      <w:proofErr w:type="spellEnd"/>
      <w:r w:rsidRPr="00D13AF1">
        <w:t xml:space="preserve"> </w:t>
      </w:r>
      <w:proofErr w:type="spellStart"/>
      <w:r w:rsidRPr="00D13AF1">
        <w:t>systemów</w:t>
      </w:r>
      <w:proofErr w:type="spellEnd"/>
      <w:r w:rsidRPr="00D13AF1">
        <w:t xml:space="preserve"> </w:t>
      </w:r>
      <w:proofErr w:type="spellStart"/>
      <w:r w:rsidRPr="00D13AF1">
        <w:t>łączności</w:t>
      </w:r>
      <w:bookmarkEnd w:id="281"/>
      <w:proofErr w:type="spellEnd"/>
      <w:r w:rsidRPr="00D13AF1">
        <w:t>”).</w:t>
      </w:r>
    </w:p>
    <w:p w14:paraId="470A2425" w14:textId="77777777" w:rsidR="0020091B" w:rsidRPr="00D13AF1" w:rsidRDefault="0020091B" w:rsidP="0020091B">
      <w:pPr>
        <w:pStyle w:val="Heading3Pink"/>
      </w:pPr>
      <w:r w:rsidRPr="00D13AF1">
        <w:t>Frameworks for telemedicine regulation</w:t>
      </w:r>
    </w:p>
    <w:p w14:paraId="6B196E1D" w14:textId="11FE9A4A" w:rsidR="0020091B" w:rsidRPr="00D13AF1" w:rsidRDefault="002D5110" w:rsidP="0020091B">
      <w:pPr>
        <w:pStyle w:val="BodyEE"/>
      </w:pPr>
      <w:r w:rsidRPr="00D13AF1">
        <w:t xml:space="preserve">There are some informal rules and regulation on telemedicine provision, which would fall under the categories of: </w:t>
      </w:r>
    </w:p>
    <w:p w14:paraId="711B4CC5" w14:textId="1E6EA8D6" w:rsidR="0020091B" w:rsidRPr="00D13AF1" w:rsidRDefault="009D706A" w:rsidP="0020091B">
      <w:pPr>
        <w:pStyle w:val="Bulletlevel1"/>
      </w:pPr>
      <w:r w:rsidRPr="00D13AF1">
        <w:t>s</w:t>
      </w:r>
      <w:r w:rsidR="0020091B" w:rsidRPr="00D13AF1">
        <w:t>tandards of work</w:t>
      </w:r>
      <w:r w:rsidRPr="00D13AF1">
        <w:t>;</w:t>
      </w:r>
    </w:p>
    <w:p w14:paraId="3F5D0BAA" w14:textId="22FEA78E" w:rsidR="0020091B" w:rsidRPr="00D13AF1" w:rsidRDefault="009D706A" w:rsidP="0020091B">
      <w:pPr>
        <w:pStyle w:val="Bulletlevel1"/>
      </w:pPr>
      <w:r w:rsidRPr="00D13AF1">
        <w:t>d</w:t>
      </w:r>
      <w:r w:rsidR="0020091B" w:rsidRPr="00D13AF1">
        <w:t>iscipline and/or fitness to practise</w:t>
      </w:r>
      <w:r w:rsidR="002D5110" w:rsidRPr="00D13AF1">
        <w:t>.</w:t>
      </w:r>
    </w:p>
    <w:p w14:paraId="6F955A63" w14:textId="733E2A03" w:rsidR="0020091B" w:rsidRPr="00D13AF1" w:rsidRDefault="002D5110" w:rsidP="0020091B">
      <w:pPr>
        <w:pStyle w:val="BodyEE"/>
      </w:pPr>
      <w:r w:rsidRPr="00D13AF1">
        <w:t>They</w:t>
      </w:r>
      <w:r w:rsidR="0020091B" w:rsidRPr="00D13AF1">
        <w:t xml:space="preserve"> collaborate with the Ministry of Health - e.g. by providing comments on the draft legislation which relates to telemedicine (recently a draft regulation of the Minister of Health on organizational standards for healthcare facilities providing radiology services by means of IT technologies).</w:t>
      </w:r>
    </w:p>
    <w:p w14:paraId="4FB97BCE" w14:textId="77777777" w:rsidR="0020091B" w:rsidRPr="00D13AF1" w:rsidRDefault="0020091B" w:rsidP="0020091B">
      <w:pPr>
        <w:pStyle w:val="Heading3Pink"/>
      </w:pPr>
      <w:r w:rsidRPr="00D13AF1">
        <w:t>Regulation of individual doctors who provide telemedicine services</w:t>
      </w:r>
    </w:p>
    <w:p w14:paraId="19CF60C9" w14:textId="7A28DE2C" w:rsidR="0020091B" w:rsidRPr="00D13AF1" w:rsidRDefault="0020091B" w:rsidP="0020091B">
      <w:pPr>
        <w:pStyle w:val="BodyEE"/>
      </w:pPr>
      <w:r w:rsidRPr="00D13AF1">
        <w:t>The Code of Medical Ethics</w:t>
      </w:r>
      <w:r w:rsidR="002D5110" w:rsidRPr="00D13AF1">
        <w:t xml:space="preserve"> IS</w:t>
      </w:r>
      <w:r w:rsidRPr="00D13AF1">
        <w:t xml:space="preserve"> adopted by the professional self-government states that "A physician may undertake treatment only after having examined the patient. Exceptions are situations where medical advice can be provided only from a distance." To date there are no re</w:t>
      </w:r>
      <w:r w:rsidR="002D5110" w:rsidRPr="00D13AF1">
        <w:t>commendations indicating in which</w:t>
      </w:r>
      <w:r w:rsidRPr="00D13AF1">
        <w:t xml:space="preserve"> situations there is no necessity for</w:t>
      </w:r>
      <w:r w:rsidR="002D5110" w:rsidRPr="00D13AF1">
        <w:t xml:space="preserve"> a</w:t>
      </w:r>
      <w:r w:rsidRPr="00D13AF1">
        <w:t xml:space="preserve"> personal examination.</w:t>
      </w:r>
    </w:p>
    <w:p w14:paraId="43C0B56B" w14:textId="77777777" w:rsidR="0020091B" w:rsidRPr="00D13AF1" w:rsidRDefault="0020091B" w:rsidP="0020091B">
      <w:pPr>
        <w:pStyle w:val="Heading3Pink"/>
      </w:pPr>
      <w:r w:rsidRPr="00D13AF1">
        <w:t>Cross-jurisdiction issues in telemedicine</w:t>
      </w:r>
    </w:p>
    <w:p w14:paraId="52FC9EC4" w14:textId="77777777" w:rsidR="0020091B" w:rsidRPr="00D13AF1" w:rsidRDefault="0020091B" w:rsidP="0020091B">
      <w:pPr>
        <w:pStyle w:val="BodyEE"/>
      </w:pPr>
      <w:r w:rsidRPr="00D13AF1">
        <w:t>[not mentioned in the survey]</w:t>
      </w:r>
    </w:p>
    <w:p w14:paraId="40639753" w14:textId="77777777" w:rsidR="0020091B" w:rsidRPr="00D13AF1" w:rsidRDefault="0020091B" w:rsidP="00524B0E">
      <w:pPr>
        <w:pStyle w:val="Heading1"/>
        <w:ind w:left="709" w:hanging="714"/>
        <w:rPr>
          <w:color w:val="C64187" w:themeColor="accent2"/>
        </w:rPr>
      </w:pPr>
      <w:bookmarkStart w:id="282" w:name="_Toc504484202"/>
      <w:r w:rsidRPr="00D13AF1">
        <w:rPr>
          <w:color w:val="C64187" w:themeColor="accent2"/>
        </w:rPr>
        <w:lastRenderedPageBreak/>
        <w:t>South Africa</w:t>
      </w:r>
      <w:bookmarkEnd w:id="282"/>
    </w:p>
    <w:p w14:paraId="47B127FD" w14:textId="74910466" w:rsidR="0020091B" w:rsidRPr="00D13AF1" w:rsidRDefault="0020091B" w:rsidP="0020091B">
      <w:pPr>
        <w:pStyle w:val="Heading2Pink"/>
      </w:pPr>
      <w:bookmarkStart w:id="283" w:name="_Toc504484203"/>
      <w:bookmarkStart w:id="284" w:name="_Hlk495508989"/>
      <w:r w:rsidRPr="00D13AF1">
        <w:t>Health Professions Council of South Africa</w:t>
      </w:r>
      <w:r w:rsidR="009D706A" w:rsidRPr="00D13AF1">
        <w:rPr>
          <w:vertAlign w:val="superscript"/>
        </w:rPr>
        <w:footnoteReference w:id="161"/>
      </w:r>
      <w:bookmarkEnd w:id="283"/>
    </w:p>
    <w:bookmarkEnd w:id="284"/>
    <w:p w14:paraId="7257F0C5" w14:textId="77777777" w:rsidR="0020091B" w:rsidRPr="00D13AF1" w:rsidRDefault="0020091B" w:rsidP="0020091B">
      <w:pPr>
        <w:pStyle w:val="BodyEE"/>
        <w:rPr>
          <w:lang w:eastAsia="en-GB"/>
        </w:rPr>
      </w:pPr>
      <w:r w:rsidRPr="00D13AF1">
        <w:rPr>
          <w:lang w:eastAsia="en-GB"/>
        </w:rPr>
        <w:t>The HPCSA, in conjunction with its 12 Professional Boards, is committed to promoting the health of the population, determining standards of professional education and training, and setting and maintaining excellent standards of ethical and professional practice.</w:t>
      </w:r>
    </w:p>
    <w:p w14:paraId="32BCA9EE" w14:textId="4D451D47" w:rsidR="0020091B" w:rsidRPr="00D13AF1" w:rsidRDefault="002D5110" w:rsidP="0020091B">
      <w:pPr>
        <w:pStyle w:val="BodyEE"/>
        <w:rPr>
          <w:lang w:eastAsia="en-GB"/>
        </w:rPr>
      </w:pPr>
      <w:r w:rsidRPr="00D13AF1">
        <w:rPr>
          <w:lang w:eastAsia="en-GB"/>
        </w:rPr>
        <w:t>The 12 b</w:t>
      </w:r>
      <w:r w:rsidR="0020091B" w:rsidRPr="00D13AF1">
        <w:rPr>
          <w:lang w:eastAsia="en-GB"/>
        </w:rPr>
        <w:t>oards</w:t>
      </w:r>
      <w:r w:rsidRPr="00D13AF1">
        <w:rPr>
          <w:lang w:eastAsia="en-GB"/>
        </w:rPr>
        <w:t xml:space="preserve"> are as follows</w:t>
      </w:r>
      <w:r w:rsidR="0020091B" w:rsidRPr="00D13AF1">
        <w:rPr>
          <w:lang w:eastAsia="en-GB"/>
        </w:rPr>
        <w:t>:</w:t>
      </w:r>
    </w:p>
    <w:p w14:paraId="0ACFECC0" w14:textId="77777777" w:rsidR="0020091B" w:rsidRPr="00D13AF1" w:rsidRDefault="0020091B" w:rsidP="0020091B">
      <w:pPr>
        <w:pStyle w:val="Bulletlevel1"/>
        <w:rPr>
          <w:lang w:eastAsia="en-GB"/>
        </w:rPr>
      </w:pPr>
      <w:r w:rsidRPr="00D13AF1">
        <w:rPr>
          <w:lang w:eastAsia="en-GB"/>
        </w:rPr>
        <w:t>Dental Therapy &amp; Oral Hygiene.</w:t>
      </w:r>
    </w:p>
    <w:p w14:paraId="65BA3AB2" w14:textId="77777777" w:rsidR="0020091B" w:rsidRPr="00D13AF1" w:rsidRDefault="0020091B" w:rsidP="0020091B">
      <w:pPr>
        <w:pStyle w:val="Bulletlevel1"/>
        <w:rPr>
          <w:lang w:eastAsia="en-GB"/>
        </w:rPr>
      </w:pPr>
      <w:r w:rsidRPr="00D13AF1">
        <w:rPr>
          <w:lang w:eastAsia="en-GB"/>
        </w:rPr>
        <w:t>Dietetics and Nutrition.</w:t>
      </w:r>
    </w:p>
    <w:p w14:paraId="346A9A4D" w14:textId="77777777" w:rsidR="0020091B" w:rsidRPr="00D13AF1" w:rsidRDefault="0020091B" w:rsidP="0020091B">
      <w:pPr>
        <w:pStyle w:val="Bulletlevel1"/>
        <w:rPr>
          <w:lang w:eastAsia="en-GB"/>
        </w:rPr>
      </w:pPr>
      <w:r w:rsidRPr="00D13AF1">
        <w:rPr>
          <w:lang w:eastAsia="en-GB"/>
        </w:rPr>
        <w:t>Emergency Care.</w:t>
      </w:r>
    </w:p>
    <w:p w14:paraId="78AE5B6E" w14:textId="77777777" w:rsidR="0020091B" w:rsidRPr="00D13AF1" w:rsidRDefault="0020091B" w:rsidP="0020091B">
      <w:pPr>
        <w:pStyle w:val="Bulletlevel1"/>
        <w:rPr>
          <w:lang w:eastAsia="en-GB"/>
        </w:rPr>
      </w:pPr>
      <w:r w:rsidRPr="00D13AF1">
        <w:rPr>
          <w:lang w:eastAsia="en-GB"/>
        </w:rPr>
        <w:t>Environmental Health.</w:t>
      </w:r>
    </w:p>
    <w:p w14:paraId="53F67489" w14:textId="77777777" w:rsidR="0020091B" w:rsidRPr="00D13AF1" w:rsidRDefault="0020091B" w:rsidP="0020091B">
      <w:pPr>
        <w:pStyle w:val="Bulletlevel1"/>
        <w:rPr>
          <w:lang w:eastAsia="en-GB"/>
        </w:rPr>
      </w:pPr>
      <w:r w:rsidRPr="00D13AF1">
        <w:rPr>
          <w:lang w:eastAsia="en-GB"/>
        </w:rPr>
        <w:t>Medical and Dental (and medical science).</w:t>
      </w:r>
    </w:p>
    <w:p w14:paraId="30E18310" w14:textId="77777777" w:rsidR="0020091B" w:rsidRPr="00D13AF1" w:rsidRDefault="0020091B" w:rsidP="0020091B">
      <w:pPr>
        <w:pStyle w:val="Bulletlevel1"/>
        <w:rPr>
          <w:lang w:eastAsia="en-GB"/>
        </w:rPr>
      </w:pPr>
      <w:r w:rsidRPr="00D13AF1">
        <w:rPr>
          <w:lang w:eastAsia="en-GB"/>
        </w:rPr>
        <w:t>Medical Technology.</w:t>
      </w:r>
    </w:p>
    <w:p w14:paraId="566DC7BD" w14:textId="77777777" w:rsidR="0020091B" w:rsidRPr="00D13AF1" w:rsidRDefault="0020091B" w:rsidP="0020091B">
      <w:pPr>
        <w:pStyle w:val="Bulletlevel1"/>
        <w:rPr>
          <w:lang w:eastAsia="en-GB"/>
        </w:rPr>
      </w:pPr>
      <w:r w:rsidRPr="00D13AF1">
        <w:rPr>
          <w:lang w:eastAsia="en-GB"/>
        </w:rPr>
        <w:t>Occupational Therapy.</w:t>
      </w:r>
    </w:p>
    <w:p w14:paraId="4C949013" w14:textId="77777777" w:rsidR="0020091B" w:rsidRPr="00D13AF1" w:rsidRDefault="0020091B" w:rsidP="0020091B">
      <w:pPr>
        <w:pStyle w:val="Bulletlevel1"/>
        <w:rPr>
          <w:lang w:eastAsia="en-GB"/>
        </w:rPr>
      </w:pPr>
      <w:r w:rsidRPr="00D13AF1">
        <w:rPr>
          <w:lang w:eastAsia="en-GB"/>
        </w:rPr>
        <w:t>Medical Orthotics.</w:t>
      </w:r>
    </w:p>
    <w:p w14:paraId="7A6810C0" w14:textId="77777777" w:rsidR="0020091B" w:rsidRPr="00D13AF1" w:rsidRDefault="0020091B" w:rsidP="0020091B">
      <w:pPr>
        <w:pStyle w:val="Bulletlevel1"/>
        <w:rPr>
          <w:lang w:eastAsia="en-GB"/>
        </w:rPr>
      </w:pPr>
      <w:r w:rsidRPr="00D13AF1">
        <w:rPr>
          <w:lang w:eastAsia="en-GB"/>
        </w:rPr>
        <w:t>Prosthetics &amp; Arts Therapy.</w:t>
      </w:r>
    </w:p>
    <w:p w14:paraId="05578C84" w14:textId="77777777" w:rsidR="0020091B" w:rsidRPr="00D13AF1" w:rsidRDefault="0020091B" w:rsidP="0020091B">
      <w:pPr>
        <w:pStyle w:val="Bulletlevel1"/>
        <w:rPr>
          <w:lang w:eastAsia="en-GB"/>
        </w:rPr>
      </w:pPr>
      <w:r w:rsidRPr="00D13AF1">
        <w:rPr>
          <w:lang w:eastAsia="en-GB"/>
        </w:rPr>
        <w:t>Optometry &amp; Dispensing Opticians.</w:t>
      </w:r>
    </w:p>
    <w:p w14:paraId="0AB653B0" w14:textId="77777777" w:rsidR="0020091B" w:rsidRPr="00D13AF1" w:rsidRDefault="0020091B" w:rsidP="0020091B">
      <w:pPr>
        <w:pStyle w:val="Bulletlevel1"/>
        <w:rPr>
          <w:lang w:eastAsia="en-GB"/>
        </w:rPr>
      </w:pPr>
      <w:r w:rsidRPr="00D13AF1">
        <w:rPr>
          <w:lang w:eastAsia="en-GB"/>
        </w:rPr>
        <w:t>Physiotherapy.</w:t>
      </w:r>
    </w:p>
    <w:p w14:paraId="0FB52F1A" w14:textId="77777777" w:rsidR="0020091B" w:rsidRPr="00D13AF1" w:rsidRDefault="0020091B" w:rsidP="0020091B">
      <w:pPr>
        <w:pStyle w:val="Bulletlevel1"/>
        <w:rPr>
          <w:lang w:eastAsia="en-GB"/>
        </w:rPr>
      </w:pPr>
      <w:r w:rsidRPr="00D13AF1">
        <w:rPr>
          <w:lang w:eastAsia="en-GB"/>
        </w:rPr>
        <w:t>Podiatry and Biokinetics.</w:t>
      </w:r>
    </w:p>
    <w:p w14:paraId="34DCB9B5" w14:textId="77777777" w:rsidR="0020091B" w:rsidRPr="00D13AF1" w:rsidRDefault="0020091B" w:rsidP="0020091B">
      <w:pPr>
        <w:pStyle w:val="Bulletlevel1"/>
        <w:rPr>
          <w:lang w:eastAsia="en-GB"/>
        </w:rPr>
      </w:pPr>
      <w:r w:rsidRPr="00D13AF1">
        <w:rPr>
          <w:lang w:eastAsia="en-GB"/>
        </w:rPr>
        <w:t>Psychology.</w:t>
      </w:r>
    </w:p>
    <w:p w14:paraId="12CD369D" w14:textId="77777777" w:rsidR="0020091B" w:rsidRPr="00D13AF1" w:rsidRDefault="0020091B" w:rsidP="0020091B">
      <w:pPr>
        <w:pStyle w:val="Bulletlevel1"/>
        <w:rPr>
          <w:lang w:eastAsia="en-GB"/>
        </w:rPr>
      </w:pPr>
      <w:r w:rsidRPr="00D13AF1">
        <w:rPr>
          <w:lang w:eastAsia="en-GB"/>
        </w:rPr>
        <w:t>Radiography &amp; Clinical Technology.</w:t>
      </w:r>
    </w:p>
    <w:p w14:paraId="65B4E10D" w14:textId="77777777" w:rsidR="0020091B" w:rsidRPr="00D13AF1" w:rsidRDefault="0020091B" w:rsidP="0020091B">
      <w:pPr>
        <w:pStyle w:val="Bulletlevel1"/>
        <w:rPr>
          <w:lang w:eastAsia="en-GB"/>
        </w:rPr>
      </w:pPr>
      <w:r w:rsidRPr="00D13AF1">
        <w:rPr>
          <w:lang w:eastAsia="en-GB"/>
        </w:rPr>
        <w:t>Speech, Language and Hearing Professions.</w:t>
      </w:r>
    </w:p>
    <w:p w14:paraId="672A9C84" w14:textId="77777777" w:rsidR="0020091B" w:rsidRPr="00D13AF1" w:rsidRDefault="0020091B" w:rsidP="0020091B">
      <w:pPr>
        <w:pStyle w:val="BodyEE"/>
        <w:rPr>
          <w:lang w:eastAsia="en-GB"/>
        </w:rPr>
      </w:pPr>
      <w:r w:rsidRPr="00D13AF1">
        <w:rPr>
          <w:lang w:eastAsia="en-GB"/>
        </w:rPr>
        <w:t>In order to safeguard the public and indirectly the professions, registration in terms of the Act is a prerequisite for practising any of the health professions with which Council is concerned.</w:t>
      </w:r>
    </w:p>
    <w:p w14:paraId="68C36A43" w14:textId="77777777" w:rsidR="0020091B" w:rsidRPr="00D13AF1" w:rsidRDefault="0020091B" w:rsidP="0020091B">
      <w:pPr>
        <w:pStyle w:val="BodyEE"/>
        <w:rPr>
          <w:lang w:eastAsia="en-GB"/>
        </w:rPr>
      </w:pPr>
      <w:r w:rsidRPr="00D13AF1">
        <w:rPr>
          <w:lang w:eastAsia="en-GB"/>
        </w:rPr>
        <w:t xml:space="preserve">The Council guides and regulates the health professions in the country in aspects pertaining to registration, education and training, professional conduct and ethical behaviour, ensuring continuing professional development, and fostering compliance with healthcare standards. All individuals who practise any of the health care professions incorporated in the scope of the HPCSA are obliged by the Health Professions Act No. 56 of 1974 to register with the Council. Failure to do so constitutes a criminal offence.  </w:t>
      </w:r>
    </w:p>
    <w:p w14:paraId="2BD08547" w14:textId="5AB7F6EF" w:rsidR="0020091B" w:rsidRPr="00D13AF1" w:rsidRDefault="0020091B" w:rsidP="0020091B">
      <w:pPr>
        <w:pStyle w:val="Heading3Pink"/>
      </w:pPr>
      <w:r w:rsidRPr="00D13AF1">
        <w:t>Definition of telemedicine</w:t>
      </w:r>
      <w:r w:rsidR="002D5110" w:rsidRPr="00D13AF1">
        <w:rPr>
          <w:rStyle w:val="FootnoteReference"/>
        </w:rPr>
        <w:footnoteReference w:id="162"/>
      </w:r>
    </w:p>
    <w:p w14:paraId="39B32EA6" w14:textId="77777777" w:rsidR="0020091B" w:rsidRPr="00D13AF1" w:rsidRDefault="0020091B" w:rsidP="0020091B">
      <w:pPr>
        <w:pStyle w:val="BodyEE"/>
      </w:pPr>
      <w:r w:rsidRPr="00D13AF1">
        <w:t>The practice of medicine using electronic communications, information technology or other electronic means between a healthcare practitioner in one location and a healthcare practitioner in another location. This is for facilitating, improving and enhancing clinical, educational and scientific healthcare and research, particularly to the under serviced areas in the Republic of South Africa.</w:t>
      </w:r>
    </w:p>
    <w:p w14:paraId="2A115E76" w14:textId="77777777" w:rsidR="0020091B" w:rsidRPr="00D13AF1" w:rsidRDefault="0020091B" w:rsidP="0020091B">
      <w:pPr>
        <w:pStyle w:val="Heading3Pink"/>
      </w:pPr>
      <w:r w:rsidRPr="00D13AF1">
        <w:lastRenderedPageBreak/>
        <w:t>Frameworks for telemedicine regulation</w:t>
      </w:r>
    </w:p>
    <w:p w14:paraId="7761ABA2" w14:textId="0B4D97DE" w:rsidR="0020091B" w:rsidRPr="00D13AF1" w:rsidRDefault="00771C21" w:rsidP="0020091B">
      <w:pPr>
        <w:pStyle w:val="BodyEE"/>
      </w:pPr>
      <w:r w:rsidRPr="00D13AF1">
        <w:t>The Council has adopted some</w:t>
      </w:r>
      <w:r w:rsidR="0020091B" w:rsidRPr="00D13AF1">
        <w:t xml:space="preserve"> regulations and/or policies regarding telemedicine</w:t>
      </w:r>
      <w:r w:rsidRPr="00D13AF1">
        <w:t>, which fall under the following categories:</w:t>
      </w:r>
    </w:p>
    <w:p w14:paraId="6846648B" w14:textId="0BC8561C" w:rsidR="0020091B" w:rsidRPr="00D13AF1" w:rsidRDefault="009D706A" w:rsidP="0020091B">
      <w:pPr>
        <w:pStyle w:val="Bulletlevel1"/>
      </w:pPr>
      <w:r w:rsidRPr="00D13AF1">
        <w:t>l</w:t>
      </w:r>
      <w:r w:rsidR="0020091B" w:rsidRPr="00D13AF1">
        <w:t>icensing and/or registration</w:t>
      </w:r>
      <w:r w:rsidRPr="00D13AF1">
        <w:t>;</w:t>
      </w:r>
    </w:p>
    <w:p w14:paraId="6F8C14C4" w14:textId="4421A833" w:rsidR="0020091B" w:rsidRPr="00D13AF1" w:rsidRDefault="009D706A" w:rsidP="0020091B">
      <w:pPr>
        <w:pStyle w:val="Bulletlevel1"/>
      </w:pPr>
      <w:r w:rsidRPr="00D13AF1">
        <w:t>q</w:t>
      </w:r>
      <w:r w:rsidR="0020091B" w:rsidRPr="00D13AF1">
        <w:t>ualifications and training, including continuing professional development</w:t>
      </w:r>
      <w:r w:rsidRPr="00D13AF1">
        <w:t>;</w:t>
      </w:r>
    </w:p>
    <w:p w14:paraId="6C058F19" w14:textId="2DAF7F0F" w:rsidR="0020091B" w:rsidRPr="00D13AF1" w:rsidRDefault="009D706A" w:rsidP="0020091B">
      <w:pPr>
        <w:pStyle w:val="Bulletlevel1"/>
      </w:pPr>
      <w:r w:rsidRPr="00D13AF1">
        <w:t>s</w:t>
      </w:r>
      <w:r w:rsidR="0020091B" w:rsidRPr="00D13AF1">
        <w:t>tandards of work</w:t>
      </w:r>
      <w:r w:rsidRPr="00D13AF1">
        <w:t>;</w:t>
      </w:r>
    </w:p>
    <w:p w14:paraId="2C4FA180" w14:textId="5E506F1F" w:rsidR="0020091B" w:rsidRPr="00D13AF1" w:rsidRDefault="009D706A" w:rsidP="0020091B">
      <w:pPr>
        <w:pStyle w:val="Bulletlevel1"/>
      </w:pPr>
      <w:r w:rsidRPr="00D13AF1">
        <w:t>d</w:t>
      </w:r>
      <w:r w:rsidR="0020091B" w:rsidRPr="00D13AF1">
        <w:t>iscipline and/or fitness to practise</w:t>
      </w:r>
      <w:r w:rsidRPr="00D13AF1">
        <w:t>.</w:t>
      </w:r>
    </w:p>
    <w:p w14:paraId="05F3893D" w14:textId="1D4EF792" w:rsidR="0020091B" w:rsidRPr="00D13AF1" w:rsidRDefault="0020091B" w:rsidP="0020091B">
      <w:pPr>
        <w:pStyle w:val="BodyEE"/>
      </w:pPr>
      <w:r w:rsidRPr="00D13AF1">
        <w:t xml:space="preserve">The policy </w:t>
      </w:r>
      <w:r w:rsidR="00771C21" w:rsidRPr="00D13AF1">
        <w:t xml:space="preserve">are to </w:t>
      </w:r>
      <w:r w:rsidRPr="00D13AF1">
        <w:t>be reviewed with the 12 professional boards.</w:t>
      </w:r>
    </w:p>
    <w:p w14:paraId="6AE4A58D" w14:textId="1BCC31EC" w:rsidR="0020091B" w:rsidRPr="00D13AF1" w:rsidRDefault="0020091B" w:rsidP="0020091B">
      <w:pPr>
        <w:pStyle w:val="Heading3Pink"/>
      </w:pPr>
      <w:r w:rsidRPr="00D13AF1">
        <w:t>Regulation of individual doctors who provide telemedicine services</w:t>
      </w:r>
      <w:r w:rsidR="00771C21" w:rsidRPr="00D13AF1">
        <w:rPr>
          <w:rStyle w:val="FootnoteReference"/>
        </w:rPr>
        <w:footnoteReference w:id="163"/>
      </w:r>
    </w:p>
    <w:p w14:paraId="60AFFB7F" w14:textId="2C8E2E37" w:rsidR="0020091B" w:rsidRPr="00D13AF1" w:rsidRDefault="00300867" w:rsidP="0020091B">
      <w:pPr>
        <w:pStyle w:val="BodyEE"/>
        <w:rPr>
          <w:lang w:eastAsia="en-GB"/>
        </w:rPr>
      </w:pPr>
      <w:r>
        <w:rPr>
          <w:lang w:eastAsia="en-GB"/>
        </w:rPr>
        <w:t>The Council has stated that a</w:t>
      </w:r>
      <w:r w:rsidR="002659CD">
        <w:rPr>
          <w:lang w:eastAsia="en-GB"/>
        </w:rPr>
        <w:t>ll t</w:t>
      </w:r>
      <w:r w:rsidR="0020091B" w:rsidRPr="00D13AF1">
        <w:rPr>
          <w:lang w:eastAsia="en-GB"/>
        </w:rPr>
        <w:t>elemedicine services should involve a healthcare provider where there is an actual face-to-face consultation and physical examination of the patient in a clinical setting. The consulting practitioner will communicate the information to the servicing practitioner, who will then provide the necessary assistance.</w:t>
      </w:r>
    </w:p>
    <w:p w14:paraId="10E84B94" w14:textId="75C4B536" w:rsidR="0020091B" w:rsidRPr="00D13AF1" w:rsidRDefault="0032202F" w:rsidP="0020091B">
      <w:pPr>
        <w:pStyle w:val="BodyEE"/>
      </w:pPr>
      <w:r w:rsidRPr="00D13AF1">
        <w:t>The</w:t>
      </w:r>
      <w:r w:rsidR="0020091B" w:rsidRPr="00D13AF1">
        <w:t xml:space="preserve"> ethical guidance </w:t>
      </w:r>
      <w:r w:rsidRPr="00D13AF1">
        <w:t>includes</w:t>
      </w:r>
      <w:r w:rsidR="0020091B" w:rsidRPr="00D13AF1">
        <w:t>:</w:t>
      </w:r>
    </w:p>
    <w:p w14:paraId="3AA815FA" w14:textId="77777777" w:rsidR="0020091B" w:rsidRPr="00D13AF1" w:rsidRDefault="0020091B" w:rsidP="0020091B">
      <w:pPr>
        <w:pStyle w:val="Bulletlevel1"/>
      </w:pPr>
      <w:r w:rsidRPr="00D13AF1">
        <w:t>Competence, registration and authorisation: practitioner must be licenced in South Africa.</w:t>
      </w:r>
    </w:p>
    <w:p w14:paraId="5D5FEDE9" w14:textId="77777777" w:rsidR="0020091B" w:rsidRPr="00D13AF1" w:rsidRDefault="0020091B" w:rsidP="0020091B">
      <w:pPr>
        <w:pStyle w:val="Bulletlevel1"/>
      </w:pPr>
      <w:r w:rsidRPr="00D13AF1">
        <w:t>Healthcare practitioner-patient relationship: formally, the location of telemedicine service is the patient’s location.</w:t>
      </w:r>
    </w:p>
    <w:p w14:paraId="4436F888" w14:textId="3106ACA0" w:rsidR="0020091B" w:rsidRPr="00D13AF1" w:rsidRDefault="0020091B" w:rsidP="0020091B">
      <w:pPr>
        <w:pStyle w:val="Bulletlevel1"/>
      </w:pPr>
      <w:r w:rsidRPr="00D13AF1">
        <w:t xml:space="preserve">Assumption of primary responsibility: the consulting practitioner is ultimately responsible for treatment. </w:t>
      </w:r>
      <w:r w:rsidR="007615DF">
        <w:t>T</w:t>
      </w:r>
      <w:r w:rsidR="007615DF" w:rsidRPr="00D13AF1">
        <w:t xml:space="preserve">he </w:t>
      </w:r>
      <w:r w:rsidR="007615DF">
        <w:t>s</w:t>
      </w:r>
      <w:r w:rsidR="007615DF" w:rsidRPr="00D13AF1">
        <w:t xml:space="preserve">ervicing </w:t>
      </w:r>
      <w:r w:rsidRPr="00D13AF1">
        <w:t>practitioner must keep the medical record.</w:t>
      </w:r>
    </w:p>
    <w:p w14:paraId="0BE96109" w14:textId="77777777" w:rsidR="0020091B" w:rsidRPr="00D13AF1" w:rsidRDefault="0020091B" w:rsidP="0020091B">
      <w:pPr>
        <w:pStyle w:val="Bulletlevel1"/>
      </w:pPr>
      <w:r w:rsidRPr="00D13AF1">
        <w:t>Evaluation and treatment of patient: prescription based only an on online questionnaire is not allowed.</w:t>
      </w:r>
    </w:p>
    <w:p w14:paraId="133C51C4" w14:textId="77777777" w:rsidR="0020091B" w:rsidRPr="00D13AF1" w:rsidRDefault="0020091B" w:rsidP="0020091B">
      <w:pPr>
        <w:pStyle w:val="Bulletlevel1"/>
      </w:pPr>
      <w:r w:rsidRPr="00D13AF1">
        <w:t>Professional duties: obtain informed consent of the patient specifically for use of telemedicine; verify the locations of the consulting and servicing practitioners; verify patient’s identity.</w:t>
      </w:r>
    </w:p>
    <w:p w14:paraId="0C198839" w14:textId="18026AB2" w:rsidR="0020091B" w:rsidRPr="00D13AF1" w:rsidRDefault="0020091B" w:rsidP="0020091B">
      <w:pPr>
        <w:pStyle w:val="Heading3Pink"/>
      </w:pPr>
      <w:r w:rsidRPr="00D13AF1">
        <w:t>Cross-jurisdiction issues in telemedicine</w:t>
      </w:r>
      <w:r w:rsidR="003442DB" w:rsidRPr="00D13AF1">
        <w:rPr>
          <w:rStyle w:val="FootnoteReference"/>
        </w:rPr>
        <w:footnoteReference w:id="164"/>
      </w:r>
    </w:p>
    <w:p w14:paraId="5AD2611D" w14:textId="77777777" w:rsidR="0020091B" w:rsidRPr="00D13AF1" w:rsidRDefault="0020091B" w:rsidP="0020091B">
      <w:pPr>
        <w:pStyle w:val="BodyEE"/>
      </w:pPr>
      <w:bookmarkStart w:id="285" w:name="_Hlk495509008"/>
      <w:r w:rsidRPr="00D13AF1">
        <w:t>In the case of telemedicine across country borders, practitioners serving South African patients should be registered with the regulating bodies in their original states as well as with the HPCSA.</w:t>
      </w:r>
    </w:p>
    <w:p w14:paraId="53E475F8" w14:textId="77777777" w:rsidR="0020091B" w:rsidRPr="00D13AF1" w:rsidRDefault="0020091B" w:rsidP="00524B0E">
      <w:pPr>
        <w:pStyle w:val="Heading1"/>
        <w:ind w:left="709" w:hanging="714"/>
        <w:rPr>
          <w:color w:val="C64187" w:themeColor="accent2"/>
        </w:rPr>
      </w:pPr>
      <w:bookmarkStart w:id="286" w:name="_Toc504484204"/>
      <w:bookmarkEnd w:id="285"/>
      <w:r w:rsidRPr="00D13AF1">
        <w:rPr>
          <w:color w:val="C64187" w:themeColor="accent2"/>
        </w:rPr>
        <w:lastRenderedPageBreak/>
        <w:t>South Sudan</w:t>
      </w:r>
      <w:bookmarkEnd w:id="286"/>
    </w:p>
    <w:p w14:paraId="7E8E7C2A" w14:textId="5567E5BD" w:rsidR="0020091B" w:rsidRPr="00D13AF1" w:rsidRDefault="0020091B" w:rsidP="0020091B">
      <w:pPr>
        <w:pStyle w:val="Heading2Pink"/>
      </w:pPr>
      <w:bookmarkStart w:id="287" w:name="_Toc504484205"/>
      <w:bookmarkStart w:id="288" w:name="_Hlk495507915"/>
      <w:r w:rsidRPr="00D13AF1">
        <w:t>South Sudan General Medical Council</w:t>
      </w:r>
      <w:r w:rsidR="00524B0E" w:rsidRPr="00D13AF1">
        <w:rPr>
          <w:vertAlign w:val="superscript"/>
        </w:rPr>
        <w:footnoteReference w:id="165"/>
      </w:r>
      <w:bookmarkEnd w:id="287"/>
    </w:p>
    <w:bookmarkEnd w:id="288"/>
    <w:p w14:paraId="3B3E45A1" w14:textId="00546C21" w:rsidR="0020091B" w:rsidRPr="00D13AF1" w:rsidRDefault="003442DB" w:rsidP="0020091B">
      <w:pPr>
        <w:pStyle w:val="BodyEE"/>
      </w:pPr>
      <w:r w:rsidRPr="00D13AF1">
        <w:t>The Council</w:t>
      </w:r>
      <w:r w:rsidR="0020091B" w:rsidRPr="00D13AF1">
        <w:t xml:space="preserve"> register</w:t>
      </w:r>
      <w:r w:rsidRPr="00D13AF1">
        <w:t>s</w:t>
      </w:r>
      <w:r w:rsidR="0020091B" w:rsidRPr="00D13AF1">
        <w:t xml:space="preserve"> and regulate</w:t>
      </w:r>
      <w:r w:rsidRPr="00D13AF1">
        <w:t>s</w:t>
      </w:r>
      <w:r w:rsidR="0020091B" w:rsidRPr="00D13AF1">
        <w:t xml:space="preserve"> medical doctors, dentists and pharmacists as well as healthcare organisations especially hospitals and clinics.</w:t>
      </w:r>
    </w:p>
    <w:p w14:paraId="5F01FA64" w14:textId="77777777" w:rsidR="0020091B" w:rsidRPr="00D13AF1" w:rsidRDefault="0020091B" w:rsidP="0020091B">
      <w:pPr>
        <w:pStyle w:val="Heading3Pink"/>
      </w:pPr>
      <w:r w:rsidRPr="00D13AF1">
        <w:t>Definition of telemedicine</w:t>
      </w:r>
    </w:p>
    <w:p w14:paraId="69EFC46A" w14:textId="0A2AC614" w:rsidR="0020091B" w:rsidRPr="00D13AF1" w:rsidRDefault="003442DB" w:rsidP="0020091B">
      <w:pPr>
        <w:pStyle w:val="BodyEE"/>
      </w:pPr>
      <w:bookmarkStart w:id="289" w:name="_Hlk495507919"/>
      <w:r w:rsidRPr="00D13AF1">
        <w:t>Telemedicine is defined as t</w:t>
      </w:r>
      <w:r w:rsidR="0020091B" w:rsidRPr="00D13AF1">
        <w:t>he diagnosis and treatment of medical conditions from a distance using modern telecommunication techniques.</w:t>
      </w:r>
    </w:p>
    <w:bookmarkEnd w:id="289"/>
    <w:p w14:paraId="2E4EFA8A" w14:textId="77777777" w:rsidR="0020091B" w:rsidRPr="00D13AF1" w:rsidRDefault="0020091B" w:rsidP="0020091B">
      <w:pPr>
        <w:pStyle w:val="Heading3Pink"/>
      </w:pPr>
      <w:r w:rsidRPr="00D13AF1">
        <w:t>Frameworks for telemedicine regulation</w:t>
      </w:r>
    </w:p>
    <w:p w14:paraId="26EE466B" w14:textId="2EB415FF" w:rsidR="0020091B" w:rsidRPr="00D13AF1" w:rsidRDefault="003442DB" w:rsidP="0020091B">
      <w:pPr>
        <w:pStyle w:val="BodyEE"/>
      </w:pPr>
      <w:r w:rsidRPr="00D13AF1">
        <w:t xml:space="preserve">There are no formal regulations regarding telemedicine. </w:t>
      </w:r>
    </w:p>
    <w:p w14:paraId="1E1038E3" w14:textId="43B17576" w:rsidR="0020091B" w:rsidRPr="00D13AF1" w:rsidRDefault="003442DB" w:rsidP="0020091B">
      <w:pPr>
        <w:pStyle w:val="BodyEE"/>
      </w:pPr>
      <w:r w:rsidRPr="00D13AF1">
        <w:t>The Council cooperates with</w:t>
      </w:r>
      <w:r w:rsidR="0020091B" w:rsidRPr="00D13AF1">
        <w:t xml:space="preserve"> the Association</w:t>
      </w:r>
      <w:r w:rsidRPr="00D13AF1">
        <w:t xml:space="preserve"> of Medical Councils of Africa, by a</w:t>
      </w:r>
      <w:r w:rsidR="0020091B" w:rsidRPr="00D13AF1">
        <w:t>ttend</w:t>
      </w:r>
      <w:r w:rsidRPr="00D13AF1">
        <w:t>ing conferences and exchanging</w:t>
      </w:r>
      <w:r w:rsidR="0020091B" w:rsidRPr="00D13AF1">
        <w:t xml:space="preserve"> ideas with all member countries on the African continent</w:t>
      </w:r>
    </w:p>
    <w:p w14:paraId="6F6310E9" w14:textId="77777777" w:rsidR="0020091B" w:rsidRPr="00D13AF1" w:rsidRDefault="0020091B" w:rsidP="0020091B">
      <w:pPr>
        <w:pStyle w:val="Heading3Pink"/>
      </w:pPr>
      <w:r w:rsidRPr="00D13AF1">
        <w:t>Regulation of individual doctors who provide telemedicine services</w:t>
      </w:r>
    </w:p>
    <w:p w14:paraId="468CC08B" w14:textId="77777777" w:rsidR="0020091B" w:rsidRPr="00D13AF1" w:rsidRDefault="0020091B" w:rsidP="0020091B">
      <w:pPr>
        <w:pStyle w:val="BodyEE"/>
      </w:pPr>
      <w:r w:rsidRPr="00D13AF1">
        <w:t>[no regulation in place]</w:t>
      </w:r>
    </w:p>
    <w:p w14:paraId="20C35EC1" w14:textId="77777777" w:rsidR="0020091B" w:rsidRPr="00D13AF1" w:rsidRDefault="0020091B" w:rsidP="0020091B">
      <w:pPr>
        <w:pStyle w:val="Heading3Pink"/>
      </w:pPr>
      <w:r w:rsidRPr="00D13AF1">
        <w:t>Cross-jurisdiction issues in telemedicine</w:t>
      </w:r>
    </w:p>
    <w:p w14:paraId="0216C5D1" w14:textId="77777777" w:rsidR="0020091B" w:rsidRPr="00D13AF1" w:rsidRDefault="0020091B" w:rsidP="0020091B">
      <w:pPr>
        <w:pStyle w:val="BodyEE"/>
      </w:pPr>
      <w:bookmarkStart w:id="290" w:name="_Hlk495509036"/>
      <w:r w:rsidRPr="00D13AF1">
        <w:t>[no regulation in place]</w:t>
      </w:r>
    </w:p>
    <w:p w14:paraId="0E2AD1B7" w14:textId="6ED9739A" w:rsidR="00C34CFE" w:rsidRPr="00D13AF1" w:rsidRDefault="00C34CFE" w:rsidP="00524B0E">
      <w:pPr>
        <w:pStyle w:val="Heading1"/>
        <w:ind w:left="709" w:hanging="714"/>
        <w:rPr>
          <w:color w:val="C64187" w:themeColor="accent2"/>
        </w:rPr>
      </w:pPr>
      <w:bookmarkStart w:id="291" w:name="_Toc504484206"/>
      <w:r w:rsidRPr="00D13AF1">
        <w:rPr>
          <w:color w:val="C64187" w:themeColor="accent2"/>
        </w:rPr>
        <w:lastRenderedPageBreak/>
        <w:t>Sweden</w:t>
      </w:r>
      <w:bookmarkEnd w:id="291"/>
      <w:r w:rsidRPr="00D13AF1">
        <w:rPr>
          <w:color w:val="C64187" w:themeColor="accent2"/>
        </w:rPr>
        <w:t xml:space="preserve"> </w:t>
      </w:r>
    </w:p>
    <w:p w14:paraId="5438D4C6" w14:textId="63283321" w:rsidR="00C34CFE" w:rsidRPr="00D13AF1" w:rsidRDefault="00C34CFE" w:rsidP="00466452">
      <w:pPr>
        <w:pStyle w:val="Heading2Pink"/>
      </w:pPr>
      <w:bookmarkStart w:id="292" w:name="_Toc504484207"/>
      <w:r w:rsidRPr="00D13AF1">
        <w:t>The National Board of Health and Welfare</w:t>
      </w:r>
      <w:r w:rsidR="00A668BA" w:rsidRPr="00D13AF1">
        <w:rPr>
          <w:rStyle w:val="FootnoteReference"/>
        </w:rPr>
        <w:footnoteReference w:id="166"/>
      </w:r>
      <w:bookmarkEnd w:id="292"/>
    </w:p>
    <w:p w14:paraId="3A71D755" w14:textId="70A0CF1A" w:rsidR="00C34CFE" w:rsidRPr="00D13AF1" w:rsidRDefault="00C34CFE" w:rsidP="00C34CFE">
      <w:pPr>
        <w:pStyle w:val="BodyEE"/>
      </w:pPr>
      <w:r w:rsidRPr="00D13AF1">
        <w:t>The National Board of Health and Welfare (</w:t>
      </w:r>
      <w:proofErr w:type="spellStart"/>
      <w:r w:rsidRPr="00D13AF1">
        <w:t>Socialstyrelsen</w:t>
      </w:r>
      <w:proofErr w:type="spellEnd"/>
      <w:r w:rsidRPr="00D13AF1">
        <w:t>) is a government agency in Sweden under the Ministry of Health and Social Affairs with a very wide range of activities and many different duties within the fields of social services, health and medical services, patient safety and epidemiology.</w:t>
      </w:r>
    </w:p>
    <w:p w14:paraId="3C5EA80D" w14:textId="68194AF1" w:rsidR="00C34CFE" w:rsidRPr="00D13AF1" w:rsidRDefault="00C34CFE" w:rsidP="00C34CFE">
      <w:pPr>
        <w:shd w:val="clear" w:color="auto" w:fill="FFFFFF"/>
        <w:tabs>
          <w:tab w:val="clear" w:pos="280"/>
          <w:tab w:val="clear" w:pos="4800"/>
          <w:tab w:val="clear" w:pos="5780"/>
        </w:tabs>
        <w:suppressAutoHyphens w:val="0"/>
        <w:autoSpaceDE/>
        <w:autoSpaceDN/>
        <w:adjustRightInd/>
        <w:spacing w:after="150" w:line="270" w:lineRule="atLeast"/>
        <w:jc w:val="left"/>
        <w:textAlignment w:val="auto"/>
        <w:rPr>
          <w:rFonts w:ascii="Gill Sans MT" w:eastAsia="Gill Sans MT" w:hAnsi="Gill Sans MT" w:cs="Times New Roman"/>
          <w:color w:val="38383A"/>
          <w:szCs w:val="60"/>
        </w:rPr>
      </w:pPr>
      <w:r w:rsidRPr="00D13AF1">
        <w:rPr>
          <w:rFonts w:ascii="Gill Sans MT" w:eastAsia="Gill Sans MT" w:hAnsi="Gill Sans MT" w:cs="Times New Roman"/>
          <w:color w:val="38383A"/>
          <w:szCs w:val="60"/>
        </w:rPr>
        <w:t xml:space="preserve">The majority of </w:t>
      </w:r>
      <w:r w:rsidR="007615DF">
        <w:rPr>
          <w:rFonts w:ascii="Gill Sans MT" w:eastAsia="Gill Sans MT" w:hAnsi="Gill Sans MT" w:cs="Times New Roman"/>
          <w:color w:val="38383A"/>
          <w:szCs w:val="60"/>
        </w:rPr>
        <w:t>their</w:t>
      </w:r>
      <w:r w:rsidRPr="00D13AF1">
        <w:rPr>
          <w:rFonts w:ascii="Gill Sans MT" w:eastAsia="Gill Sans MT" w:hAnsi="Gill Sans MT" w:cs="Times New Roman"/>
          <w:color w:val="38383A"/>
          <w:szCs w:val="60"/>
        </w:rPr>
        <w:t xml:space="preserve"> activities focus on staff, managers and decision-makers in the above</w:t>
      </w:r>
      <w:r w:rsidR="007615DF">
        <w:rPr>
          <w:rFonts w:ascii="Gill Sans MT" w:eastAsia="Gill Sans MT" w:hAnsi="Gill Sans MT" w:cs="Times New Roman"/>
          <w:color w:val="38383A"/>
          <w:szCs w:val="60"/>
        </w:rPr>
        <w:t xml:space="preserve"> </w:t>
      </w:r>
      <w:r w:rsidRPr="00D13AF1">
        <w:rPr>
          <w:rFonts w:ascii="Gill Sans MT" w:eastAsia="Gill Sans MT" w:hAnsi="Gill Sans MT" w:cs="Times New Roman"/>
          <w:color w:val="38383A"/>
          <w:szCs w:val="60"/>
        </w:rPr>
        <w:t>mentioned areas. The Board supports and exerts influence in many different ways:</w:t>
      </w:r>
    </w:p>
    <w:p w14:paraId="1661E234" w14:textId="531BBC00" w:rsidR="00C34CFE" w:rsidRPr="00D13AF1" w:rsidRDefault="002934DD" w:rsidP="00C34CFE">
      <w:pPr>
        <w:pStyle w:val="Bulletlevel1"/>
      </w:pPr>
      <w:r w:rsidRPr="00D13AF1">
        <w:t xml:space="preserve">It </w:t>
      </w:r>
      <w:r w:rsidR="00C34CFE" w:rsidRPr="00D13AF1">
        <w:t>collect</w:t>
      </w:r>
      <w:r w:rsidRPr="00D13AF1">
        <w:t>s</w:t>
      </w:r>
      <w:r w:rsidR="00C34CFE" w:rsidRPr="00D13AF1">
        <w:t>, compile</w:t>
      </w:r>
      <w:r w:rsidRPr="00D13AF1">
        <w:t>s</w:t>
      </w:r>
      <w:r w:rsidR="00C34CFE" w:rsidRPr="00D13AF1">
        <w:t>, analyse</w:t>
      </w:r>
      <w:r w:rsidRPr="00D13AF1">
        <w:t>s</w:t>
      </w:r>
      <w:r w:rsidR="00C34CFE" w:rsidRPr="00D13AF1">
        <w:t xml:space="preserve"> and pass</w:t>
      </w:r>
      <w:r w:rsidRPr="00D13AF1">
        <w:t>es</w:t>
      </w:r>
      <w:r w:rsidR="00C34CFE" w:rsidRPr="00D13AF1">
        <w:t xml:space="preserve"> on information.</w:t>
      </w:r>
    </w:p>
    <w:p w14:paraId="442F9272" w14:textId="5ECF93BC" w:rsidR="00C34CFE" w:rsidRPr="00D13AF1" w:rsidRDefault="002934DD" w:rsidP="00C34CFE">
      <w:pPr>
        <w:pStyle w:val="Bulletlevel1"/>
      </w:pPr>
      <w:r w:rsidRPr="00D13AF1">
        <w:t>It</w:t>
      </w:r>
      <w:r w:rsidR="00C34CFE" w:rsidRPr="00D13AF1">
        <w:t xml:space="preserve"> develop</w:t>
      </w:r>
      <w:r w:rsidRPr="00D13AF1">
        <w:t>s</w:t>
      </w:r>
      <w:r w:rsidR="00C34CFE" w:rsidRPr="00D13AF1">
        <w:t> standards based on legislation and the information collected.</w:t>
      </w:r>
    </w:p>
    <w:p w14:paraId="70120A09" w14:textId="414E1D8F" w:rsidR="00C34CFE" w:rsidRPr="00D13AF1" w:rsidRDefault="002934DD" w:rsidP="00C34CFE">
      <w:pPr>
        <w:pStyle w:val="Bulletlevel1"/>
      </w:pPr>
      <w:r w:rsidRPr="00D13AF1">
        <w:t>It</w:t>
      </w:r>
      <w:r w:rsidR="00C34CFE" w:rsidRPr="00D13AF1">
        <w:t xml:space="preserve"> also undertake</w:t>
      </w:r>
      <w:r w:rsidRPr="00D13AF1">
        <w:t>s</w:t>
      </w:r>
      <w:r w:rsidR="00C34CFE" w:rsidRPr="00D13AF1">
        <w:t xml:space="preserve"> other official duties such as maintaining health data registers and official statistics.</w:t>
      </w:r>
    </w:p>
    <w:p w14:paraId="67F81279" w14:textId="77777777" w:rsidR="00C34CFE" w:rsidRPr="00D13AF1" w:rsidRDefault="00C34CFE" w:rsidP="00C34CFE">
      <w:pPr>
        <w:pStyle w:val="Heading3Pink"/>
      </w:pPr>
      <w:r w:rsidRPr="00D13AF1">
        <w:t>Definition of telemedicine</w:t>
      </w:r>
    </w:p>
    <w:p w14:paraId="68F2CD77" w14:textId="6A7EFA6C" w:rsidR="00955B60" w:rsidRPr="00D13AF1" w:rsidRDefault="00955B60" w:rsidP="00955B60">
      <w:pPr>
        <w:pStyle w:val="BodyEE"/>
      </w:pPr>
      <w:r w:rsidRPr="00D13AF1">
        <w:t>This is usually the case when a physician or healthcare provider offers diagnosis and treatment on the Internet or through telephone applications.</w:t>
      </w:r>
    </w:p>
    <w:p w14:paraId="21D5217B" w14:textId="36B62157" w:rsidR="00955B60" w:rsidRPr="00D13AF1" w:rsidRDefault="00955B60" w:rsidP="00955B60">
      <w:pPr>
        <w:pStyle w:val="BodyEE"/>
      </w:pPr>
      <w:r w:rsidRPr="00D13AF1">
        <w:t xml:space="preserve">Examples of telemedicine providers: </w:t>
      </w:r>
      <w:hyperlink r:id="rId67" w:history="1">
        <w:r w:rsidR="009D62F2" w:rsidRPr="00D13AF1">
          <w:rPr>
            <w:rStyle w:val="Hyperlink"/>
          </w:rPr>
          <w:t>https://kry.se</w:t>
        </w:r>
      </w:hyperlink>
      <w:r w:rsidR="009D62F2" w:rsidRPr="00D13AF1">
        <w:t xml:space="preserve"> </w:t>
      </w:r>
      <w:r w:rsidRPr="00D13AF1">
        <w:t xml:space="preserve">, </w:t>
      </w:r>
      <w:hyperlink r:id="rId68" w:history="1">
        <w:r w:rsidR="00205CB5" w:rsidRPr="00D13AF1">
          <w:rPr>
            <w:rStyle w:val="Hyperlink"/>
          </w:rPr>
          <w:t>https://www.mindoktor.se/</w:t>
        </w:r>
      </w:hyperlink>
      <w:r w:rsidR="00524B0E" w:rsidRPr="00D13AF1">
        <w:t>.</w:t>
      </w:r>
      <w:r w:rsidR="00205CB5" w:rsidRPr="00D13AF1">
        <w:t xml:space="preserve"> </w:t>
      </w:r>
    </w:p>
    <w:p w14:paraId="4822A237" w14:textId="77777777" w:rsidR="00C34CFE" w:rsidRPr="00D13AF1" w:rsidRDefault="00C34CFE" w:rsidP="00C34CFE">
      <w:pPr>
        <w:pStyle w:val="Heading3Pink"/>
      </w:pPr>
      <w:r w:rsidRPr="00D13AF1">
        <w:t>Frameworks for telemedicine regulation</w:t>
      </w:r>
    </w:p>
    <w:p w14:paraId="5BF14DEE" w14:textId="234D44DA" w:rsidR="00955B60" w:rsidRPr="00D13AF1" w:rsidRDefault="00C34CFE" w:rsidP="00955B60">
      <w:pPr>
        <w:pStyle w:val="BodyEE"/>
      </w:pPr>
      <w:r w:rsidRPr="00D13AF1">
        <w:t xml:space="preserve">There are </w:t>
      </w:r>
      <w:r w:rsidR="00955B60" w:rsidRPr="00D13AF1">
        <w:t>several</w:t>
      </w:r>
      <w:r w:rsidRPr="00D13AF1">
        <w:t xml:space="preserve"> formal regulations regarding telemedicine. </w:t>
      </w:r>
    </w:p>
    <w:p w14:paraId="614D3E2B" w14:textId="77777777" w:rsidR="00955B60" w:rsidRPr="00D13AF1" w:rsidRDefault="00955B60" w:rsidP="00955B60">
      <w:pPr>
        <w:pStyle w:val="BodyEE"/>
      </w:pPr>
      <w:r w:rsidRPr="00D13AF1">
        <w:t xml:space="preserve">In Sweden, telemedicine may be performed only if an encrypted connection is established and the physician and recipients/patients can be identified in a safe and encrypted connection. The physician must also be able to make a correct diagnosis using the media. </w:t>
      </w:r>
    </w:p>
    <w:p w14:paraId="5347943A" w14:textId="118104E1" w:rsidR="00955B60" w:rsidRPr="00D13AF1" w:rsidRDefault="00955B60" w:rsidP="00955B60">
      <w:pPr>
        <w:pStyle w:val="BodyEE"/>
      </w:pPr>
      <w:r w:rsidRPr="00D13AF1">
        <w:t>The sender and receiver of the information must be verified by strong authentication (a two way verification). There is also a possibility to send a reminder of a booked visit to the physicians without encryption if nothing about the health issues is displayed or revealed and the patient has given his/her permission to do so.</w:t>
      </w:r>
    </w:p>
    <w:p w14:paraId="4E1559E0" w14:textId="77ED10D1" w:rsidR="00955B60" w:rsidRPr="00D13AF1" w:rsidRDefault="003B6B0F" w:rsidP="00955B60">
      <w:pPr>
        <w:pStyle w:val="BodyEE"/>
      </w:pPr>
      <w:r w:rsidRPr="00D13AF1">
        <w:t xml:space="preserve">In case of a positive diagnosis </w:t>
      </w:r>
      <w:r w:rsidR="00955B60" w:rsidRPr="00D13AF1">
        <w:t>of certain serious infectious diseases or sexually transmitted diseases,</w:t>
      </w:r>
      <w:r w:rsidRPr="00D13AF1">
        <w:t xml:space="preserve"> the laboratory which has conducted the analysis</w:t>
      </w:r>
      <w:r w:rsidR="00955B60" w:rsidRPr="00D13AF1">
        <w:t xml:space="preserve"> shall notify the Infectious Disease Control (no identification information, only the case) and send the patient to a physician for treatment and (if needed)</w:t>
      </w:r>
      <w:r w:rsidRPr="00D13AF1">
        <w:t xml:space="preserve"> his/her</w:t>
      </w:r>
      <w:r w:rsidR="00955B60" w:rsidRPr="00D13AF1">
        <w:t xml:space="preserve"> contact</w:t>
      </w:r>
      <w:r w:rsidRPr="00D13AF1">
        <w:t xml:space="preserve"> information</w:t>
      </w:r>
      <w:r w:rsidR="00955B60" w:rsidRPr="00D13AF1">
        <w:t>.</w:t>
      </w:r>
    </w:p>
    <w:p w14:paraId="224878FA" w14:textId="77777777" w:rsidR="003B6B0F" w:rsidRPr="00D13AF1" w:rsidRDefault="00955B60" w:rsidP="00955B60">
      <w:pPr>
        <w:pStyle w:val="BodyEE"/>
      </w:pPr>
      <w:r w:rsidRPr="00D13AF1">
        <w:t>There is also</w:t>
      </w:r>
      <w:r w:rsidR="003B6B0F" w:rsidRPr="00D13AF1">
        <w:t xml:space="preserve"> the possibility</w:t>
      </w:r>
      <w:r w:rsidRPr="00D13AF1">
        <w:t xml:space="preserve"> to send </w:t>
      </w:r>
      <w:r w:rsidR="003B6B0F" w:rsidRPr="00D13AF1">
        <w:t>via the i</w:t>
      </w:r>
      <w:r w:rsidRPr="00D13AF1">
        <w:t>nternet x-ray</w:t>
      </w:r>
      <w:r w:rsidR="003B6B0F" w:rsidRPr="00D13AF1">
        <w:t xml:space="preserve"> images to another</w:t>
      </w:r>
      <w:r w:rsidRPr="00D13AF1">
        <w:t xml:space="preserve"> </w:t>
      </w:r>
      <w:r w:rsidR="003B6B0F" w:rsidRPr="00D13AF1">
        <w:t>physicians</w:t>
      </w:r>
      <w:r w:rsidRPr="00D13AF1">
        <w:t xml:space="preserve"> </w:t>
      </w:r>
      <w:r w:rsidR="003B6B0F" w:rsidRPr="00D13AF1">
        <w:t>abroad</w:t>
      </w:r>
      <w:r w:rsidRPr="00D13AF1">
        <w:t xml:space="preserve"> for </w:t>
      </w:r>
      <w:r w:rsidR="003B6B0F" w:rsidRPr="00D13AF1">
        <w:t>diagnosis</w:t>
      </w:r>
      <w:r w:rsidRPr="00D13AF1">
        <w:t xml:space="preserve">. </w:t>
      </w:r>
    </w:p>
    <w:p w14:paraId="557FE458" w14:textId="181E9E35" w:rsidR="00955B60" w:rsidRPr="00D13AF1" w:rsidRDefault="00955B60" w:rsidP="00955B60">
      <w:pPr>
        <w:pStyle w:val="BodyEE"/>
      </w:pPr>
      <w:r w:rsidRPr="00D13AF1">
        <w:t xml:space="preserve">In one </w:t>
      </w:r>
      <w:r w:rsidR="003B6B0F" w:rsidRPr="00D13AF1">
        <w:t>case, the Supervisory Authority</w:t>
      </w:r>
      <w:r w:rsidRPr="00D13AF1">
        <w:t xml:space="preserve"> decided to criticise</w:t>
      </w:r>
      <w:r w:rsidR="003B6B0F" w:rsidRPr="00D13AF1">
        <w:t xml:space="preserve"> a</w:t>
      </w:r>
      <w:r w:rsidRPr="00D13AF1">
        <w:t xml:space="preserve"> </w:t>
      </w:r>
      <w:r w:rsidR="003B6B0F" w:rsidRPr="00D13AF1">
        <w:t>health care provider who sent</w:t>
      </w:r>
      <w:r w:rsidRPr="00D13AF1">
        <w:t xml:space="preserve"> x-ray images over</w:t>
      </w:r>
      <w:r w:rsidR="003B6B0F" w:rsidRPr="00D13AF1">
        <w:t xml:space="preserve"> the</w:t>
      </w:r>
      <w:r w:rsidRPr="00D13AF1">
        <w:t xml:space="preserve"> internet to</w:t>
      </w:r>
      <w:r w:rsidR="003B6B0F" w:rsidRPr="00D13AF1">
        <w:t xml:space="preserve"> a</w:t>
      </w:r>
      <w:r w:rsidRPr="00D13AF1">
        <w:t xml:space="preserve"> </w:t>
      </w:r>
      <w:r w:rsidR="003B6B0F" w:rsidRPr="00D13AF1">
        <w:t>radiologist in Spain. There were</w:t>
      </w:r>
      <w:r w:rsidRPr="00D13AF1">
        <w:t xml:space="preserve"> quality shortcomings</w:t>
      </w:r>
      <w:r w:rsidR="003B6B0F" w:rsidRPr="00D13AF1">
        <w:t xml:space="preserve"> to his work and</w:t>
      </w:r>
      <w:r w:rsidRPr="00D13AF1">
        <w:t xml:space="preserve"> </w:t>
      </w:r>
      <w:r w:rsidR="003B6B0F" w:rsidRPr="00D13AF1">
        <w:t>t</w:t>
      </w:r>
      <w:r w:rsidRPr="00D13AF1">
        <w:t>he prov</w:t>
      </w:r>
      <w:r w:rsidR="003B6B0F" w:rsidRPr="00D13AF1">
        <w:t>ider was criticized for not ensuring</w:t>
      </w:r>
      <w:r w:rsidRPr="00D13AF1">
        <w:t xml:space="preserve"> the quality </w:t>
      </w:r>
      <w:r w:rsidR="003B6B0F" w:rsidRPr="00D13AF1">
        <w:t xml:space="preserve">matched </w:t>
      </w:r>
      <w:r w:rsidRPr="00D13AF1">
        <w:t xml:space="preserve">Swedish regulations. </w:t>
      </w:r>
    </w:p>
    <w:p w14:paraId="04F88F9A" w14:textId="77777777" w:rsidR="00C34CFE" w:rsidRPr="00D13AF1" w:rsidRDefault="00C34CFE" w:rsidP="00C34CFE">
      <w:pPr>
        <w:pStyle w:val="Heading3Pink"/>
      </w:pPr>
      <w:r w:rsidRPr="00D13AF1">
        <w:t>Regulation of individual doctors who provide telemedicine services</w:t>
      </w:r>
    </w:p>
    <w:p w14:paraId="4863B4F8" w14:textId="21EF1CDF" w:rsidR="003B6B0F" w:rsidRPr="00D13AF1" w:rsidRDefault="003B6B0F" w:rsidP="003B6B0F">
      <w:pPr>
        <w:pStyle w:val="BodyEE"/>
      </w:pPr>
      <w:r w:rsidRPr="00D13AF1">
        <w:t xml:space="preserve">Regulations can be found on </w:t>
      </w:r>
      <w:hyperlink r:id="rId69" w:history="1">
        <w:r w:rsidR="00205CB5" w:rsidRPr="00D13AF1">
          <w:rPr>
            <w:rStyle w:val="Hyperlink"/>
          </w:rPr>
          <w:t>https://www.socialstyrelsen.se/Lists/Artikelkatalog/Attachments/20165/2016-4-44.pdf</w:t>
        </w:r>
      </w:hyperlink>
      <w:r w:rsidR="00205CB5" w:rsidRPr="00D13AF1">
        <w:t xml:space="preserve"> </w:t>
      </w:r>
      <w:r w:rsidRPr="00D13AF1">
        <w:t xml:space="preserve"> </w:t>
      </w:r>
      <w:r w:rsidR="00205CB5" w:rsidRPr="00D13AF1">
        <w:t xml:space="preserve"> </w:t>
      </w:r>
    </w:p>
    <w:p w14:paraId="5F4ABF73" w14:textId="77777777" w:rsidR="00C34CFE" w:rsidRPr="00D13AF1" w:rsidRDefault="00C34CFE" w:rsidP="00C34CFE">
      <w:pPr>
        <w:pStyle w:val="Heading3Pink"/>
      </w:pPr>
      <w:r w:rsidRPr="00D13AF1">
        <w:lastRenderedPageBreak/>
        <w:t>Cross-jurisdiction issues in telemedicine</w:t>
      </w:r>
    </w:p>
    <w:p w14:paraId="519F8847" w14:textId="478086B8" w:rsidR="00C34CFE" w:rsidRPr="00D13AF1" w:rsidRDefault="003B6B0F" w:rsidP="00C34CFE">
      <w:pPr>
        <w:pStyle w:val="BodyEE"/>
      </w:pPr>
      <w:r w:rsidRPr="00D13AF1">
        <w:t>[not mentioned</w:t>
      </w:r>
      <w:r w:rsidR="00C34CFE" w:rsidRPr="00D13AF1">
        <w:t>]</w:t>
      </w:r>
    </w:p>
    <w:p w14:paraId="3EAFA324" w14:textId="77777777" w:rsidR="0020091B" w:rsidRPr="00D13AF1" w:rsidRDefault="0020091B" w:rsidP="00524B0E">
      <w:pPr>
        <w:pStyle w:val="Heading1"/>
        <w:rPr>
          <w:color w:val="C64187" w:themeColor="accent2"/>
        </w:rPr>
      </w:pPr>
      <w:bookmarkStart w:id="293" w:name="_Toc504484208"/>
      <w:bookmarkEnd w:id="290"/>
      <w:r w:rsidRPr="00D13AF1">
        <w:rPr>
          <w:color w:val="C64187" w:themeColor="accent2"/>
        </w:rPr>
        <w:lastRenderedPageBreak/>
        <w:t>United Arab Emirates</w:t>
      </w:r>
      <w:bookmarkEnd w:id="293"/>
    </w:p>
    <w:p w14:paraId="7312691B" w14:textId="0429DCB4" w:rsidR="0020091B" w:rsidRPr="00D13AF1" w:rsidRDefault="0020091B" w:rsidP="0020091B">
      <w:pPr>
        <w:pStyle w:val="Heading2Pink"/>
      </w:pPr>
      <w:bookmarkStart w:id="294" w:name="_Toc504484209"/>
      <w:bookmarkStart w:id="295" w:name="_Hlk495507941"/>
      <w:r w:rsidRPr="00D13AF1">
        <w:t>Dubai Health Authority</w:t>
      </w:r>
      <w:r w:rsidR="00524B0E" w:rsidRPr="00D13AF1">
        <w:rPr>
          <w:vertAlign w:val="superscript"/>
        </w:rPr>
        <w:footnoteReference w:id="167"/>
      </w:r>
      <w:bookmarkEnd w:id="294"/>
    </w:p>
    <w:bookmarkEnd w:id="295"/>
    <w:p w14:paraId="2457172A" w14:textId="4431B5EA" w:rsidR="0020091B" w:rsidRPr="00D13AF1" w:rsidRDefault="003442DB" w:rsidP="0020091B">
      <w:pPr>
        <w:pStyle w:val="BodyEE"/>
      </w:pPr>
      <w:r w:rsidRPr="00D13AF1">
        <w:t>The Authority regulates</w:t>
      </w:r>
      <w:r w:rsidR="0020091B" w:rsidRPr="00D13AF1">
        <w:t xml:space="preserve"> </w:t>
      </w:r>
      <w:r w:rsidRPr="00D13AF1">
        <w:t>h</w:t>
      </w:r>
      <w:r w:rsidR="0020091B" w:rsidRPr="00D13AF1">
        <w:t>ealthcare providers</w:t>
      </w:r>
      <w:r w:rsidRPr="00D13AF1">
        <w:t xml:space="preserve">, </w:t>
      </w:r>
      <w:r w:rsidR="00524B0E" w:rsidRPr="00D13AF1">
        <w:t>h</w:t>
      </w:r>
      <w:r w:rsidRPr="00D13AF1">
        <w:t>ealthcare facilities as well as t</w:t>
      </w:r>
      <w:r w:rsidR="0020091B" w:rsidRPr="00D13AF1">
        <w:t>ele-health.</w:t>
      </w:r>
    </w:p>
    <w:p w14:paraId="3C205E88" w14:textId="77777777" w:rsidR="0020091B" w:rsidRPr="00D13AF1" w:rsidRDefault="0020091B" w:rsidP="0020091B">
      <w:pPr>
        <w:pStyle w:val="Heading3Pink"/>
      </w:pPr>
      <w:r w:rsidRPr="00D13AF1">
        <w:t>Definition of telemedicine</w:t>
      </w:r>
    </w:p>
    <w:p w14:paraId="40D74AB1" w14:textId="6198FA22" w:rsidR="0020091B" w:rsidRPr="00D13AF1" w:rsidRDefault="0020091B" w:rsidP="0020091B">
      <w:pPr>
        <w:pStyle w:val="BodyEE"/>
      </w:pPr>
      <w:bookmarkStart w:id="296" w:name="_Hlk495507950"/>
      <w:r w:rsidRPr="00D13AF1">
        <w:rPr>
          <w:rStyle w:val="EmphasisPinkChar"/>
        </w:rPr>
        <w:t>Telehealth</w:t>
      </w:r>
      <w:r w:rsidRPr="00D13AF1">
        <w:t xml:space="preserve">: Is the use and exchange </w:t>
      </w:r>
      <w:r w:rsidR="007615DF" w:rsidRPr="00D13AF1">
        <w:t>o</w:t>
      </w:r>
      <w:r w:rsidR="007615DF">
        <w:t>f</w:t>
      </w:r>
      <w:r w:rsidR="007615DF" w:rsidRPr="00D13AF1">
        <w:t xml:space="preserve"> </w:t>
      </w:r>
      <w:r w:rsidRPr="00D13AF1">
        <w:t>patients</w:t>
      </w:r>
      <w:r w:rsidR="007615DF">
        <w:t>’</w:t>
      </w:r>
      <w:r w:rsidRPr="00D13AF1">
        <w:t xml:space="preserve"> medical information from one side to another via the available electronic communications such as two-way video, email, smart phones, wireless tools and other forms of telecommunication technology to assess and evaluate the patient's health status and treatment. Telehealth includes a growing variety of applications and services, such as using video-conferencing, transmission of still images and other data, e-health including patient portals. Remote monitoring, continuing medical education, and medical call centres, are all considered to be part of telehealth.</w:t>
      </w:r>
    </w:p>
    <w:p w14:paraId="1E59467D" w14:textId="77777777" w:rsidR="0020091B" w:rsidRPr="00D13AF1" w:rsidRDefault="0020091B" w:rsidP="0020091B">
      <w:pPr>
        <w:pStyle w:val="BodyEE"/>
      </w:pPr>
      <w:r w:rsidRPr="00D13AF1">
        <w:rPr>
          <w:rStyle w:val="EmphasisPinkChar"/>
        </w:rPr>
        <w:t>Teleconsultation</w:t>
      </w:r>
      <w:r w:rsidRPr="00D13AF1">
        <w:t>:  Is the use of various secured health information technologies and telecommunications to support and leverage electronic communication between the Healthcare Professional and the Patient. Teleconsultation allows the Healthcare Professionals to support diagnosis, and provide medical consultation for treatment or to guide the patient to the health facilities that have the appropriate treatment or to obtain a second opinion, when required.</w:t>
      </w:r>
    </w:p>
    <w:bookmarkEnd w:id="296"/>
    <w:p w14:paraId="61F1E93F" w14:textId="77777777" w:rsidR="0020091B" w:rsidRPr="00D13AF1" w:rsidRDefault="0020091B" w:rsidP="0020091B">
      <w:pPr>
        <w:pStyle w:val="Heading3Pink"/>
      </w:pPr>
      <w:r w:rsidRPr="00D13AF1">
        <w:t>Frameworks for telemedicine regulation</w:t>
      </w:r>
    </w:p>
    <w:p w14:paraId="188E0CCD" w14:textId="6657D1A6" w:rsidR="0020091B" w:rsidRPr="00D13AF1" w:rsidRDefault="003442DB" w:rsidP="0020091B">
      <w:pPr>
        <w:pStyle w:val="BodyEE"/>
      </w:pPr>
      <w:r w:rsidRPr="00D13AF1">
        <w:t>The Authority has adopted formal regulations regarding telemedicine, which broadly fall under the following categories:</w:t>
      </w:r>
    </w:p>
    <w:p w14:paraId="07C0957E" w14:textId="03730BA9" w:rsidR="0020091B" w:rsidRPr="00D13AF1" w:rsidRDefault="00524B0E" w:rsidP="0020091B">
      <w:pPr>
        <w:pStyle w:val="Bulletlevel1"/>
      </w:pPr>
      <w:r w:rsidRPr="00D13AF1">
        <w:t>l</w:t>
      </w:r>
      <w:r w:rsidR="0020091B" w:rsidRPr="00D13AF1">
        <w:t>icensing and/or registration</w:t>
      </w:r>
      <w:r w:rsidRPr="00D13AF1">
        <w:t>;</w:t>
      </w:r>
    </w:p>
    <w:p w14:paraId="0233C8E9" w14:textId="753E3A3A" w:rsidR="0020091B" w:rsidRPr="00D13AF1" w:rsidRDefault="00524B0E" w:rsidP="0020091B">
      <w:pPr>
        <w:pStyle w:val="Bulletlevel1"/>
      </w:pPr>
      <w:r w:rsidRPr="00D13AF1">
        <w:t>q</w:t>
      </w:r>
      <w:r w:rsidR="0020091B" w:rsidRPr="00D13AF1">
        <w:t>ualifications and training, including continuing professional development</w:t>
      </w:r>
      <w:r w:rsidRPr="00D13AF1">
        <w:t>;</w:t>
      </w:r>
    </w:p>
    <w:p w14:paraId="17AF46B9" w14:textId="6B880D3B" w:rsidR="0020091B" w:rsidRPr="00D13AF1" w:rsidRDefault="00524B0E" w:rsidP="0020091B">
      <w:pPr>
        <w:pStyle w:val="Bulletlevel1"/>
      </w:pPr>
      <w:r w:rsidRPr="00D13AF1">
        <w:t>s</w:t>
      </w:r>
      <w:r w:rsidR="0020091B" w:rsidRPr="00D13AF1">
        <w:t>tandards of work</w:t>
      </w:r>
      <w:r w:rsidRPr="00D13AF1">
        <w:t>;</w:t>
      </w:r>
    </w:p>
    <w:p w14:paraId="3A38E3E7" w14:textId="55F8C887" w:rsidR="0020091B" w:rsidRPr="00D13AF1" w:rsidRDefault="00524B0E" w:rsidP="0020091B">
      <w:pPr>
        <w:pStyle w:val="Bulletlevel1"/>
      </w:pPr>
      <w:r w:rsidRPr="00D13AF1">
        <w:t>other: p</w:t>
      </w:r>
      <w:r w:rsidR="0020091B" w:rsidRPr="00D13AF1">
        <w:t>olicies.</w:t>
      </w:r>
    </w:p>
    <w:p w14:paraId="338BE458" w14:textId="77777777" w:rsidR="0020091B" w:rsidRPr="00D13AF1" w:rsidRDefault="0020091B" w:rsidP="0020091B">
      <w:pPr>
        <w:pStyle w:val="Heading3Pink"/>
      </w:pPr>
      <w:r w:rsidRPr="00D13AF1">
        <w:t>Regulation of individual doctors who provide telemedicine services</w:t>
      </w:r>
    </w:p>
    <w:p w14:paraId="2FF85F99" w14:textId="66782E79" w:rsidR="003442DB" w:rsidRPr="00D13AF1" w:rsidRDefault="003442DB" w:rsidP="003442DB">
      <w:pPr>
        <w:pStyle w:val="BodyEE"/>
        <w:rPr>
          <w:bdr w:val="none" w:sz="0" w:space="0" w:color="auto" w:frame="1"/>
          <w:lang w:eastAsia="en-GB"/>
        </w:rPr>
      </w:pPr>
      <w:r w:rsidRPr="00D13AF1">
        <w:rPr>
          <w:bdr w:val="none" w:sz="0" w:space="0" w:color="auto" w:frame="1"/>
          <w:lang w:eastAsia="en-GB"/>
        </w:rPr>
        <w:t>Physicians are regulated according to the following lines:</w:t>
      </w:r>
    </w:p>
    <w:p w14:paraId="18C3CC21" w14:textId="77777777" w:rsidR="0020091B" w:rsidRPr="00D13AF1" w:rsidRDefault="0020091B" w:rsidP="003F01D3">
      <w:pPr>
        <w:pStyle w:val="Bulletlevel1"/>
        <w:numPr>
          <w:ilvl w:val="0"/>
          <w:numId w:val="15"/>
        </w:numPr>
        <w:rPr>
          <w:bdr w:val="none" w:sz="0" w:space="0" w:color="auto" w:frame="1"/>
          <w:lang w:eastAsia="en-GB"/>
        </w:rPr>
      </w:pPr>
      <w:r w:rsidRPr="00D13AF1">
        <w:rPr>
          <w:bdr w:val="none" w:sz="0" w:space="0" w:color="auto" w:frame="1"/>
          <w:lang w:eastAsia="en-GB"/>
        </w:rPr>
        <w:t>Patient Assessment and Treatment Plan</w:t>
      </w:r>
    </w:p>
    <w:p w14:paraId="2A7ABE65" w14:textId="77777777" w:rsidR="0020091B" w:rsidRPr="00D13AF1" w:rsidRDefault="0020091B" w:rsidP="003F01D3">
      <w:pPr>
        <w:pStyle w:val="Bulletlevel1"/>
        <w:numPr>
          <w:ilvl w:val="0"/>
          <w:numId w:val="15"/>
        </w:numPr>
        <w:rPr>
          <w:bdr w:val="none" w:sz="0" w:space="0" w:color="auto" w:frame="1"/>
          <w:lang w:eastAsia="en-GB"/>
        </w:rPr>
      </w:pPr>
      <w:r w:rsidRPr="00D13AF1">
        <w:rPr>
          <w:bdr w:val="none" w:sz="0" w:space="0" w:color="auto" w:frame="1"/>
          <w:lang w:eastAsia="en-GB"/>
        </w:rPr>
        <w:t>Documentation to maintain patient information and health records</w:t>
      </w:r>
    </w:p>
    <w:p w14:paraId="41E6E934" w14:textId="77777777" w:rsidR="0020091B" w:rsidRPr="00D13AF1" w:rsidRDefault="0020091B" w:rsidP="003F01D3">
      <w:pPr>
        <w:pStyle w:val="Bulletlevel1"/>
        <w:numPr>
          <w:ilvl w:val="0"/>
          <w:numId w:val="15"/>
        </w:numPr>
        <w:rPr>
          <w:bdr w:val="none" w:sz="0" w:space="0" w:color="auto" w:frame="1"/>
          <w:lang w:eastAsia="en-GB"/>
        </w:rPr>
      </w:pPr>
      <w:r w:rsidRPr="00D13AF1">
        <w:rPr>
          <w:bdr w:val="none" w:sz="0" w:space="0" w:color="auto" w:frame="1"/>
          <w:lang w:eastAsia="en-GB"/>
        </w:rPr>
        <w:t>Continuity of care records</w:t>
      </w:r>
    </w:p>
    <w:p w14:paraId="528D58CA" w14:textId="77777777" w:rsidR="0020091B" w:rsidRPr="00D13AF1" w:rsidRDefault="0020091B" w:rsidP="003F01D3">
      <w:pPr>
        <w:pStyle w:val="Bulletlevel1"/>
        <w:numPr>
          <w:ilvl w:val="0"/>
          <w:numId w:val="15"/>
        </w:numPr>
        <w:rPr>
          <w:bdr w:val="none" w:sz="0" w:space="0" w:color="auto" w:frame="1"/>
          <w:lang w:eastAsia="en-GB"/>
        </w:rPr>
      </w:pPr>
      <w:r w:rsidRPr="00D13AF1">
        <w:rPr>
          <w:bdr w:val="none" w:sz="0" w:space="0" w:color="auto" w:frame="1"/>
          <w:lang w:eastAsia="en-GB"/>
        </w:rPr>
        <w:t>Patient consent</w:t>
      </w:r>
    </w:p>
    <w:p w14:paraId="1394229D" w14:textId="77777777" w:rsidR="0020091B" w:rsidRPr="00D13AF1" w:rsidRDefault="0020091B" w:rsidP="003F01D3">
      <w:pPr>
        <w:pStyle w:val="Bulletlevel1"/>
        <w:numPr>
          <w:ilvl w:val="0"/>
          <w:numId w:val="15"/>
        </w:numPr>
        <w:rPr>
          <w:bdr w:val="none" w:sz="0" w:space="0" w:color="auto" w:frame="1"/>
          <w:lang w:eastAsia="en-GB"/>
        </w:rPr>
      </w:pPr>
      <w:r w:rsidRPr="00D13AF1">
        <w:rPr>
          <w:bdr w:val="none" w:sz="0" w:space="0" w:color="auto" w:frame="1"/>
          <w:lang w:eastAsia="en-GB"/>
        </w:rPr>
        <w:t>Continuity of healthcare professional and admin staff development</w:t>
      </w:r>
    </w:p>
    <w:p w14:paraId="3500A3B9" w14:textId="77777777" w:rsidR="0020091B" w:rsidRPr="00D13AF1" w:rsidRDefault="0020091B" w:rsidP="003F01D3">
      <w:pPr>
        <w:pStyle w:val="Bulletlevel1"/>
        <w:numPr>
          <w:ilvl w:val="0"/>
          <w:numId w:val="15"/>
        </w:numPr>
        <w:rPr>
          <w:bdr w:val="none" w:sz="0" w:space="0" w:color="auto" w:frame="1"/>
          <w:lang w:eastAsia="en-GB"/>
        </w:rPr>
      </w:pPr>
      <w:r w:rsidRPr="00D13AF1">
        <w:rPr>
          <w:bdr w:val="none" w:sz="0" w:space="0" w:color="auto" w:frame="1"/>
          <w:lang w:eastAsia="en-GB"/>
        </w:rPr>
        <w:t>Data security - receiving, transmission and storage</w:t>
      </w:r>
    </w:p>
    <w:p w14:paraId="7495BD01" w14:textId="77777777" w:rsidR="0020091B" w:rsidRPr="00D13AF1" w:rsidRDefault="0020091B" w:rsidP="003F01D3">
      <w:pPr>
        <w:pStyle w:val="Bulletlevel1"/>
        <w:numPr>
          <w:ilvl w:val="0"/>
          <w:numId w:val="15"/>
        </w:numPr>
        <w:rPr>
          <w:bdr w:val="none" w:sz="0" w:space="0" w:color="auto" w:frame="1"/>
          <w:lang w:eastAsia="en-GB"/>
        </w:rPr>
      </w:pPr>
      <w:r w:rsidRPr="00D13AF1">
        <w:rPr>
          <w:bdr w:val="none" w:sz="0" w:space="0" w:color="auto" w:frame="1"/>
          <w:lang w:eastAsia="en-GB"/>
        </w:rPr>
        <w:t>Patient referral</w:t>
      </w:r>
    </w:p>
    <w:p w14:paraId="2F80D689" w14:textId="77777777" w:rsidR="0020091B" w:rsidRPr="00D13AF1" w:rsidRDefault="0020091B" w:rsidP="003F01D3">
      <w:pPr>
        <w:pStyle w:val="Bulletlevel1"/>
        <w:numPr>
          <w:ilvl w:val="0"/>
          <w:numId w:val="15"/>
        </w:numPr>
        <w:rPr>
          <w:bdr w:val="none" w:sz="0" w:space="0" w:color="auto" w:frame="1"/>
          <w:lang w:eastAsia="en-GB"/>
        </w:rPr>
      </w:pPr>
      <w:r w:rsidRPr="00D13AF1">
        <w:rPr>
          <w:bdr w:val="none" w:sz="0" w:space="0" w:color="auto" w:frame="1"/>
          <w:lang w:eastAsia="en-GB"/>
        </w:rPr>
        <w:t>Quality improvement and performance management</w:t>
      </w:r>
    </w:p>
    <w:p w14:paraId="7CB31351" w14:textId="77777777" w:rsidR="0020091B" w:rsidRPr="00D13AF1" w:rsidRDefault="0020091B" w:rsidP="003F01D3">
      <w:pPr>
        <w:pStyle w:val="Bulletlevel1"/>
        <w:numPr>
          <w:ilvl w:val="0"/>
          <w:numId w:val="15"/>
        </w:numPr>
        <w:rPr>
          <w:bdr w:val="none" w:sz="0" w:space="0" w:color="auto" w:frame="1"/>
          <w:lang w:eastAsia="en-GB"/>
        </w:rPr>
      </w:pPr>
      <w:r w:rsidRPr="00D13AF1">
        <w:rPr>
          <w:bdr w:val="none" w:sz="0" w:space="0" w:color="auto" w:frame="1"/>
          <w:lang w:eastAsia="en-GB"/>
        </w:rPr>
        <w:t>Business continuity plan</w:t>
      </w:r>
    </w:p>
    <w:p w14:paraId="7CF90A8D" w14:textId="77777777" w:rsidR="0020091B" w:rsidRPr="00D13AF1" w:rsidRDefault="0020091B" w:rsidP="003F01D3">
      <w:pPr>
        <w:pStyle w:val="Bulletlevel1"/>
        <w:numPr>
          <w:ilvl w:val="0"/>
          <w:numId w:val="15"/>
        </w:numPr>
      </w:pPr>
      <w:r w:rsidRPr="00D13AF1">
        <w:rPr>
          <w:bdr w:val="none" w:sz="0" w:space="0" w:color="auto" w:frame="1"/>
          <w:lang w:eastAsia="en-GB"/>
        </w:rPr>
        <w:t xml:space="preserve">Accreditation </w:t>
      </w:r>
    </w:p>
    <w:p w14:paraId="7916B470" w14:textId="77777777" w:rsidR="0020091B" w:rsidRPr="00D13AF1" w:rsidRDefault="0020091B" w:rsidP="0020091B">
      <w:pPr>
        <w:pStyle w:val="Heading3Pink"/>
      </w:pPr>
      <w:r w:rsidRPr="00D13AF1">
        <w:lastRenderedPageBreak/>
        <w:t>Cross-jurisdiction issues in telemedicine</w:t>
      </w:r>
    </w:p>
    <w:p w14:paraId="77151835" w14:textId="77777777" w:rsidR="0020091B" w:rsidRPr="00D13AF1" w:rsidRDefault="0020091B" w:rsidP="0020091B">
      <w:pPr>
        <w:pStyle w:val="BodyEE"/>
      </w:pPr>
      <w:bookmarkStart w:id="297" w:name="_Hlk495509050"/>
      <w:r w:rsidRPr="00D13AF1">
        <w:t>[not mentioned in the survey]</w:t>
      </w:r>
    </w:p>
    <w:bookmarkEnd w:id="297"/>
    <w:p w14:paraId="7ED2803B" w14:textId="77777777" w:rsidR="00B65F49" w:rsidRPr="00D13AF1" w:rsidRDefault="00B65F49" w:rsidP="00255B2F">
      <w:pPr>
        <w:pStyle w:val="BodyEE"/>
        <w:sectPr w:rsidR="00B65F49" w:rsidRPr="00D13AF1" w:rsidSect="00547CDF">
          <w:pgSz w:w="11906" w:h="16838"/>
          <w:pgMar w:top="1701" w:right="1134" w:bottom="1134" w:left="1134" w:header="567" w:footer="397" w:gutter="0"/>
          <w:cols w:space="708"/>
          <w:titlePg/>
          <w:docGrid w:linePitch="360"/>
        </w:sectPr>
      </w:pPr>
    </w:p>
    <w:p w14:paraId="6499C080" w14:textId="05463F06" w:rsidR="0047730D" w:rsidRPr="00D13AF1" w:rsidRDefault="006802E4" w:rsidP="006802E4">
      <w:pPr>
        <w:pStyle w:val="BodyEE"/>
      </w:pPr>
      <w:r w:rsidRPr="00D13AF1">
        <w:rPr>
          <w:rStyle w:val="SectionDividerChar"/>
          <w:noProof/>
          <w:color w:val="18416A" w:themeColor="accent5"/>
          <w:lang w:eastAsia="en-GB"/>
        </w:rPr>
        <w:lastRenderedPageBreak/>
        <w:drawing>
          <wp:anchor distT="0" distB="0" distL="114300" distR="114300" simplePos="0" relativeHeight="251661312" behindDoc="1" locked="0" layoutInCell="1" allowOverlap="1" wp14:anchorId="72EC8904" wp14:editId="5425CE23">
            <wp:simplePos x="0" y="0"/>
            <wp:positionH relativeFrom="page">
              <wp:align>left</wp:align>
            </wp:positionH>
            <wp:positionV relativeFrom="outsideMargin">
              <wp:align>top</wp:align>
            </wp:positionV>
            <wp:extent cx="7563600" cy="10692666"/>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 - CL copy.jpg"/>
                    <pic:cNvPicPr/>
                  </pic:nvPicPr>
                  <pic:blipFill>
                    <a:blip r:embed="rId70">
                      <a:extLst>
                        <a:ext uri="{28A0092B-C50C-407E-A947-70E740481C1C}">
                          <a14:useLocalDpi xmlns:a14="http://schemas.microsoft.com/office/drawing/2010/main" val="0"/>
                        </a:ext>
                      </a:extLst>
                    </a:blip>
                    <a:stretch>
                      <a:fillRect/>
                    </a:stretch>
                  </pic:blipFill>
                  <pic:spPr>
                    <a:xfrm>
                      <a:off x="0" y="0"/>
                      <a:ext cx="7563600" cy="10692666"/>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7730D" w:rsidRPr="00D13AF1" w:rsidSect="00524B0E">
      <w:headerReference w:type="default" r:id="rId71"/>
      <w:headerReference w:type="first" r:id="rId72"/>
      <w:pgSz w:w="11906" w:h="16838"/>
      <w:pgMar w:top="9923" w:right="1134" w:bottom="1134" w:left="1134"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5BEC27" w14:textId="77777777" w:rsidR="00233FBE" w:rsidRDefault="00233FBE" w:rsidP="00FF276D">
      <w:pPr>
        <w:spacing w:line="240" w:lineRule="auto"/>
      </w:pPr>
      <w:r>
        <w:separator/>
      </w:r>
    </w:p>
  </w:endnote>
  <w:endnote w:type="continuationSeparator" w:id="0">
    <w:p w14:paraId="53FE4027" w14:textId="77777777" w:rsidR="00233FBE" w:rsidRDefault="00233FBE" w:rsidP="00FF27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Times Regular">
    <w:altName w:val="Arial Unicode MS"/>
    <w:panose1 w:val="00000000000000000000"/>
    <w:charset w:val="81"/>
    <w:family w:val="auto"/>
    <w:notTrueType/>
    <w:pitch w:val="default"/>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56E6F" w14:textId="24C9FFE3" w:rsidR="00300867" w:rsidRPr="00FF276D" w:rsidRDefault="00300867" w:rsidP="007A0087">
    <w:pPr>
      <w:pStyle w:val="Footer"/>
      <w:jc w:val="center"/>
      <w:rPr>
        <w:rFonts w:asciiTheme="majorHAnsi" w:hAnsiTheme="majorHAnsi"/>
        <w:sz w:val="20"/>
        <w:szCs w:val="20"/>
      </w:rPr>
    </w:pPr>
    <w:r>
      <w:rPr>
        <w:rFonts w:asciiTheme="majorHAnsi" w:eastAsiaTheme="majorEastAsia" w:hAnsiTheme="majorHAnsi" w:cstheme="majorBidi"/>
        <w:sz w:val="20"/>
        <w:szCs w:val="20"/>
      </w:rPr>
      <w:t>-</w:t>
    </w:r>
    <w:r w:rsidRPr="00FF276D">
      <w:rPr>
        <w:rFonts w:asciiTheme="majorHAnsi" w:eastAsiaTheme="majorEastAsia" w:hAnsiTheme="majorHAnsi" w:cstheme="majorBidi"/>
        <w:sz w:val="20"/>
        <w:szCs w:val="20"/>
      </w:rPr>
      <w:t xml:space="preserve"> </w:t>
    </w:r>
    <w:r w:rsidRPr="00FF276D">
      <w:rPr>
        <w:rFonts w:asciiTheme="majorHAnsi" w:eastAsiaTheme="minorEastAsia" w:hAnsiTheme="majorHAnsi" w:cstheme="minorBidi"/>
        <w:sz w:val="20"/>
        <w:szCs w:val="20"/>
      </w:rPr>
      <w:fldChar w:fldCharType="begin"/>
    </w:r>
    <w:r w:rsidRPr="00FF276D">
      <w:rPr>
        <w:rFonts w:asciiTheme="majorHAnsi" w:hAnsiTheme="majorHAnsi"/>
        <w:sz w:val="20"/>
        <w:szCs w:val="20"/>
      </w:rPr>
      <w:instrText xml:space="preserve"> PAGE    \* MERGEFORMAT </w:instrText>
    </w:r>
    <w:r w:rsidRPr="00FF276D">
      <w:rPr>
        <w:rFonts w:asciiTheme="majorHAnsi" w:eastAsiaTheme="minorEastAsia" w:hAnsiTheme="majorHAnsi" w:cstheme="minorBidi"/>
        <w:sz w:val="20"/>
        <w:szCs w:val="20"/>
      </w:rPr>
      <w:fldChar w:fldCharType="separate"/>
    </w:r>
    <w:r w:rsidR="008C3723" w:rsidRPr="008C3723">
      <w:rPr>
        <w:rFonts w:asciiTheme="majorHAnsi" w:eastAsiaTheme="majorEastAsia" w:hAnsiTheme="majorHAnsi" w:cstheme="majorBidi"/>
        <w:noProof/>
        <w:sz w:val="20"/>
        <w:szCs w:val="20"/>
      </w:rPr>
      <w:t>37</w:t>
    </w:r>
    <w:r w:rsidRPr="00FF276D">
      <w:rPr>
        <w:rFonts w:asciiTheme="majorHAnsi" w:eastAsiaTheme="majorEastAsia" w:hAnsiTheme="majorHAnsi" w:cstheme="majorBidi"/>
        <w:sz w:val="20"/>
        <w:szCs w:val="20"/>
      </w:rPr>
      <w:fldChar w:fldCharType="end"/>
    </w:r>
    <w:r w:rsidRPr="00FF276D">
      <w:rPr>
        <w:rFonts w:asciiTheme="majorHAnsi" w:eastAsiaTheme="majorEastAsia" w:hAnsiTheme="majorHAnsi" w:cstheme="majorBidi"/>
        <w:sz w:val="20"/>
        <w:szCs w:val="20"/>
      </w:rPr>
      <w:t xml:space="preserve"> </w:t>
    </w:r>
    <w:r>
      <w:rPr>
        <w:rFonts w:asciiTheme="majorHAnsi" w:eastAsiaTheme="majorEastAsia" w:hAnsiTheme="majorHAnsi" w:cstheme="majorBidi"/>
        <w:sz w:val="20"/>
        <w:szCs w:val="20"/>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8BB9B" w14:textId="5756924C" w:rsidR="00300867" w:rsidRPr="00775F06" w:rsidRDefault="00300867" w:rsidP="00775F06">
    <w:pPr>
      <w:pStyle w:val="Footer"/>
      <w:jc w:val="center"/>
      <w:rPr>
        <w:rFonts w:asciiTheme="majorHAnsi" w:hAnsiTheme="majorHAnsi"/>
        <w:sz w:val="20"/>
        <w:szCs w:val="20"/>
      </w:rPr>
    </w:pPr>
    <w:r>
      <w:rPr>
        <w:rFonts w:asciiTheme="majorHAnsi" w:eastAsiaTheme="majorEastAsia" w:hAnsiTheme="majorHAnsi" w:cstheme="majorBidi"/>
        <w:sz w:val="20"/>
        <w:szCs w:val="20"/>
      </w:rPr>
      <w:t>-</w:t>
    </w:r>
    <w:r w:rsidRPr="00FF276D">
      <w:rPr>
        <w:rFonts w:asciiTheme="majorHAnsi" w:eastAsiaTheme="majorEastAsia" w:hAnsiTheme="majorHAnsi" w:cstheme="majorBidi"/>
        <w:sz w:val="20"/>
        <w:szCs w:val="20"/>
      </w:rPr>
      <w:t xml:space="preserve"> </w:t>
    </w:r>
    <w:r w:rsidRPr="00FF276D">
      <w:rPr>
        <w:rFonts w:asciiTheme="majorHAnsi" w:eastAsiaTheme="minorEastAsia" w:hAnsiTheme="majorHAnsi" w:cstheme="minorBidi"/>
        <w:sz w:val="20"/>
        <w:szCs w:val="20"/>
      </w:rPr>
      <w:fldChar w:fldCharType="begin"/>
    </w:r>
    <w:r w:rsidRPr="00FF276D">
      <w:rPr>
        <w:rFonts w:asciiTheme="majorHAnsi" w:hAnsiTheme="majorHAnsi"/>
        <w:sz w:val="20"/>
        <w:szCs w:val="20"/>
      </w:rPr>
      <w:instrText xml:space="preserve"> PAGE    \* MERGEFORMAT </w:instrText>
    </w:r>
    <w:r w:rsidRPr="00FF276D">
      <w:rPr>
        <w:rFonts w:asciiTheme="majorHAnsi" w:eastAsiaTheme="minorEastAsia" w:hAnsiTheme="majorHAnsi" w:cstheme="minorBidi"/>
        <w:sz w:val="20"/>
        <w:szCs w:val="20"/>
      </w:rPr>
      <w:fldChar w:fldCharType="separate"/>
    </w:r>
    <w:r w:rsidR="008C3723" w:rsidRPr="008C3723">
      <w:rPr>
        <w:rFonts w:asciiTheme="majorHAnsi" w:eastAsiaTheme="majorEastAsia" w:hAnsiTheme="majorHAnsi" w:cstheme="majorBidi"/>
        <w:noProof/>
        <w:sz w:val="20"/>
        <w:szCs w:val="20"/>
      </w:rPr>
      <w:t>38</w:t>
    </w:r>
    <w:r w:rsidRPr="00FF276D">
      <w:rPr>
        <w:rFonts w:asciiTheme="majorHAnsi" w:eastAsiaTheme="majorEastAsia" w:hAnsiTheme="majorHAnsi" w:cstheme="majorBidi"/>
        <w:sz w:val="20"/>
        <w:szCs w:val="20"/>
      </w:rPr>
      <w:fldChar w:fldCharType="end"/>
    </w:r>
    <w:r w:rsidRPr="00FF276D">
      <w:rPr>
        <w:rFonts w:asciiTheme="majorHAnsi" w:eastAsiaTheme="majorEastAsia" w:hAnsiTheme="majorHAnsi" w:cstheme="majorBidi"/>
        <w:sz w:val="20"/>
        <w:szCs w:val="20"/>
      </w:rPr>
      <w:t xml:space="preserve"> </w:t>
    </w:r>
    <w:r>
      <w:rPr>
        <w:rFonts w:asciiTheme="majorHAnsi" w:eastAsiaTheme="majorEastAsia" w:hAnsiTheme="majorHAnsi" w:cstheme="majorBidi"/>
        <w:sz w:val="20"/>
        <w:szCs w:val="20"/>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37EAA" w14:textId="4B5B5F39" w:rsidR="00300867" w:rsidRPr="001C2464" w:rsidRDefault="00300867" w:rsidP="001C2464">
    <w:pPr>
      <w:pStyle w:val="Footer"/>
      <w:jc w:val="center"/>
      <w:rPr>
        <w:rFonts w:asciiTheme="majorHAnsi" w:hAnsiTheme="majorHAnsi"/>
        <w:sz w:val="20"/>
        <w:szCs w:val="20"/>
      </w:rPr>
    </w:pPr>
    <w:r>
      <w:rPr>
        <w:rFonts w:asciiTheme="majorHAnsi" w:eastAsiaTheme="majorEastAsia" w:hAnsiTheme="majorHAnsi" w:cstheme="majorBidi"/>
        <w:sz w:val="20"/>
        <w:szCs w:val="20"/>
      </w:rPr>
      <w:t>-</w:t>
    </w:r>
    <w:r w:rsidRPr="00FF276D">
      <w:rPr>
        <w:rFonts w:asciiTheme="majorHAnsi" w:eastAsiaTheme="majorEastAsia" w:hAnsiTheme="majorHAnsi" w:cstheme="majorBidi"/>
        <w:sz w:val="20"/>
        <w:szCs w:val="20"/>
      </w:rPr>
      <w:t xml:space="preserve"> </w:t>
    </w:r>
    <w:r w:rsidRPr="00FF276D">
      <w:rPr>
        <w:rFonts w:asciiTheme="majorHAnsi" w:eastAsiaTheme="minorEastAsia" w:hAnsiTheme="majorHAnsi" w:cstheme="minorBidi"/>
        <w:sz w:val="20"/>
        <w:szCs w:val="20"/>
      </w:rPr>
      <w:fldChar w:fldCharType="begin"/>
    </w:r>
    <w:r w:rsidRPr="00FF276D">
      <w:rPr>
        <w:rFonts w:asciiTheme="majorHAnsi" w:hAnsiTheme="majorHAnsi"/>
        <w:sz w:val="20"/>
        <w:szCs w:val="20"/>
      </w:rPr>
      <w:instrText xml:space="preserve"> PAGE    \* MERGEFORMAT </w:instrText>
    </w:r>
    <w:r w:rsidRPr="00FF276D">
      <w:rPr>
        <w:rFonts w:asciiTheme="majorHAnsi" w:eastAsiaTheme="minorEastAsia" w:hAnsiTheme="majorHAnsi" w:cstheme="minorBidi"/>
        <w:sz w:val="20"/>
        <w:szCs w:val="20"/>
      </w:rPr>
      <w:fldChar w:fldCharType="separate"/>
    </w:r>
    <w:r w:rsidR="008C3723" w:rsidRPr="008C3723">
      <w:rPr>
        <w:rFonts w:asciiTheme="majorHAnsi" w:eastAsiaTheme="majorEastAsia" w:hAnsiTheme="majorHAnsi" w:cstheme="majorBidi"/>
        <w:noProof/>
        <w:sz w:val="20"/>
        <w:szCs w:val="20"/>
      </w:rPr>
      <w:t>44</w:t>
    </w:r>
    <w:r w:rsidRPr="00FF276D">
      <w:rPr>
        <w:rFonts w:asciiTheme="majorHAnsi" w:eastAsiaTheme="majorEastAsia" w:hAnsiTheme="majorHAnsi" w:cstheme="majorBidi"/>
        <w:sz w:val="20"/>
        <w:szCs w:val="20"/>
      </w:rPr>
      <w:fldChar w:fldCharType="end"/>
    </w:r>
    <w:r w:rsidRPr="00FF276D">
      <w:rPr>
        <w:rFonts w:asciiTheme="majorHAnsi" w:eastAsiaTheme="majorEastAsia" w:hAnsiTheme="majorHAnsi" w:cstheme="majorBidi"/>
        <w:sz w:val="20"/>
        <w:szCs w:val="20"/>
      </w:rPr>
      <w:t xml:space="preserve"> </w:t>
    </w:r>
    <w:r>
      <w:rPr>
        <w:rFonts w:asciiTheme="majorHAnsi" w:eastAsiaTheme="majorEastAsia" w:hAnsiTheme="majorHAnsi" w:cstheme="majorBidi"/>
        <w:sz w:val="20"/>
        <w:szCs w:val="20"/>
      </w:rPr>
      <w:t>-</w:t>
    </w:r>
    <w:r w:rsidRPr="006672B4">
      <w:rPr>
        <w:noProof/>
        <w:lang w:eastAsia="en-GB"/>
      </w:rPr>
      <w:drawing>
        <wp:anchor distT="0" distB="0" distL="114300" distR="114300" simplePos="0" relativeHeight="251653120" behindDoc="1" locked="1" layoutInCell="1" allowOverlap="1" wp14:anchorId="462FCA2D" wp14:editId="7E1B1D9F">
          <wp:simplePos x="0" y="0"/>
          <wp:positionH relativeFrom="page">
            <wp:posOffset>4436110</wp:posOffset>
          </wp:positionH>
          <wp:positionV relativeFrom="page">
            <wp:posOffset>7640955</wp:posOffset>
          </wp:positionV>
          <wp:extent cx="3265170" cy="3192780"/>
          <wp:effectExtent l="0" t="0" r="0" b="76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grey.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65170" cy="319278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AB867" w14:textId="33E91BF3" w:rsidR="00300867" w:rsidRPr="001C2464" w:rsidRDefault="00300867" w:rsidP="001C2464">
    <w:pPr>
      <w:pStyle w:val="Footer"/>
      <w:jc w:val="center"/>
      <w:rPr>
        <w:rFonts w:asciiTheme="majorHAnsi" w:hAnsiTheme="majorHAnsi"/>
        <w:sz w:val="20"/>
        <w:szCs w:val="20"/>
      </w:rPr>
    </w:pPr>
    <w:r>
      <w:rPr>
        <w:rFonts w:asciiTheme="majorHAnsi" w:eastAsiaTheme="majorEastAsia" w:hAnsiTheme="majorHAnsi" w:cstheme="majorBidi"/>
        <w:sz w:val="20"/>
        <w:szCs w:val="20"/>
      </w:rPr>
      <w:t>-</w:t>
    </w:r>
    <w:r w:rsidRPr="00FF276D">
      <w:rPr>
        <w:rFonts w:asciiTheme="majorHAnsi" w:eastAsiaTheme="majorEastAsia" w:hAnsiTheme="majorHAnsi" w:cstheme="majorBidi"/>
        <w:sz w:val="20"/>
        <w:szCs w:val="20"/>
      </w:rPr>
      <w:t xml:space="preserve"> </w:t>
    </w:r>
    <w:r w:rsidRPr="00FF276D">
      <w:rPr>
        <w:rFonts w:asciiTheme="majorHAnsi" w:eastAsiaTheme="minorEastAsia" w:hAnsiTheme="majorHAnsi" w:cstheme="minorBidi"/>
        <w:sz w:val="20"/>
        <w:szCs w:val="20"/>
      </w:rPr>
      <w:fldChar w:fldCharType="begin"/>
    </w:r>
    <w:r w:rsidRPr="00FF276D">
      <w:rPr>
        <w:rFonts w:asciiTheme="majorHAnsi" w:hAnsiTheme="majorHAnsi"/>
        <w:sz w:val="20"/>
        <w:szCs w:val="20"/>
      </w:rPr>
      <w:instrText xml:space="preserve"> PAGE    \* MERGEFORMAT </w:instrText>
    </w:r>
    <w:r w:rsidRPr="00FF276D">
      <w:rPr>
        <w:rFonts w:asciiTheme="majorHAnsi" w:eastAsiaTheme="minorEastAsia" w:hAnsiTheme="majorHAnsi" w:cstheme="minorBidi"/>
        <w:sz w:val="20"/>
        <w:szCs w:val="20"/>
      </w:rPr>
      <w:fldChar w:fldCharType="separate"/>
    </w:r>
    <w:r w:rsidR="008C3723" w:rsidRPr="008C3723">
      <w:rPr>
        <w:rFonts w:asciiTheme="majorHAnsi" w:eastAsiaTheme="majorEastAsia" w:hAnsiTheme="majorHAnsi" w:cstheme="majorBidi"/>
        <w:noProof/>
        <w:sz w:val="20"/>
        <w:szCs w:val="20"/>
      </w:rPr>
      <w:t>52</w:t>
    </w:r>
    <w:r w:rsidRPr="00FF276D">
      <w:rPr>
        <w:rFonts w:asciiTheme="majorHAnsi" w:eastAsiaTheme="majorEastAsia" w:hAnsiTheme="majorHAnsi" w:cstheme="majorBidi"/>
        <w:sz w:val="20"/>
        <w:szCs w:val="20"/>
      </w:rPr>
      <w:fldChar w:fldCharType="end"/>
    </w:r>
    <w:r w:rsidRPr="00FF276D">
      <w:rPr>
        <w:rFonts w:asciiTheme="majorHAnsi" w:eastAsiaTheme="majorEastAsia" w:hAnsiTheme="majorHAnsi" w:cstheme="majorBidi"/>
        <w:sz w:val="20"/>
        <w:szCs w:val="20"/>
      </w:rPr>
      <w:t xml:space="preserve"> </w:t>
    </w:r>
    <w:r>
      <w:rPr>
        <w:rFonts w:asciiTheme="majorHAnsi" w:eastAsiaTheme="majorEastAsia" w:hAnsiTheme="majorHAnsi" w:cstheme="majorBidi"/>
        <w:sz w:val="20"/>
        <w:szCs w:val="20"/>
      </w:rPr>
      <w:t>-</w:t>
    </w:r>
    <w:r w:rsidRPr="006672B4">
      <w:rPr>
        <w:noProof/>
        <w:lang w:eastAsia="en-GB"/>
      </w:rPr>
      <w:drawing>
        <wp:anchor distT="0" distB="0" distL="114300" distR="114300" simplePos="0" relativeHeight="251663360" behindDoc="1" locked="1" layoutInCell="1" allowOverlap="1" wp14:anchorId="63963B4A" wp14:editId="5135516F">
          <wp:simplePos x="0" y="0"/>
          <wp:positionH relativeFrom="page">
            <wp:posOffset>4436110</wp:posOffset>
          </wp:positionH>
          <wp:positionV relativeFrom="page">
            <wp:posOffset>7640955</wp:posOffset>
          </wp:positionV>
          <wp:extent cx="3265170" cy="3192780"/>
          <wp:effectExtent l="0" t="0" r="0" b="762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grey.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65170" cy="3192780"/>
                  </a:xfrm>
                  <a:prstGeom prst="rect">
                    <a:avLst/>
                  </a:prstGeom>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1531A" w14:textId="6F6CA98C" w:rsidR="00300867" w:rsidRPr="001C2464" w:rsidRDefault="00300867" w:rsidP="001C2464">
    <w:pPr>
      <w:pStyle w:val="Footer"/>
      <w:jc w:val="center"/>
      <w:rPr>
        <w:rFonts w:asciiTheme="majorHAnsi" w:hAnsiTheme="majorHAnsi"/>
        <w:sz w:val="20"/>
        <w:szCs w:val="20"/>
      </w:rPr>
    </w:pPr>
    <w:r>
      <w:rPr>
        <w:rFonts w:asciiTheme="majorHAnsi" w:eastAsiaTheme="majorEastAsia" w:hAnsiTheme="majorHAnsi" w:cstheme="majorBidi"/>
        <w:sz w:val="20"/>
        <w:szCs w:val="20"/>
      </w:rPr>
      <w:t>-</w:t>
    </w:r>
    <w:r w:rsidRPr="00FF276D">
      <w:rPr>
        <w:rFonts w:asciiTheme="majorHAnsi" w:eastAsiaTheme="majorEastAsia" w:hAnsiTheme="majorHAnsi" w:cstheme="majorBidi"/>
        <w:sz w:val="20"/>
        <w:szCs w:val="20"/>
      </w:rPr>
      <w:t xml:space="preserve"> </w:t>
    </w:r>
    <w:r w:rsidRPr="00FF276D">
      <w:rPr>
        <w:rFonts w:asciiTheme="majorHAnsi" w:eastAsiaTheme="minorEastAsia" w:hAnsiTheme="majorHAnsi" w:cstheme="minorBidi"/>
        <w:sz w:val="20"/>
        <w:szCs w:val="20"/>
      </w:rPr>
      <w:fldChar w:fldCharType="begin"/>
    </w:r>
    <w:r w:rsidRPr="00FF276D">
      <w:rPr>
        <w:rFonts w:asciiTheme="majorHAnsi" w:hAnsiTheme="majorHAnsi"/>
        <w:sz w:val="20"/>
        <w:szCs w:val="20"/>
      </w:rPr>
      <w:instrText xml:space="preserve"> PAGE    \* MERGEFORMAT </w:instrText>
    </w:r>
    <w:r w:rsidRPr="00FF276D">
      <w:rPr>
        <w:rFonts w:asciiTheme="majorHAnsi" w:eastAsiaTheme="minorEastAsia" w:hAnsiTheme="majorHAnsi" w:cstheme="minorBidi"/>
        <w:sz w:val="20"/>
        <w:szCs w:val="20"/>
      </w:rPr>
      <w:fldChar w:fldCharType="separate"/>
    </w:r>
    <w:r w:rsidR="008C3723" w:rsidRPr="008C3723">
      <w:rPr>
        <w:rFonts w:asciiTheme="majorHAnsi" w:eastAsiaTheme="majorEastAsia" w:hAnsiTheme="majorHAnsi" w:cstheme="majorBidi"/>
        <w:noProof/>
        <w:sz w:val="20"/>
        <w:szCs w:val="20"/>
      </w:rPr>
      <w:t>118</w:t>
    </w:r>
    <w:r w:rsidRPr="00FF276D">
      <w:rPr>
        <w:rFonts w:asciiTheme="majorHAnsi" w:eastAsiaTheme="majorEastAsia" w:hAnsiTheme="majorHAnsi" w:cstheme="majorBidi"/>
        <w:sz w:val="20"/>
        <w:szCs w:val="20"/>
      </w:rPr>
      <w:fldChar w:fldCharType="end"/>
    </w:r>
    <w:r w:rsidRPr="00FF276D">
      <w:rPr>
        <w:rFonts w:asciiTheme="majorHAnsi" w:eastAsiaTheme="majorEastAsia" w:hAnsiTheme="majorHAnsi" w:cstheme="majorBidi"/>
        <w:sz w:val="20"/>
        <w:szCs w:val="20"/>
      </w:rPr>
      <w:t xml:space="preserve"> </w:t>
    </w:r>
    <w:r>
      <w:rPr>
        <w:rFonts w:asciiTheme="majorHAnsi" w:eastAsiaTheme="majorEastAsia" w:hAnsiTheme="majorHAnsi" w:cstheme="majorBidi"/>
        <w:sz w:val="20"/>
        <w:szCs w:val="20"/>
      </w:rPr>
      <w:t>-</w:t>
    </w:r>
    <w:r w:rsidRPr="006672B4">
      <w:rPr>
        <w:noProof/>
        <w:lang w:eastAsia="en-GB"/>
      </w:rPr>
      <w:drawing>
        <wp:anchor distT="0" distB="0" distL="114300" distR="114300" simplePos="0" relativeHeight="251661312" behindDoc="1" locked="1" layoutInCell="1" allowOverlap="1" wp14:anchorId="06E97920" wp14:editId="5E3B8615">
          <wp:simplePos x="0" y="0"/>
          <wp:positionH relativeFrom="page">
            <wp:posOffset>4436110</wp:posOffset>
          </wp:positionH>
          <wp:positionV relativeFrom="page">
            <wp:posOffset>7640955</wp:posOffset>
          </wp:positionV>
          <wp:extent cx="3265170" cy="3192780"/>
          <wp:effectExtent l="0" t="0" r="0" b="76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grey.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65170" cy="319278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AC36F" w14:textId="77777777" w:rsidR="00233FBE" w:rsidRDefault="00233FBE" w:rsidP="00FF276D">
      <w:pPr>
        <w:spacing w:line="240" w:lineRule="auto"/>
      </w:pPr>
      <w:r>
        <w:separator/>
      </w:r>
    </w:p>
  </w:footnote>
  <w:footnote w:type="continuationSeparator" w:id="0">
    <w:p w14:paraId="41DA6C48" w14:textId="77777777" w:rsidR="00233FBE" w:rsidRDefault="00233FBE" w:rsidP="00FF276D">
      <w:pPr>
        <w:spacing w:line="240" w:lineRule="auto"/>
      </w:pPr>
      <w:r>
        <w:continuationSeparator/>
      </w:r>
    </w:p>
  </w:footnote>
  <w:footnote w:id="1">
    <w:p w14:paraId="0CABB00C" w14:textId="5A4B20EE" w:rsidR="00300867" w:rsidRPr="0037697D" w:rsidRDefault="00300867" w:rsidP="005C2B38">
      <w:pPr>
        <w:pStyle w:val="FootnoteText"/>
      </w:pPr>
      <w:r w:rsidRPr="0037697D">
        <w:rPr>
          <w:rStyle w:val="FootnoteReference"/>
        </w:rPr>
        <w:footnoteRef/>
      </w:r>
      <w:r w:rsidRPr="0037697D">
        <w:t xml:space="preserve"> </w:t>
      </w:r>
      <w:r w:rsidRPr="0037697D">
        <w:tab/>
        <w:t xml:space="preserve">However, where relevant we explore the interactions between providers/systems and individuals’ professional requirements. </w:t>
      </w:r>
    </w:p>
  </w:footnote>
  <w:footnote w:id="2">
    <w:p w14:paraId="318D6891" w14:textId="06A284C7" w:rsidR="00300867" w:rsidRPr="0037697D" w:rsidRDefault="00300867" w:rsidP="002C4C1E">
      <w:pPr>
        <w:pStyle w:val="FootnoteText"/>
        <w:ind w:right="-143"/>
      </w:pPr>
      <w:r w:rsidRPr="0037697D">
        <w:rPr>
          <w:rStyle w:val="FootnoteReference"/>
        </w:rPr>
        <w:footnoteRef/>
      </w:r>
      <w:r w:rsidRPr="0037697D">
        <w:t xml:space="preserve"> </w:t>
      </w:r>
      <w:r w:rsidRPr="0037697D">
        <w:tab/>
      </w:r>
      <w:hyperlink r:id="rId1" w:history="1">
        <w:proofErr w:type="spellStart"/>
        <w:r w:rsidRPr="0037697D">
          <w:rPr>
            <w:rStyle w:val="Hyperlink"/>
            <w:color w:val="38383A" w:themeColor="text2"/>
            <w:u w:val="none"/>
          </w:rPr>
          <w:t>eVisit</w:t>
        </w:r>
        <w:proofErr w:type="spellEnd"/>
        <w:r w:rsidRPr="0037697D">
          <w:rPr>
            <w:rStyle w:val="Hyperlink"/>
            <w:color w:val="38383A" w:themeColor="text2"/>
            <w:u w:val="none"/>
          </w:rPr>
          <w:t xml:space="preserve"> “Telemedicine Guide”</w:t>
        </w:r>
      </w:hyperlink>
      <w:r w:rsidRPr="0037697D">
        <w:t>.</w:t>
      </w:r>
    </w:p>
  </w:footnote>
  <w:footnote w:id="3">
    <w:p w14:paraId="18F162F6" w14:textId="23CC7C18" w:rsidR="00300867" w:rsidRPr="0037697D" w:rsidRDefault="00300867" w:rsidP="005C2B38">
      <w:pPr>
        <w:pStyle w:val="FootnoteText"/>
      </w:pPr>
      <w:r w:rsidRPr="0037697D">
        <w:rPr>
          <w:rStyle w:val="FootnoteReference"/>
        </w:rPr>
        <w:footnoteRef/>
      </w:r>
      <w:r w:rsidRPr="0037697D">
        <w:t xml:space="preserve"> </w:t>
      </w:r>
      <w:r w:rsidRPr="0037697D">
        <w:tab/>
      </w:r>
      <w:hyperlink r:id="rId2" w:history="1">
        <w:r w:rsidRPr="0037697D">
          <w:rPr>
            <w:rStyle w:val="Hyperlink"/>
            <w:color w:val="38383A" w:themeColor="text2"/>
            <w:u w:val="none"/>
          </w:rPr>
          <w:t>Beck, Melinda (2016, June 26) "How Telemedicine Is Transforming Health Care." Wall Street Journal</w:t>
        </w:r>
      </w:hyperlink>
      <w:r w:rsidRPr="0037697D">
        <w:t>.</w:t>
      </w:r>
    </w:p>
  </w:footnote>
  <w:footnote w:id="4">
    <w:p w14:paraId="7F6E3A80" w14:textId="76C1683A" w:rsidR="00300867" w:rsidRPr="0037697D" w:rsidRDefault="00300867" w:rsidP="005C2B38">
      <w:pPr>
        <w:pStyle w:val="FootnoteText"/>
      </w:pPr>
      <w:r w:rsidRPr="0037697D">
        <w:rPr>
          <w:rStyle w:val="FootnoteReference"/>
        </w:rPr>
        <w:footnoteRef/>
      </w:r>
      <w:r w:rsidRPr="0037697D">
        <w:t xml:space="preserve"> </w:t>
      </w:r>
      <w:r w:rsidRPr="0037697D">
        <w:tab/>
      </w:r>
      <w:hyperlink r:id="rId3" w:history="1">
        <w:r w:rsidRPr="0037697D">
          <w:rPr>
            <w:rStyle w:val="Hyperlink"/>
            <w:color w:val="38383A" w:themeColor="text2"/>
            <w:u w:val="none"/>
          </w:rPr>
          <w:t>CDW Healthcare "The History of Telemedicine"</w:t>
        </w:r>
      </w:hyperlink>
      <w:r w:rsidRPr="0037697D">
        <w:t>.</w:t>
      </w:r>
    </w:p>
  </w:footnote>
  <w:footnote w:id="5">
    <w:p w14:paraId="42C7371D" w14:textId="77777777" w:rsidR="00300867" w:rsidRPr="0037697D" w:rsidRDefault="00300867" w:rsidP="005C2B38">
      <w:pPr>
        <w:pStyle w:val="FootnoteText"/>
      </w:pPr>
      <w:r w:rsidRPr="0037697D">
        <w:rPr>
          <w:rStyle w:val="FootnoteReference"/>
        </w:rPr>
        <w:footnoteRef/>
      </w:r>
      <w:r w:rsidRPr="0037697D">
        <w:t xml:space="preserve"> </w:t>
      </w:r>
      <w:r w:rsidRPr="0037697D">
        <w:tab/>
        <w:t>For example — in the case of patients in an intensive care unit — doctors can monitor the patient through video and call in a nurse if the patient needs care. Also, after a surgery, a patient can have follow up exams and check-ups done using telemedicine.</w:t>
      </w:r>
    </w:p>
  </w:footnote>
  <w:footnote w:id="6">
    <w:p w14:paraId="6F9A1BB0" w14:textId="19BB5B9A" w:rsidR="00300867" w:rsidRPr="0037697D" w:rsidRDefault="00300867" w:rsidP="005C2B38">
      <w:pPr>
        <w:pStyle w:val="FootnoteText"/>
      </w:pPr>
      <w:r w:rsidRPr="0037697D">
        <w:rPr>
          <w:rStyle w:val="FootnoteReference"/>
        </w:rPr>
        <w:footnoteRef/>
      </w:r>
      <w:r w:rsidRPr="0037697D">
        <w:t xml:space="preserve"> </w:t>
      </w:r>
      <w:r w:rsidRPr="0037697D">
        <w:tab/>
      </w:r>
      <w:hyperlink r:id="rId4" w:history="1">
        <w:r w:rsidRPr="0037697D">
          <w:rPr>
            <w:rStyle w:val="Hyperlink"/>
            <w:color w:val="38383A" w:themeColor="text2"/>
            <w:u w:val="none"/>
          </w:rPr>
          <w:t>Lewis, Tim (2016, October 2) “The doctor will see you now… on your smartphone.” The Guardian</w:t>
        </w:r>
      </w:hyperlink>
      <w:r w:rsidRPr="0037697D">
        <w:t>.</w:t>
      </w:r>
    </w:p>
  </w:footnote>
  <w:footnote w:id="7">
    <w:p w14:paraId="06252C12" w14:textId="47EA3ABC" w:rsidR="00300867" w:rsidRPr="009A116C" w:rsidRDefault="00300867">
      <w:pPr>
        <w:pStyle w:val="FootnoteText"/>
      </w:pPr>
      <w:r w:rsidRPr="0037697D">
        <w:rPr>
          <w:rStyle w:val="FootnoteReference"/>
        </w:rPr>
        <w:footnoteRef/>
      </w:r>
      <w:r w:rsidRPr="0037697D">
        <w:t xml:space="preserve"> </w:t>
      </w:r>
      <w:r w:rsidRPr="0037697D">
        <w:tab/>
      </w:r>
      <w:hyperlink r:id="rId5" w:history="1">
        <w:proofErr w:type="spellStart"/>
        <w:r w:rsidRPr="0037697D">
          <w:rPr>
            <w:rStyle w:val="Hyperlink"/>
            <w:color w:val="38383A" w:themeColor="text2"/>
            <w:u w:val="none"/>
          </w:rPr>
          <w:t>Glauser</w:t>
        </w:r>
        <w:proofErr w:type="spellEnd"/>
        <w:r w:rsidRPr="0037697D">
          <w:rPr>
            <w:rStyle w:val="Hyperlink"/>
            <w:color w:val="38383A" w:themeColor="text2"/>
            <w:u w:val="none"/>
          </w:rPr>
          <w:t xml:space="preserve">, Wendy, Nolan, Michael &amp; </w:t>
        </w:r>
        <w:proofErr w:type="spellStart"/>
        <w:r w:rsidRPr="0037697D">
          <w:rPr>
            <w:rStyle w:val="Hyperlink"/>
            <w:color w:val="38383A" w:themeColor="text2"/>
            <w:u w:val="none"/>
          </w:rPr>
          <w:t>Remfry</w:t>
        </w:r>
        <w:proofErr w:type="spellEnd"/>
        <w:r w:rsidRPr="0037697D">
          <w:rPr>
            <w:rStyle w:val="Hyperlink"/>
            <w:color w:val="38383A" w:themeColor="text2"/>
            <w:u w:val="none"/>
          </w:rPr>
          <w:t>, Andrew (2015, June 25) "Telemedicine on the rise across Canada." Healthy Debate</w:t>
        </w:r>
      </w:hyperlink>
      <w:r>
        <w:t>.</w:t>
      </w:r>
    </w:p>
  </w:footnote>
  <w:footnote w:id="8">
    <w:p w14:paraId="5B186F33" w14:textId="09C1DB35" w:rsidR="00300867" w:rsidRPr="0037697D" w:rsidRDefault="00300867" w:rsidP="007B3CDA">
      <w:pPr>
        <w:pStyle w:val="FootnoteText"/>
        <w:ind w:right="-143"/>
      </w:pPr>
      <w:r w:rsidRPr="0037697D">
        <w:rPr>
          <w:rStyle w:val="FootnoteReference"/>
        </w:rPr>
        <w:footnoteRef/>
      </w:r>
      <w:r w:rsidRPr="0037697D">
        <w:t xml:space="preserve"> </w:t>
      </w:r>
      <w:r w:rsidRPr="0037697D">
        <w:tab/>
      </w:r>
      <w:hyperlink r:id="rId6" w:history="1">
        <w:proofErr w:type="spellStart"/>
        <w:r w:rsidRPr="0037697D">
          <w:rPr>
            <w:rStyle w:val="Hyperlink"/>
            <w:color w:val="38383A" w:themeColor="text2"/>
            <w:u w:val="none"/>
          </w:rPr>
          <w:t>eVisit</w:t>
        </w:r>
        <w:proofErr w:type="spellEnd"/>
        <w:r w:rsidRPr="0037697D">
          <w:rPr>
            <w:rStyle w:val="Hyperlink"/>
            <w:color w:val="38383A" w:themeColor="text2"/>
            <w:u w:val="none"/>
          </w:rPr>
          <w:t xml:space="preserve"> “Telemedicine Guide”</w:t>
        </w:r>
      </w:hyperlink>
      <w:r w:rsidRPr="0037697D">
        <w:t>.</w:t>
      </w:r>
    </w:p>
  </w:footnote>
  <w:footnote w:id="9">
    <w:p w14:paraId="536EEE5D" w14:textId="7290D1F4" w:rsidR="00300867" w:rsidRPr="0037697D" w:rsidRDefault="00300867" w:rsidP="005C2B38">
      <w:pPr>
        <w:pStyle w:val="FootnoteText"/>
      </w:pPr>
      <w:r w:rsidRPr="0037697D">
        <w:rPr>
          <w:rStyle w:val="FootnoteReference"/>
        </w:rPr>
        <w:footnoteRef/>
      </w:r>
      <w:r w:rsidRPr="0037697D">
        <w:t xml:space="preserve"> </w:t>
      </w:r>
      <w:r w:rsidRPr="0037697D">
        <w:tab/>
      </w:r>
      <w:hyperlink r:id="rId7" w:history="1">
        <w:r w:rsidRPr="0037697D">
          <w:rPr>
            <w:rStyle w:val="Hyperlink"/>
            <w:color w:val="38383A" w:themeColor="text2"/>
            <w:u w:val="none"/>
          </w:rPr>
          <w:t>Lewis, Tim (2016, October 2) “The doctor will see you now… on your smartphone.” The Guardian</w:t>
        </w:r>
      </w:hyperlink>
      <w:r w:rsidRPr="0037697D">
        <w:t>.</w:t>
      </w:r>
    </w:p>
  </w:footnote>
  <w:footnote w:id="10">
    <w:p w14:paraId="645A06A3" w14:textId="4DF07565" w:rsidR="00300867" w:rsidRDefault="00300867">
      <w:pPr>
        <w:pStyle w:val="FootnoteText"/>
      </w:pPr>
      <w:r>
        <w:rPr>
          <w:rStyle w:val="FootnoteReference"/>
        </w:rPr>
        <w:footnoteRef/>
      </w:r>
      <w:r>
        <w:t xml:space="preserve"> </w:t>
      </w:r>
      <w:r>
        <w:tab/>
        <w:t>Dawson, Dr Kate (March 1, 2017) “</w:t>
      </w:r>
      <w:r w:rsidRPr="004D5388">
        <w:t>GP’s view: prescribing to remote patients in the Outer Hebrides</w:t>
      </w:r>
      <w:r>
        <w:t xml:space="preserve">.” </w:t>
      </w:r>
      <w:r w:rsidRPr="00D24915">
        <w:rPr>
          <w:i/>
        </w:rPr>
        <w:t>GMC UK Blog</w:t>
      </w:r>
      <w:r>
        <w:t>.</w:t>
      </w:r>
    </w:p>
  </w:footnote>
  <w:footnote w:id="11">
    <w:p w14:paraId="61BB42C5" w14:textId="2192FB9E" w:rsidR="00300867" w:rsidRPr="0037697D" w:rsidRDefault="00300867" w:rsidP="005C2B38">
      <w:pPr>
        <w:pStyle w:val="FootnoteText"/>
      </w:pPr>
      <w:r w:rsidRPr="0037697D">
        <w:rPr>
          <w:rStyle w:val="FootnoteReference"/>
        </w:rPr>
        <w:footnoteRef/>
      </w:r>
      <w:r w:rsidRPr="0037697D">
        <w:t xml:space="preserve"> </w:t>
      </w:r>
      <w:r w:rsidRPr="0037697D">
        <w:tab/>
      </w:r>
      <w:hyperlink r:id="rId8" w:history="1">
        <w:r w:rsidRPr="0037697D">
          <w:rPr>
            <w:rStyle w:val="Hyperlink"/>
            <w:color w:val="38383A" w:themeColor="text2"/>
            <w:u w:val="none"/>
          </w:rPr>
          <w:t>Gallagher, Paul (2017, Match 30) "GPs will consult nursing home residents using Skype." iNews</w:t>
        </w:r>
      </w:hyperlink>
      <w:r w:rsidRPr="0037697D">
        <w:t>.</w:t>
      </w:r>
    </w:p>
  </w:footnote>
  <w:footnote w:id="12">
    <w:p w14:paraId="67FD695D" w14:textId="57FA7C2D" w:rsidR="00300867" w:rsidRPr="0037697D" w:rsidRDefault="00300867" w:rsidP="005C2B38">
      <w:pPr>
        <w:pStyle w:val="FootnoteText"/>
      </w:pPr>
      <w:r w:rsidRPr="0037697D">
        <w:rPr>
          <w:rStyle w:val="FootnoteReference"/>
        </w:rPr>
        <w:footnoteRef/>
      </w:r>
      <w:r w:rsidRPr="0037697D">
        <w:t xml:space="preserve"> </w:t>
      </w:r>
      <w:r w:rsidRPr="0037697D">
        <w:tab/>
      </w:r>
      <w:hyperlink r:id="rId9" w:history="1">
        <w:r w:rsidRPr="0037697D">
          <w:rPr>
            <w:rStyle w:val="Hyperlink"/>
            <w:color w:val="38383A" w:themeColor="text2"/>
            <w:u w:val="none"/>
          </w:rPr>
          <w:t>Jamieson, Sophie (2017, July 17) "999 callers assessed by Skype instead of being sent ambulance." The Telegraph</w:t>
        </w:r>
      </w:hyperlink>
      <w:r w:rsidRPr="0037697D">
        <w:t>.</w:t>
      </w:r>
    </w:p>
  </w:footnote>
  <w:footnote w:id="13">
    <w:p w14:paraId="1AA5AF42" w14:textId="705B89B7" w:rsidR="00300867" w:rsidRDefault="00300867">
      <w:pPr>
        <w:pStyle w:val="FootnoteText"/>
      </w:pPr>
      <w:r>
        <w:rPr>
          <w:rStyle w:val="FootnoteReference"/>
        </w:rPr>
        <w:footnoteRef/>
      </w:r>
      <w:r>
        <w:t xml:space="preserve"> </w:t>
      </w:r>
      <w:r>
        <w:tab/>
        <w:t xml:space="preserve">The Department for Health and the Department for </w:t>
      </w:r>
      <w:proofErr w:type="spellStart"/>
      <w:r>
        <w:t>Internationa</w:t>
      </w:r>
      <w:proofErr w:type="spellEnd"/>
      <w:r>
        <w:t xml:space="preserve"> Trade “</w:t>
      </w:r>
      <w:r w:rsidRPr="006802A8">
        <w:t>The UK: your partner for clinical services</w:t>
      </w:r>
      <w:r>
        <w:t xml:space="preserve">” </w:t>
      </w:r>
      <w:hyperlink r:id="rId10" w:history="1">
        <w:r w:rsidRPr="00580759">
          <w:rPr>
            <w:rStyle w:val="Hyperlink"/>
          </w:rPr>
          <w:t>https://www.gov.uk/government/publications/the-uk-your-partner-for-clinical-services/the-uk-your-partner-for-clinical-services</w:t>
        </w:r>
      </w:hyperlink>
      <w:r>
        <w:t xml:space="preserve"> </w:t>
      </w:r>
    </w:p>
  </w:footnote>
  <w:footnote w:id="14">
    <w:p w14:paraId="5CD42FFC" w14:textId="04F654F1" w:rsidR="00300867" w:rsidRPr="0037697D" w:rsidRDefault="00300867" w:rsidP="002F0379">
      <w:pPr>
        <w:pStyle w:val="Footnote"/>
      </w:pPr>
      <w:r w:rsidRPr="0037697D">
        <w:rPr>
          <w:rStyle w:val="FootnoteReference"/>
        </w:rPr>
        <w:footnoteRef/>
      </w:r>
      <w:r w:rsidRPr="0037697D">
        <w:t xml:space="preserve"> </w:t>
      </w:r>
      <w:r w:rsidRPr="0037697D">
        <w:tab/>
      </w:r>
      <w:hyperlink r:id="rId11" w:history="1">
        <w:r w:rsidRPr="0037697D">
          <w:rPr>
            <w:rStyle w:val="Hyperlink"/>
            <w:color w:val="38383A" w:themeColor="text2"/>
            <w:u w:val="none"/>
          </w:rPr>
          <w:t>NHS England, "Airedale and partners"</w:t>
        </w:r>
      </w:hyperlink>
      <w:r w:rsidRPr="0037697D">
        <w:t>.</w:t>
      </w:r>
    </w:p>
  </w:footnote>
  <w:footnote w:id="15">
    <w:p w14:paraId="7FC000E7" w14:textId="01DF617B" w:rsidR="00300867" w:rsidRPr="0037697D" w:rsidRDefault="00300867" w:rsidP="007B3CDA">
      <w:pPr>
        <w:pStyle w:val="FootnoteText"/>
        <w:jc w:val="left"/>
      </w:pPr>
      <w:r w:rsidRPr="0037697D">
        <w:rPr>
          <w:rStyle w:val="FootnoteReference"/>
        </w:rPr>
        <w:footnoteRef/>
      </w:r>
      <w:r w:rsidRPr="0037697D">
        <w:t xml:space="preserve"> </w:t>
      </w:r>
      <w:r w:rsidRPr="0037697D">
        <w:tab/>
      </w:r>
      <w:hyperlink r:id="rId12" w:history="1">
        <w:r w:rsidRPr="00E73E70">
          <w:rPr>
            <w:rStyle w:val="Hyperlink"/>
            <w:color w:val="000000" w:themeColor="text1"/>
            <w:u w:val="none"/>
          </w:rPr>
          <w:t xml:space="preserve">Danish Agency for Digitisation </w:t>
        </w:r>
        <w:proofErr w:type="spellStart"/>
        <w:r w:rsidRPr="00E73E70">
          <w:rPr>
            <w:rStyle w:val="Hyperlink"/>
            <w:color w:val="000000" w:themeColor="text1"/>
            <w:u w:val="none"/>
          </w:rPr>
          <w:t>Digitaliseringsstyrelsen</w:t>
        </w:r>
        <w:proofErr w:type="spellEnd"/>
        <w:r w:rsidRPr="00E73E70">
          <w:rPr>
            <w:rStyle w:val="Hyperlink"/>
            <w:color w:val="000000" w:themeColor="text1"/>
            <w:u w:val="none"/>
          </w:rPr>
          <w:t>) (2016, March 17) "Denmark - a frontrunner in telemedicine in Scandinavia."</w:t>
        </w:r>
      </w:hyperlink>
    </w:p>
  </w:footnote>
  <w:footnote w:id="16">
    <w:p w14:paraId="03EFA23F" w14:textId="025ADFEE" w:rsidR="00300867" w:rsidRPr="0037697D" w:rsidRDefault="00300867" w:rsidP="005C2B38">
      <w:pPr>
        <w:pStyle w:val="FootnoteText"/>
      </w:pPr>
      <w:r w:rsidRPr="0037697D">
        <w:rPr>
          <w:rStyle w:val="FootnoteReference"/>
        </w:rPr>
        <w:footnoteRef/>
      </w:r>
      <w:r w:rsidRPr="0037697D">
        <w:t xml:space="preserve"> </w:t>
      </w:r>
      <w:r w:rsidRPr="0037697D">
        <w:tab/>
      </w:r>
      <w:hyperlink r:id="rId13" w:history="1">
        <w:proofErr w:type="spellStart"/>
        <w:r w:rsidRPr="0037697D">
          <w:rPr>
            <w:rStyle w:val="Hyperlink"/>
            <w:color w:val="38383A" w:themeColor="text2"/>
            <w:u w:val="none"/>
          </w:rPr>
          <w:t>Senthilingam</w:t>
        </w:r>
        <w:proofErr w:type="spellEnd"/>
        <w:r w:rsidRPr="0037697D">
          <w:rPr>
            <w:rStyle w:val="Hyperlink"/>
            <w:color w:val="38383A" w:themeColor="text2"/>
            <w:u w:val="none"/>
          </w:rPr>
          <w:t>, Meera and Stevens, Andrew (2016, September 20) "The doctor will not see you now: How Singapore is pioneering telemedicine." The CNN International Edition</w:t>
        </w:r>
      </w:hyperlink>
      <w:r w:rsidRPr="0037697D">
        <w:t>.</w:t>
      </w:r>
    </w:p>
  </w:footnote>
  <w:footnote w:id="17">
    <w:p w14:paraId="1B2FF5F9" w14:textId="6DD93E5F" w:rsidR="00300867" w:rsidRPr="0037697D" w:rsidRDefault="00300867" w:rsidP="006968A2">
      <w:pPr>
        <w:pStyle w:val="FootnoteText"/>
        <w:jc w:val="left"/>
      </w:pPr>
      <w:r w:rsidRPr="0037697D">
        <w:rPr>
          <w:rStyle w:val="FootnoteReference"/>
        </w:rPr>
        <w:footnoteRef/>
      </w:r>
      <w:r w:rsidRPr="0037697D">
        <w:t xml:space="preserve"> </w:t>
      </w:r>
      <w:r w:rsidRPr="0037697D">
        <w:tab/>
      </w:r>
      <w:hyperlink r:id="rId14" w:history="1">
        <w:proofErr w:type="spellStart"/>
        <w:r w:rsidRPr="0037697D">
          <w:rPr>
            <w:rStyle w:val="Hyperlink"/>
            <w:color w:val="38383A" w:themeColor="text2"/>
            <w:u w:val="none"/>
          </w:rPr>
          <w:t>Parsell</w:t>
        </w:r>
        <w:proofErr w:type="spellEnd"/>
        <w:r w:rsidRPr="0037697D">
          <w:rPr>
            <w:rStyle w:val="Hyperlink"/>
            <w:color w:val="38383A" w:themeColor="text2"/>
            <w:u w:val="none"/>
          </w:rPr>
          <w:t>, D.L. (2001, September 19) "Surgeons in U.S. Perform Operation in France Via Robot." National Geographic News</w:t>
        </w:r>
      </w:hyperlink>
      <w:r w:rsidRPr="0037697D">
        <w:t>.</w:t>
      </w:r>
    </w:p>
  </w:footnote>
  <w:footnote w:id="18">
    <w:p w14:paraId="19FC15F2" w14:textId="270182F8" w:rsidR="00300867" w:rsidRPr="0037697D" w:rsidRDefault="00300867" w:rsidP="005C2B38">
      <w:pPr>
        <w:pStyle w:val="FootnoteText"/>
      </w:pPr>
      <w:r w:rsidRPr="0037697D">
        <w:rPr>
          <w:rStyle w:val="FootnoteReference"/>
        </w:rPr>
        <w:footnoteRef/>
      </w:r>
      <w:r w:rsidRPr="0037697D">
        <w:t xml:space="preserve"> </w:t>
      </w:r>
      <w:r w:rsidRPr="0037697D">
        <w:tab/>
      </w:r>
      <w:hyperlink r:id="rId15" w:history="1">
        <w:r w:rsidRPr="0037697D">
          <w:rPr>
            <w:rStyle w:val="Hyperlink"/>
            <w:color w:val="38383A" w:themeColor="text2"/>
            <w:u w:val="none"/>
          </w:rPr>
          <w:t xml:space="preserve">Smith, </w:t>
        </w:r>
        <w:proofErr w:type="spellStart"/>
        <w:r w:rsidRPr="0037697D">
          <w:rPr>
            <w:rStyle w:val="Hyperlink"/>
            <w:color w:val="38383A" w:themeColor="text2"/>
            <w:u w:val="none"/>
          </w:rPr>
          <w:t>Dr.</w:t>
        </w:r>
        <w:proofErr w:type="spellEnd"/>
        <w:r w:rsidRPr="0037697D">
          <w:rPr>
            <w:rStyle w:val="Hyperlink"/>
            <w:color w:val="38383A" w:themeColor="text2"/>
            <w:u w:val="none"/>
          </w:rPr>
          <w:t xml:space="preserve"> Roger (2015, June 14) "Research </w:t>
        </w:r>
        <w:proofErr w:type="gramStart"/>
        <w:r w:rsidRPr="0037697D">
          <w:rPr>
            <w:rStyle w:val="Hyperlink"/>
            <w:color w:val="38383A" w:themeColor="text2"/>
            <w:u w:val="none"/>
          </w:rPr>
          <w:t>In</w:t>
        </w:r>
        <w:proofErr w:type="gramEnd"/>
        <w:r w:rsidRPr="0037697D">
          <w:rPr>
            <w:rStyle w:val="Hyperlink"/>
            <w:color w:val="38383A" w:themeColor="text2"/>
            <w:u w:val="none"/>
          </w:rPr>
          <w:t xml:space="preserve"> Lag Time Set To Determine The Future Of Telesurgery." TechCrunch</w:t>
        </w:r>
      </w:hyperlink>
      <w:r w:rsidRPr="0037697D">
        <w:rPr>
          <w:rStyle w:val="Hyperlink"/>
          <w:color w:val="38383A" w:themeColor="text2"/>
          <w:u w:val="none"/>
        </w:rPr>
        <w:t>.</w:t>
      </w:r>
      <w:r w:rsidRPr="0037697D">
        <w:t xml:space="preserve"> </w:t>
      </w:r>
    </w:p>
  </w:footnote>
  <w:footnote w:id="19">
    <w:p w14:paraId="76E29923" w14:textId="77777777" w:rsidR="00300867" w:rsidRPr="009A116C" w:rsidRDefault="00300867" w:rsidP="005C2B38">
      <w:pPr>
        <w:pStyle w:val="FootnoteText"/>
      </w:pPr>
      <w:r w:rsidRPr="009A116C">
        <w:rPr>
          <w:rStyle w:val="FootnoteReference"/>
        </w:rPr>
        <w:footnoteRef/>
      </w:r>
      <w:r w:rsidRPr="009A116C">
        <w:t xml:space="preserve"> </w:t>
      </w:r>
      <w:r w:rsidRPr="009A116C">
        <w:tab/>
        <w:t xml:space="preserve">The survey was developed using </w:t>
      </w:r>
      <w:hyperlink r:id="rId16" w:history="1">
        <w:r w:rsidRPr="009A116C">
          <w:rPr>
            <w:rStyle w:val="Hyperlink"/>
          </w:rPr>
          <w:t>Survey Gizmo</w:t>
        </w:r>
      </w:hyperlink>
      <w:r w:rsidRPr="009A116C">
        <w:t>.</w:t>
      </w:r>
    </w:p>
  </w:footnote>
  <w:footnote w:id="20">
    <w:p w14:paraId="6E19C4B4" w14:textId="2334572A" w:rsidR="00300867" w:rsidRPr="009A116C" w:rsidRDefault="00300867" w:rsidP="005C2B38">
      <w:pPr>
        <w:pStyle w:val="FootnoteText"/>
      </w:pPr>
      <w:r w:rsidRPr="009A116C">
        <w:rPr>
          <w:rStyle w:val="FootnoteReference"/>
        </w:rPr>
        <w:footnoteRef/>
      </w:r>
      <w:r w:rsidRPr="009A116C">
        <w:t xml:space="preserve"> </w:t>
      </w:r>
      <w:r w:rsidRPr="009A116C">
        <w:tab/>
        <w:t xml:space="preserve">See </w:t>
      </w:r>
      <w:r>
        <w:fldChar w:fldCharType="begin"/>
      </w:r>
      <w:r>
        <w:instrText xml:space="preserve"> REF _Ref499307047 \h </w:instrText>
      </w:r>
      <w:r>
        <w:fldChar w:fldCharType="separate"/>
      </w:r>
      <w:r w:rsidRPr="00D13AF1">
        <w:rPr>
          <w:b/>
          <w:color w:val="C64187" w:themeColor="accent2"/>
        </w:rPr>
        <w:t>Appendix 1 — online questionnaire</w:t>
      </w:r>
      <w:r>
        <w:fldChar w:fldCharType="end"/>
      </w:r>
      <w:r>
        <w:t xml:space="preserve"> </w:t>
      </w:r>
      <w:r w:rsidRPr="009A116C">
        <w:t>for a full list of questions.</w:t>
      </w:r>
    </w:p>
  </w:footnote>
  <w:footnote w:id="21">
    <w:p w14:paraId="4DC67B59" w14:textId="14A8DFBB" w:rsidR="00300867" w:rsidRPr="008D71CB" w:rsidRDefault="00300867">
      <w:pPr>
        <w:pStyle w:val="FootnoteText"/>
        <w:rPr>
          <w:lang w:val="en-US"/>
        </w:rPr>
      </w:pPr>
      <w:r>
        <w:rPr>
          <w:rStyle w:val="FootnoteReference"/>
        </w:rPr>
        <w:footnoteRef/>
      </w:r>
      <w:r>
        <w:t xml:space="preserve"> </w:t>
      </w:r>
      <w:r>
        <w:rPr>
          <w:lang w:val="en-US"/>
        </w:rPr>
        <w:tab/>
        <w:t xml:space="preserve">For a full list of respondents see </w:t>
      </w:r>
      <w:r>
        <w:rPr>
          <w:lang w:val="en-US"/>
        </w:rPr>
        <w:fldChar w:fldCharType="begin"/>
      </w:r>
      <w:r>
        <w:rPr>
          <w:lang w:val="en-US"/>
        </w:rPr>
        <w:instrText xml:space="preserve"> REF _Ref499307047 \h </w:instrText>
      </w:r>
      <w:r>
        <w:rPr>
          <w:lang w:val="en-US"/>
        </w:rPr>
      </w:r>
      <w:r>
        <w:rPr>
          <w:lang w:val="en-US"/>
        </w:rPr>
        <w:fldChar w:fldCharType="separate"/>
      </w:r>
      <w:r w:rsidRPr="00D13AF1">
        <w:rPr>
          <w:b/>
          <w:color w:val="C64187" w:themeColor="accent2"/>
        </w:rPr>
        <w:t>Appendix 1 — online questionnaire</w:t>
      </w:r>
      <w:r>
        <w:rPr>
          <w:lang w:val="en-US"/>
        </w:rPr>
        <w:fldChar w:fldCharType="end"/>
      </w:r>
      <w:r>
        <w:rPr>
          <w:lang w:val="en-US"/>
        </w:rPr>
        <w:t>.</w:t>
      </w:r>
    </w:p>
  </w:footnote>
  <w:footnote w:id="22">
    <w:p w14:paraId="6D9C2A4B" w14:textId="3FE5B450" w:rsidR="00300867" w:rsidRPr="009A116C" w:rsidRDefault="00300867" w:rsidP="002E7C8D">
      <w:pPr>
        <w:pStyle w:val="FootnoteText"/>
      </w:pPr>
      <w:r w:rsidRPr="009A116C">
        <w:rPr>
          <w:rStyle w:val="FootnoteReference"/>
        </w:rPr>
        <w:footnoteRef/>
      </w:r>
      <w:r>
        <w:t xml:space="preserve"> </w:t>
      </w:r>
      <w:r>
        <w:tab/>
        <w:t xml:space="preserve">Federation of State Medical Boards (FSMB), Medical Council of New Zealand, Federation of Medical Regulatory Authorities of Canada, Australian Health Practitioner Regulation Agency (AHPRA), German Medical Association, General Pharmaceutical Council, Oklahoma State Board of Medical Licensure and Supervision, North Carolina Medical Board, College of Physicians and Surgeons of Saskatchewan, Care Quality Commission (CQC), College of Physicians and Surgeons of British Columbia, College of Physicians and Surgeons of Ontario, </w:t>
      </w:r>
      <w:r w:rsidRPr="00491C20">
        <w:t>Healthcare Inspectorate Wales</w:t>
      </w:r>
      <w:r>
        <w:t>.</w:t>
      </w:r>
    </w:p>
  </w:footnote>
  <w:footnote w:id="23">
    <w:p w14:paraId="21A9AE19" w14:textId="77777777" w:rsidR="00300867" w:rsidRPr="004352D0" w:rsidRDefault="00300867" w:rsidP="00811D13">
      <w:pPr>
        <w:pStyle w:val="FootnoteText"/>
        <w:rPr>
          <w:lang w:val="en-US"/>
        </w:rPr>
      </w:pPr>
      <w:r>
        <w:rPr>
          <w:rStyle w:val="FootnoteReference"/>
        </w:rPr>
        <w:footnoteRef/>
      </w:r>
      <w:r>
        <w:t xml:space="preserve"> </w:t>
      </w:r>
      <w:r>
        <w:rPr>
          <w:lang w:val="en-US"/>
        </w:rPr>
        <w:tab/>
        <w:t xml:space="preserve">Alternatively, the </w:t>
      </w:r>
      <w:proofErr w:type="spellStart"/>
      <w:r>
        <w:rPr>
          <w:lang w:val="en-US"/>
        </w:rPr>
        <w:t>organisations</w:t>
      </w:r>
      <w:proofErr w:type="spellEnd"/>
      <w:r>
        <w:rPr>
          <w:lang w:val="en-US"/>
        </w:rPr>
        <w:t xml:space="preserve"> included in our research could be professional associations, government departments or other public bodies developing non-binding standards or factsheets, but not regulation strictly speaking. </w:t>
      </w:r>
    </w:p>
  </w:footnote>
  <w:footnote w:id="24">
    <w:p w14:paraId="1E9CCFAB" w14:textId="0FE57164" w:rsidR="00300867" w:rsidRPr="00CF1454" w:rsidRDefault="00300867">
      <w:pPr>
        <w:pStyle w:val="FootnoteText"/>
      </w:pPr>
      <w:r>
        <w:rPr>
          <w:rStyle w:val="FootnoteReference"/>
        </w:rPr>
        <w:footnoteRef/>
      </w:r>
      <w:r>
        <w:t xml:space="preserve"> </w:t>
      </w:r>
      <w:r>
        <w:rPr>
          <w:lang w:val="en-US"/>
        </w:rPr>
        <w:tab/>
        <w:t>We also note that telemedicine itself might promote fragmentation and market dynamics even in jurisdictions with public healthcare, and as such change the environment in which the regulator currently operates (and thus change the nature of the regulation in time).</w:t>
      </w:r>
    </w:p>
  </w:footnote>
  <w:footnote w:id="25">
    <w:p w14:paraId="23CF3AE0" w14:textId="03059DD0" w:rsidR="00300867" w:rsidRPr="00B13DF5" w:rsidRDefault="00300867" w:rsidP="006D5E80">
      <w:pPr>
        <w:pStyle w:val="FootnoteText"/>
      </w:pPr>
      <w:r w:rsidRPr="00B13DF5">
        <w:rPr>
          <w:rStyle w:val="FootnoteReference"/>
        </w:rPr>
        <w:footnoteRef/>
      </w:r>
      <w:r w:rsidRPr="00B13DF5">
        <w:tab/>
      </w:r>
      <w:hyperlink r:id="rId17" w:history="1">
        <w:r w:rsidRPr="00B13DF5">
          <w:rPr>
            <w:rStyle w:val="FootnoteChar"/>
          </w:rPr>
          <w:t>The Guidance on responsibilities for doctors who use telemedicine (VEJ No. 9719 of 09/11/2005)</w:t>
        </w:r>
      </w:hyperlink>
      <w:r w:rsidRPr="00B13DF5">
        <w:rPr>
          <w:rStyle w:val="FootnoteChar"/>
        </w:rPr>
        <w:t>.</w:t>
      </w:r>
    </w:p>
  </w:footnote>
  <w:footnote w:id="26">
    <w:p w14:paraId="274AC89F" w14:textId="198FD3C3" w:rsidR="00300867" w:rsidRPr="00B13DF5" w:rsidRDefault="00300867" w:rsidP="007B3CDA">
      <w:pPr>
        <w:pStyle w:val="FootnoteText"/>
        <w:jc w:val="left"/>
      </w:pPr>
      <w:r w:rsidRPr="00B13DF5">
        <w:rPr>
          <w:rStyle w:val="FootnoteReference"/>
        </w:rPr>
        <w:footnoteRef/>
      </w:r>
      <w:r w:rsidRPr="00B13DF5">
        <w:t xml:space="preserve"> </w:t>
      </w:r>
      <w:r w:rsidRPr="00B13DF5">
        <w:rPr>
          <w:lang w:val="en-US"/>
        </w:rPr>
        <w:tab/>
      </w:r>
      <w:hyperlink r:id="rId18" w:history="1">
        <w:r w:rsidRPr="00B13DF5">
          <w:rPr>
            <w:rStyle w:val="Hyperlink"/>
            <w:color w:val="38383A" w:themeColor="text2"/>
            <w:u w:val="none"/>
          </w:rPr>
          <w:t>Ministry of Health (2013, March 6) "Order No. 3571/2013 Determining that the services and establishments of the National Health Service (SNS) should intensify the use of information and communication technologies in order to promote and guarantee the provision of telemedicine services to users of the National Health Service"</w:t>
        </w:r>
      </w:hyperlink>
      <w:r w:rsidRPr="00B13DF5">
        <w:t>.</w:t>
      </w:r>
    </w:p>
  </w:footnote>
  <w:footnote w:id="27">
    <w:p w14:paraId="59DC5242" w14:textId="2D7B798E" w:rsidR="00300867" w:rsidRPr="00B13DF5" w:rsidRDefault="00300867">
      <w:pPr>
        <w:pStyle w:val="FootnoteText"/>
      </w:pPr>
      <w:r>
        <w:rPr>
          <w:rStyle w:val="FootnoteReference"/>
        </w:rPr>
        <w:footnoteRef/>
      </w:r>
      <w:r>
        <w:t xml:space="preserve"> </w:t>
      </w:r>
      <w:r>
        <w:rPr>
          <w:lang w:val="en-US"/>
        </w:rPr>
        <w:tab/>
        <w:t xml:space="preserve">We also note that each insurer might --- for practical purposes --- adopt a slightly different definition of telemedicine depending on which services are covered and reimbursed by them. </w:t>
      </w:r>
    </w:p>
  </w:footnote>
  <w:footnote w:id="28">
    <w:p w14:paraId="3F3265F9" w14:textId="10909A70" w:rsidR="00300867" w:rsidRPr="003B092C" w:rsidRDefault="00300867" w:rsidP="006D5E80">
      <w:pPr>
        <w:pStyle w:val="FootnoteText"/>
        <w:rPr>
          <w:lang w:val="en-US"/>
        </w:rPr>
      </w:pPr>
      <w:r>
        <w:rPr>
          <w:rStyle w:val="FootnoteReference"/>
        </w:rPr>
        <w:footnoteRef/>
      </w:r>
      <w:r>
        <w:t xml:space="preserve"> </w:t>
      </w:r>
      <w:r>
        <w:rPr>
          <w:lang w:val="en-US"/>
        </w:rPr>
        <w:tab/>
        <w:t xml:space="preserve">While there are only </w:t>
      </w:r>
      <w:r w:rsidRPr="003B092C">
        <w:t xml:space="preserve">50 states </w:t>
      </w:r>
      <w:r>
        <w:t>in the USA</w:t>
      </w:r>
      <w:r w:rsidRPr="003B092C">
        <w:t xml:space="preserve">, </w:t>
      </w:r>
      <w:r>
        <w:t xml:space="preserve">some regions have </w:t>
      </w:r>
      <w:r w:rsidRPr="003B092C">
        <w:t>separate boards for osteopathic physicians (who have the same practice rights as MD physicians)</w:t>
      </w:r>
      <w:r>
        <w:t>.</w:t>
      </w:r>
    </w:p>
  </w:footnote>
  <w:footnote w:id="29">
    <w:p w14:paraId="2B0F5806" w14:textId="1681743C" w:rsidR="00300867" w:rsidRPr="00AC15D1" w:rsidRDefault="00300867">
      <w:pPr>
        <w:pStyle w:val="FootnoteText"/>
      </w:pPr>
      <w:r>
        <w:rPr>
          <w:rStyle w:val="FootnoteReference"/>
        </w:rPr>
        <w:footnoteRef/>
      </w:r>
      <w:r>
        <w:t xml:space="preserve"> </w:t>
      </w:r>
      <w:r>
        <w:rPr>
          <w:lang w:val="en-US"/>
        </w:rPr>
        <w:tab/>
        <w:t xml:space="preserve">In other words, doctors obtain a </w:t>
      </w:r>
      <w:proofErr w:type="spellStart"/>
      <w:r>
        <w:rPr>
          <w:lang w:val="en-US"/>
        </w:rPr>
        <w:t>licence</w:t>
      </w:r>
      <w:proofErr w:type="spellEnd"/>
      <w:r>
        <w:rPr>
          <w:lang w:val="en-US"/>
        </w:rPr>
        <w:t xml:space="preserve"> if they satisfy certain minimum criteria, and then going forward they are expected to comply with the standards and/or codes of conduct (including those specific to telemedicine) developed by the relevant regulator. If they do not, an investigation can be started and, if non-compliance is stark, the license can be revoked. That said, for such a measure the non-compliance would be associated with more than just neglecting telemedicine-focused requirements.</w:t>
      </w:r>
    </w:p>
  </w:footnote>
  <w:footnote w:id="30">
    <w:p w14:paraId="67A3CD35" w14:textId="08D134E4" w:rsidR="00300867" w:rsidRDefault="00300867">
      <w:pPr>
        <w:pStyle w:val="FootnoteText"/>
      </w:pPr>
      <w:r>
        <w:rPr>
          <w:rStyle w:val="FootnoteReference"/>
        </w:rPr>
        <w:footnoteRef/>
      </w:r>
      <w:r>
        <w:t xml:space="preserve"> </w:t>
      </w:r>
      <w:r>
        <w:tab/>
      </w:r>
      <w:r w:rsidRPr="00EC7E67">
        <w:rPr>
          <w:rStyle w:val="FootnoteChar"/>
        </w:rPr>
        <w:t>See the end-of-text note in Medical Council of New Zealand (2016) "Statement on telehealth."</w:t>
      </w:r>
    </w:p>
  </w:footnote>
  <w:footnote w:id="31">
    <w:p w14:paraId="056579DF" w14:textId="54CF657C" w:rsidR="00300867" w:rsidRPr="0037697D" w:rsidRDefault="00300867" w:rsidP="007B3CDA">
      <w:pPr>
        <w:pStyle w:val="FootnoteText"/>
        <w:jc w:val="left"/>
      </w:pPr>
      <w:r w:rsidRPr="0037697D">
        <w:rPr>
          <w:rStyle w:val="FootnoteReference"/>
        </w:rPr>
        <w:footnoteRef/>
      </w:r>
      <w:r w:rsidRPr="0037697D">
        <w:t xml:space="preserve"> </w:t>
      </w:r>
      <w:r w:rsidRPr="0037697D">
        <w:tab/>
      </w:r>
      <w:hyperlink r:id="rId19" w:history="1">
        <w:r w:rsidRPr="0037697D">
          <w:rPr>
            <w:rStyle w:val="Hyperlink"/>
            <w:color w:val="38383A" w:themeColor="text2"/>
            <w:u w:val="none"/>
          </w:rPr>
          <w:t>Ministry of Health Singapore (2015) "National Telemedicine Guidelines"</w:t>
        </w:r>
      </w:hyperlink>
      <w:r w:rsidRPr="0037697D">
        <w:t>.</w:t>
      </w:r>
    </w:p>
  </w:footnote>
  <w:footnote w:id="32">
    <w:p w14:paraId="1B0F77A9" w14:textId="77777777" w:rsidR="00300867" w:rsidRPr="009A116C" w:rsidRDefault="00300867" w:rsidP="005C2B38">
      <w:pPr>
        <w:pStyle w:val="FootnoteText"/>
      </w:pPr>
      <w:r w:rsidRPr="009A116C">
        <w:rPr>
          <w:rStyle w:val="FootnoteReference"/>
        </w:rPr>
        <w:footnoteRef/>
      </w:r>
      <w:r w:rsidRPr="009A116C">
        <w:t xml:space="preserve"> </w:t>
      </w:r>
      <w:r w:rsidRPr="009A116C">
        <w:tab/>
        <w:t>While Australia has a similar province-based regulatory system, our research focused on nation-wide regulation which seems to be consistently adopted across various institutions.</w:t>
      </w:r>
    </w:p>
  </w:footnote>
  <w:footnote w:id="33">
    <w:p w14:paraId="60152B51" w14:textId="7D1805F7" w:rsidR="00300867" w:rsidRPr="0037697D" w:rsidRDefault="00300867">
      <w:pPr>
        <w:pStyle w:val="FootnoteText"/>
      </w:pPr>
      <w:r w:rsidRPr="0037697D">
        <w:rPr>
          <w:rStyle w:val="FootnoteReference"/>
        </w:rPr>
        <w:footnoteRef/>
      </w:r>
      <w:r w:rsidRPr="0037697D">
        <w:tab/>
      </w:r>
      <w:hyperlink r:id="rId20" w:history="1">
        <w:r w:rsidRPr="0037697D">
          <w:rPr>
            <w:rStyle w:val="Hyperlink"/>
            <w:color w:val="38383A" w:themeColor="text2"/>
            <w:u w:val="none"/>
          </w:rPr>
          <w:t>General Medical Council "Who we work with. Cross border healthcare – telemedicine."</w:t>
        </w:r>
      </w:hyperlink>
      <w:r w:rsidRPr="0037697D">
        <w:rPr>
          <w:rStyle w:val="FootnoteChar"/>
        </w:rPr>
        <w:t>.</w:t>
      </w:r>
    </w:p>
  </w:footnote>
  <w:footnote w:id="34">
    <w:p w14:paraId="2E759A62" w14:textId="738BDD8A" w:rsidR="00300867" w:rsidRPr="000101A8" w:rsidRDefault="00300867" w:rsidP="008E350B">
      <w:pPr>
        <w:pStyle w:val="FootnoteText"/>
        <w:rPr>
          <w:lang w:val="en-US"/>
        </w:rPr>
      </w:pPr>
      <w:r>
        <w:rPr>
          <w:rStyle w:val="FootnoteReference"/>
        </w:rPr>
        <w:footnoteRef/>
      </w:r>
      <w:r>
        <w:t xml:space="preserve"> </w:t>
      </w:r>
      <w:r>
        <w:rPr>
          <w:lang w:val="en-US"/>
        </w:rPr>
        <w:tab/>
      </w:r>
      <w:r w:rsidRPr="000101A8">
        <w:t>Including Nursing and Midwifery Council</w:t>
      </w:r>
      <w:r>
        <w:t xml:space="preserve"> (NMC)</w:t>
      </w:r>
      <w:r w:rsidRPr="000101A8">
        <w:t xml:space="preserve">, </w:t>
      </w:r>
      <w:r>
        <w:t>Healthcare Professions Council (</w:t>
      </w:r>
      <w:r w:rsidRPr="000101A8">
        <w:t>HCPC</w:t>
      </w:r>
      <w:r>
        <w:t>)</w:t>
      </w:r>
      <w:r w:rsidRPr="000101A8">
        <w:t>,</w:t>
      </w:r>
      <w:r>
        <w:t xml:space="preserve"> General Dental Council (</w:t>
      </w:r>
      <w:r w:rsidRPr="000101A8">
        <w:t>GDC</w:t>
      </w:r>
      <w:r>
        <w:t>)</w:t>
      </w:r>
      <w:r w:rsidRPr="000101A8">
        <w:t xml:space="preserve">, Care Council for Wales, </w:t>
      </w:r>
      <w:r>
        <w:t>General Chiropractic Council (</w:t>
      </w:r>
      <w:r w:rsidRPr="000101A8">
        <w:t>GCC</w:t>
      </w:r>
      <w:r>
        <w:t>)</w:t>
      </w:r>
      <w:r w:rsidRPr="000101A8">
        <w:t xml:space="preserve">, </w:t>
      </w:r>
      <w:r>
        <w:t>General Optical Council (</w:t>
      </w:r>
      <w:r w:rsidRPr="000101A8">
        <w:t>GOC</w:t>
      </w:r>
      <w:r>
        <w:t>)</w:t>
      </w:r>
      <w:r w:rsidRPr="000101A8">
        <w:t xml:space="preserve">, </w:t>
      </w:r>
      <w:r>
        <w:t>General Osteopathic Council (</w:t>
      </w:r>
      <w:proofErr w:type="spellStart"/>
      <w:r w:rsidRPr="000101A8">
        <w:t>GOsC</w:t>
      </w:r>
      <w:proofErr w:type="spellEnd"/>
      <w:r>
        <w:t>)</w:t>
      </w:r>
      <w:r w:rsidRPr="000101A8">
        <w:t>, G</w:t>
      </w:r>
      <w:r>
        <w:t xml:space="preserve">eneral </w:t>
      </w:r>
      <w:r w:rsidRPr="000101A8">
        <w:t>Ph</w:t>
      </w:r>
      <w:r>
        <w:t xml:space="preserve">armaceutical </w:t>
      </w:r>
      <w:r w:rsidRPr="000101A8">
        <w:t>C</w:t>
      </w:r>
      <w:r>
        <w:t>ouncil</w:t>
      </w:r>
      <w:r w:rsidRPr="000101A8">
        <w:t xml:space="preserve">, </w:t>
      </w:r>
      <w:r w:rsidRPr="008A6841">
        <w:t xml:space="preserve">Northern Ireland Social Care Council </w:t>
      </w:r>
      <w:r>
        <w:t>(</w:t>
      </w:r>
      <w:r w:rsidRPr="000101A8">
        <w:t>NISCC</w:t>
      </w:r>
      <w:r>
        <w:t>)</w:t>
      </w:r>
      <w:r w:rsidRPr="000101A8">
        <w:t xml:space="preserve">, </w:t>
      </w:r>
      <w:r w:rsidRPr="008A6841">
        <w:t xml:space="preserve">Police Service of Northern Ireland </w:t>
      </w:r>
      <w:r>
        <w:t>(</w:t>
      </w:r>
      <w:r w:rsidRPr="000101A8">
        <w:t>PSNI</w:t>
      </w:r>
      <w:r>
        <w:t>)</w:t>
      </w:r>
      <w:r w:rsidRPr="000101A8">
        <w:t xml:space="preserve">, </w:t>
      </w:r>
      <w:r w:rsidRPr="008A6841">
        <w:t xml:space="preserve">Scottish Social Services Council </w:t>
      </w:r>
      <w:r>
        <w:t>(</w:t>
      </w:r>
      <w:r w:rsidRPr="000101A8">
        <w:t>SSSC</w:t>
      </w:r>
      <w:r>
        <w:t>)</w:t>
      </w:r>
      <w:r w:rsidRPr="000101A8">
        <w:t xml:space="preserve">, </w:t>
      </w:r>
      <w:r w:rsidRPr="008A6841">
        <w:t>Complementary and Natural Healthcare Council</w:t>
      </w:r>
      <w:r>
        <w:t xml:space="preserve"> (</w:t>
      </w:r>
      <w:r w:rsidRPr="000101A8">
        <w:t>CNHC</w:t>
      </w:r>
      <w:r>
        <w:t xml:space="preserve">), </w:t>
      </w:r>
      <w:r w:rsidRPr="008A6841">
        <w:t xml:space="preserve">Welsh Institute for Health and Social Care </w:t>
      </w:r>
      <w:r>
        <w:t>(</w:t>
      </w:r>
      <w:r w:rsidRPr="00E3233F">
        <w:t>WIHSC</w:t>
      </w:r>
      <w:r>
        <w:t xml:space="preserve">), and </w:t>
      </w:r>
      <w:r w:rsidRPr="008A6841">
        <w:t xml:space="preserve">Mary Washington Healthcare </w:t>
      </w:r>
      <w:r>
        <w:t>(</w:t>
      </w:r>
      <w:r w:rsidRPr="00E3233F">
        <w:t>MWHC</w:t>
      </w:r>
      <w:r>
        <w:t>).</w:t>
      </w:r>
    </w:p>
  </w:footnote>
  <w:footnote w:id="35">
    <w:p w14:paraId="70B067CF" w14:textId="6402B1A8" w:rsidR="00300867" w:rsidRPr="000101A8" w:rsidRDefault="00300867" w:rsidP="008E350B">
      <w:pPr>
        <w:pStyle w:val="FootnoteText"/>
        <w:rPr>
          <w:lang w:val="en-US"/>
        </w:rPr>
      </w:pPr>
      <w:r>
        <w:rPr>
          <w:rStyle w:val="FootnoteReference"/>
        </w:rPr>
        <w:footnoteRef/>
      </w:r>
      <w:r>
        <w:t xml:space="preserve"> </w:t>
      </w:r>
      <w:r>
        <w:rPr>
          <w:lang w:val="en-US"/>
        </w:rPr>
        <w:tab/>
      </w:r>
      <w:r w:rsidRPr="000101A8">
        <w:t>Including Professional Standards Authority for Health and Social Care, Care Quality Commission</w:t>
      </w:r>
      <w:r>
        <w:t xml:space="preserve"> (CQC)</w:t>
      </w:r>
      <w:r w:rsidRPr="000101A8">
        <w:t>, Health and Safety Executive</w:t>
      </w:r>
      <w:r>
        <w:t xml:space="preserve"> (HSE)</w:t>
      </w:r>
      <w:r w:rsidRPr="000101A8">
        <w:t>, Human Fertilisation and Embryology Authority</w:t>
      </w:r>
      <w:r>
        <w:t xml:space="preserve"> (HFEA)</w:t>
      </w:r>
      <w:r w:rsidRPr="000101A8">
        <w:t xml:space="preserve">, Medicines and Healthcare </w:t>
      </w:r>
      <w:r>
        <w:t>P</w:t>
      </w:r>
      <w:r w:rsidRPr="000101A8">
        <w:t>roducts Regulatory Agency</w:t>
      </w:r>
      <w:r>
        <w:t xml:space="preserve"> (MHPRA)</w:t>
      </w:r>
      <w:r w:rsidRPr="000101A8">
        <w:t>, Medical Schools Council.</w:t>
      </w:r>
    </w:p>
  </w:footnote>
  <w:footnote w:id="36">
    <w:p w14:paraId="0F4C6069" w14:textId="77777777" w:rsidR="00300867" w:rsidRPr="009A116C" w:rsidRDefault="00300867" w:rsidP="005C2B38">
      <w:pPr>
        <w:pStyle w:val="FootnoteText"/>
      </w:pPr>
      <w:r w:rsidRPr="009A116C">
        <w:rPr>
          <w:rStyle w:val="FootnoteReference"/>
        </w:rPr>
        <w:footnoteRef/>
      </w:r>
      <w:r w:rsidRPr="009A116C">
        <w:t xml:space="preserve"> </w:t>
      </w:r>
      <w:r w:rsidRPr="009A116C">
        <w:tab/>
        <w:t>Denmark and South Africa, respectively.</w:t>
      </w:r>
    </w:p>
  </w:footnote>
  <w:footnote w:id="37">
    <w:p w14:paraId="001B65A7" w14:textId="77777777" w:rsidR="00300867" w:rsidRPr="009A116C" w:rsidRDefault="00300867" w:rsidP="005C2B38">
      <w:pPr>
        <w:pStyle w:val="FootnoteText"/>
      </w:pPr>
      <w:r w:rsidRPr="009A116C">
        <w:rPr>
          <w:rStyle w:val="FootnoteReference"/>
        </w:rPr>
        <w:footnoteRef/>
      </w:r>
      <w:r w:rsidRPr="009A116C">
        <w:t xml:space="preserve"> </w:t>
      </w:r>
      <w:r w:rsidRPr="009A116C">
        <w:tab/>
        <w:t>The exception is Oregon, where telemedicine is narrowly defined as a medical service where the patient is receiving medical care from a doctor who is based outside Oregon.</w:t>
      </w:r>
    </w:p>
  </w:footnote>
  <w:footnote w:id="38">
    <w:p w14:paraId="228DD469" w14:textId="2C734AF7" w:rsidR="00300867" w:rsidRPr="009A116C" w:rsidRDefault="00300867" w:rsidP="005C2B38">
      <w:pPr>
        <w:pStyle w:val="FootnoteText"/>
      </w:pPr>
      <w:r w:rsidRPr="009A116C">
        <w:rPr>
          <w:rStyle w:val="FootnoteReference"/>
        </w:rPr>
        <w:footnoteRef/>
      </w:r>
      <w:r w:rsidRPr="009A116C">
        <w:t xml:space="preserve"> </w:t>
      </w:r>
      <w:r w:rsidRPr="009A116C">
        <w:tab/>
      </w:r>
      <w:r>
        <w:t xml:space="preserve">The Directive states that one of its objectives is protection of public health </w:t>
      </w:r>
      <w:r w:rsidRPr="0037697D">
        <w:t xml:space="preserve">specifically.  </w:t>
      </w:r>
      <w:hyperlink r:id="rId21" w:history="1">
        <w:r w:rsidRPr="0037697D">
          <w:rPr>
            <w:rStyle w:val="Hyperlink"/>
            <w:color w:val="38383A" w:themeColor="text2"/>
            <w:u w:val="none"/>
          </w:rPr>
          <w:t>Directive 2000/31/EC of the European Parliament and of the Council of 8 June 2000 on certain legal aspects of information society services, in particular electronic commerce, in the Internal Market (</w:t>
        </w:r>
        <w:r w:rsidRPr="0037697D">
          <w:rPr>
            <w:rStyle w:val="Hyperlink"/>
            <w:color w:val="C64187" w:themeColor="accent2"/>
          </w:rPr>
          <w:t>'Directive on electronic commerce'</w:t>
        </w:r>
        <w:r w:rsidRPr="0037697D">
          <w:rPr>
            <w:rStyle w:val="Hyperlink"/>
            <w:color w:val="38383A" w:themeColor="text2"/>
            <w:u w:val="none"/>
          </w:rPr>
          <w:t>)</w:t>
        </w:r>
      </w:hyperlink>
      <w:r>
        <w:t>.</w:t>
      </w:r>
    </w:p>
  </w:footnote>
  <w:footnote w:id="39">
    <w:p w14:paraId="3C8D0F92" w14:textId="77777777" w:rsidR="00300867" w:rsidRPr="009A116C" w:rsidRDefault="00300867" w:rsidP="005C2B38">
      <w:pPr>
        <w:pStyle w:val="FootnoteText"/>
      </w:pPr>
      <w:r w:rsidRPr="009A116C">
        <w:rPr>
          <w:rStyle w:val="FootnoteReference"/>
        </w:rPr>
        <w:footnoteRef/>
      </w:r>
      <w:r w:rsidRPr="009A116C">
        <w:t xml:space="preserve"> </w:t>
      </w:r>
      <w:r w:rsidRPr="009A116C">
        <w:tab/>
        <w:t xml:space="preserve">Here, and elsewhere in this report, by ‘local’ we mean in the jurisdiction of the patient. </w:t>
      </w:r>
    </w:p>
  </w:footnote>
  <w:footnote w:id="40">
    <w:p w14:paraId="2342338B" w14:textId="5E0FC0FE" w:rsidR="00300867" w:rsidRPr="0037697D" w:rsidRDefault="00300867" w:rsidP="007B3CDA">
      <w:pPr>
        <w:pStyle w:val="FootnoteText"/>
        <w:jc w:val="left"/>
      </w:pPr>
      <w:r w:rsidRPr="0037697D">
        <w:rPr>
          <w:rStyle w:val="FootnoteReference"/>
        </w:rPr>
        <w:footnoteRef/>
      </w:r>
      <w:r w:rsidRPr="0037697D">
        <w:t xml:space="preserve"> </w:t>
      </w:r>
      <w:r w:rsidRPr="0037697D">
        <w:tab/>
      </w:r>
      <w:r w:rsidRPr="0037697D">
        <w:tab/>
      </w:r>
      <w:hyperlink r:id="rId22" w:history="1">
        <w:r w:rsidRPr="0037697D">
          <w:rPr>
            <w:rStyle w:val="Hyperlink"/>
            <w:color w:val="38383A" w:themeColor="text2"/>
            <w:u w:val="none"/>
          </w:rPr>
          <w:t>European Commission (2006, September 26) "Consultation regarding Community action on health services", SEC (2006) 1195/4</w:t>
        </w:r>
      </w:hyperlink>
      <w:r w:rsidRPr="0037697D">
        <w:t>.</w:t>
      </w:r>
    </w:p>
  </w:footnote>
  <w:footnote w:id="41">
    <w:p w14:paraId="521FA422" w14:textId="52582453" w:rsidR="00300867" w:rsidRPr="003B410F" w:rsidRDefault="00300867">
      <w:pPr>
        <w:pStyle w:val="FootnoteText"/>
      </w:pPr>
      <w:r>
        <w:rPr>
          <w:rStyle w:val="FootnoteReference"/>
        </w:rPr>
        <w:footnoteRef/>
      </w:r>
      <w:r>
        <w:t xml:space="preserve"> </w:t>
      </w:r>
      <w:r>
        <w:tab/>
        <w:t>Alternatively, remote doctors could obtain a standard licence if they wished to.</w:t>
      </w:r>
    </w:p>
  </w:footnote>
  <w:footnote w:id="42">
    <w:p w14:paraId="7DE88628" w14:textId="6D53287F" w:rsidR="00300867" w:rsidRPr="009A116C" w:rsidRDefault="00300867" w:rsidP="005C2B38">
      <w:pPr>
        <w:pStyle w:val="FootnoteText"/>
      </w:pPr>
      <w:r w:rsidRPr="009A116C">
        <w:rPr>
          <w:rStyle w:val="FootnoteReference"/>
        </w:rPr>
        <w:footnoteRef/>
      </w:r>
      <w:r w:rsidRPr="009A116C">
        <w:t xml:space="preserve"> </w:t>
      </w:r>
      <w:r w:rsidRPr="009A116C">
        <w:tab/>
        <w:t>Out of 70 licen</w:t>
      </w:r>
      <w:r>
        <w:t>sing</w:t>
      </w:r>
      <w:r w:rsidRPr="009A116C">
        <w:t xml:space="preserve"> boards in the US</w:t>
      </w:r>
      <w:r>
        <w:t>A</w:t>
      </w:r>
      <w:r w:rsidRPr="009A116C">
        <w:t xml:space="preserve"> (there are boards for all the 50 states and territories, as well as separate boards in some states for osteopathic physicians), 15 introduced a special telemedicine licen</w:t>
      </w:r>
      <w:r>
        <w:t>s</w:t>
      </w:r>
      <w:r w:rsidRPr="009A116C">
        <w:t>e. None of those 15 boards took part in our stakeholder engagement programme.</w:t>
      </w:r>
    </w:p>
  </w:footnote>
  <w:footnote w:id="43">
    <w:p w14:paraId="5C6FB0B4" w14:textId="186C76A2" w:rsidR="00300867" w:rsidRPr="009A116C" w:rsidRDefault="00300867" w:rsidP="005C2B38">
      <w:pPr>
        <w:pStyle w:val="FootnoteText"/>
      </w:pPr>
      <w:r w:rsidRPr="009A116C">
        <w:rPr>
          <w:rStyle w:val="FootnoteReference"/>
        </w:rPr>
        <w:footnoteRef/>
      </w:r>
      <w:r w:rsidRPr="009A116C">
        <w:t xml:space="preserve"> </w:t>
      </w:r>
      <w:r w:rsidRPr="009A116C">
        <w:tab/>
        <w:t>In particular the Interstate Medical Licensure Compact, which was adopted by 22 state boards. The Compact licen</w:t>
      </w:r>
      <w:r>
        <w:t>c</w:t>
      </w:r>
      <w:r w:rsidRPr="009A116C">
        <w:t xml:space="preserve">e is almost automatically awarded as long as a doctor satisfies just 9 criteria (see </w:t>
      </w:r>
      <w:hyperlink r:id="rId23" w:history="1">
        <w:r w:rsidRPr="009A116C">
          <w:rPr>
            <w:rStyle w:val="Hyperlink"/>
          </w:rPr>
          <w:t>http://www.imlcc.org/do-i-qualify/</w:t>
        </w:r>
      </w:hyperlink>
      <w:r w:rsidRPr="009A116C">
        <w:t>). Among other things, the Compact promotes the use of telemedicine but it is a full medical licen</w:t>
      </w:r>
      <w:r>
        <w:t>c</w:t>
      </w:r>
      <w:r w:rsidRPr="009A116C">
        <w:t xml:space="preserve">e allowing </w:t>
      </w:r>
      <w:r>
        <w:t xml:space="preserve">a doctor </w:t>
      </w:r>
      <w:r w:rsidRPr="009A116C">
        <w:t>to practi</w:t>
      </w:r>
      <w:r>
        <w:t>s</w:t>
      </w:r>
      <w:r w:rsidRPr="009A116C">
        <w:t>e medicine regardless of whether it is in the form of telemedicine or face-to-face services. The licen</w:t>
      </w:r>
      <w:r>
        <w:t>ce</w:t>
      </w:r>
      <w:r w:rsidRPr="009A116C">
        <w:t xml:space="preserve"> supports licen</w:t>
      </w:r>
      <w:r>
        <w:t>c</w:t>
      </w:r>
      <w:r w:rsidRPr="009A116C">
        <w:t>e portability across states and enables the use of technology in medicine, but</w:t>
      </w:r>
      <w:r>
        <w:t xml:space="preserve">, </w:t>
      </w:r>
      <w:r w:rsidRPr="009A116C">
        <w:t>at the same time</w:t>
      </w:r>
      <w:r>
        <w:t>,</w:t>
      </w:r>
      <w:r w:rsidRPr="009A116C">
        <w:t xml:space="preserve"> the states and state boards are able to retain control over the local requirements as physicians holding the Compact licen</w:t>
      </w:r>
      <w:r>
        <w:t>c</w:t>
      </w:r>
      <w:r w:rsidRPr="009A116C">
        <w:t>e need to adhere to local state law.</w:t>
      </w:r>
    </w:p>
  </w:footnote>
  <w:footnote w:id="44">
    <w:p w14:paraId="43DAD31D" w14:textId="77777777" w:rsidR="00300867" w:rsidRPr="009A116C" w:rsidRDefault="00300867" w:rsidP="005C2B38">
      <w:pPr>
        <w:pStyle w:val="FootnoteText"/>
      </w:pPr>
      <w:r w:rsidRPr="009A116C">
        <w:rPr>
          <w:rStyle w:val="FootnoteReference"/>
        </w:rPr>
        <w:footnoteRef/>
      </w:r>
      <w:r w:rsidRPr="009A116C">
        <w:t xml:space="preserve"> </w:t>
      </w:r>
      <w:r w:rsidRPr="009A116C">
        <w:tab/>
        <w:t>This restriction also applies in Germany</w:t>
      </w:r>
      <w:r>
        <w:t xml:space="preserve"> (not in our core sample)</w:t>
      </w:r>
      <w:r w:rsidRPr="009A116C">
        <w:t xml:space="preserve">, and one of the organisations in Australia (not a regulator) also </w:t>
      </w:r>
      <w:r>
        <w:t>advocated establishing face-to-face relationship before providing medical services remotely.</w:t>
      </w:r>
    </w:p>
  </w:footnote>
  <w:footnote w:id="45">
    <w:p w14:paraId="5D016C49" w14:textId="1E4BD6AD" w:rsidR="00300867" w:rsidRDefault="00300867">
      <w:pPr>
        <w:pStyle w:val="FootnoteText"/>
      </w:pPr>
      <w:r>
        <w:rPr>
          <w:rStyle w:val="FootnoteReference"/>
        </w:rPr>
        <w:footnoteRef/>
      </w:r>
      <w:r>
        <w:t xml:space="preserve"> </w:t>
      </w:r>
      <w:r>
        <w:tab/>
        <w:t xml:space="preserve">For example, the College in Saskatchewan noted in the interview that they require all doctors to maintain medical records and that this is not something specific to telemedicine, and thus not explicitly mentioned as a telemedicine requirement. As stated, we include only those requirements explicitly mentioned in the context of telemedicine. </w:t>
      </w:r>
    </w:p>
  </w:footnote>
  <w:footnote w:id="46">
    <w:p w14:paraId="523B0131" w14:textId="2274C1A2" w:rsidR="00300867" w:rsidRPr="00F61546" w:rsidRDefault="00300867" w:rsidP="0059653A">
      <w:pPr>
        <w:pStyle w:val="FootnoteText"/>
        <w:rPr>
          <w:lang w:val="en-US"/>
        </w:rPr>
      </w:pPr>
      <w:r>
        <w:rPr>
          <w:rStyle w:val="FootnoteReference"/>
        </w:rPr>
        <w:footnoteRef/>
      </w:r>
      <w:r>
        <w:t xml:space="preserve"> </w:t>
      </w:r>
      <w:r>
        <w:rPr>
          <w:lang w:val="en-US"/>
        </w:rPr>
        <w:tab/>
        <w:t>This is also true in South Africa, where — similar to Denmark — the definition of telemedicine only covers doctor-doctor interactions.</w:t>
      </w:r>
    </w:p>
  </w:footnote>
  <w:footnote w:id="47">
    <w:p w14:paraId="69890046" w14:textId="77777777" w:rsidR="00300867" w:rsidRPr="00271E38" w:rsidRDefault="00300867" w:rsidP="00654B25">
      <w:pPr>
        <w:pStyle w:val="FootnoteText"/>
        <w:rPr>
          <w:lang w:val="en-US"/>
        </w:rPr>
      </w:pPr>
      <w:r>
        <w:rPr>
          <w:rStyle w:val="FootnoteReference"/>
        </w:rPr>
        <w:footnoteRef/>
      </w:r>
      <w:r>
        <w:t xml:space="preserve"> </w:t>
      </w:r>
      <w:r>
        <w:rPr>
          <w:lang w:val="en-US"/>
        </w:rPr>
        <w:tab/>
      </w:r>
      <w:r w:rsidRPr="00271E38">
        <w:t>Clearly, which practitioners are required to be licensed depend on the regulator’s mandate and/or national legal framework.</w:t>
      </w:r>
      <w:r>
        <w:t xml:space="preserve"> </w:t>
      </w:r>
    </w:p>
  </w:footnote>
  <w:footnote w:id="48">
    <w:p w14:paraId="4736C0BD" w14:textId="0DEA0CAD" w:rsidR="00300867" w:rsidRPr="0037697D" w:rsidRDefault="00300867" w:rsidP="002E293B">
      <w:pPr>
        <w:pStyle w:val="FootnoteText"/>
      </w:pPr>
      <w:r w:rsidRPr="0037697D">
        <w:rPr>
          <w:rStyle w:val="FootnoteReference"/>
        </w:rPr>
        <w:footnoteRef/>
      </w:r>
      <w:r w:rsidRPr="0037697D">
        <w:t xml:space="preserve"> </w:t>
      </w:r>
      <w:r w:rsidRPr="0037697D">
        <w:tab/>
      </w:r>
      <w:hyperlink r:id="rId24" w:history="1">
        <w:r w:rsidRPr="0037697D">
          <w:rPr>
            <w:rStyle w:val="Hyperlink"/>
            <w:color w:val="38383A" w:themeColor="text2"/>
            <w:u w:val="none"/>
          </w:rPr>
          <w:t>The Engineering Council "UK Standard for Professional Engineering Competence (UK-SPEC)"</w:t>
        </w:r>
      </w:hyperlink>
      <w:r w:rsidRPr="0037697D">
        <w:t xml:space="preserve">. </w:t>
      </w:r>
    </w:p>
  </w:footnote>
  <w:footnote w:id="49">
    <w:p w14:paraId="1A8CF5A5" w14:textId="1D6BB342" w:rsidR="00300867" w:rsidRPr="0037697D" w:rsidRDefault="00300867" w:rsidP="002E293B">
      <w:pPr>
        <w:pStyle w:val="FootnoteText"/>
      </w:pPr>
      <w:r w:rsidRPr="0037697D">
        <w:rPr>
          <w:rStyle w:val="FootnoteReference"/>
        </w:rPr>
        <w:footnoteRef/>
      </w:r>
      <w:r w:rsidRPr="0037697D">
        <w:t xml:space="preserve"> </w:t>
      </w:r>
      <w:r w:rsidRPr="0037697D">
        <w:tab/>
      </w:r>
      <w:hyperlink r:id="rId25" w:history="1">
        <w:r w:rsidRPr="0037697D">
          <w:rPr>
            <w:rStyle w:val="Hyperlink"/>
            <w:color w:val="38383A" w:themeColor="text2"/>
            <w:u w:val="none"/>
          </w:rPr>
          <w:t>The Engineering Council "Guidance.”</w:t>
        </w:r>
      </w:hyperlink>
    </w:p>
  </w:footnote>
  <w:footnote w:id="50">
    <w:p w14:paraId="2CB86C65" w14:textId="47C89C6E" w:rsidR="00300867" w:rsidRPr="0037697D" w:rsidRDefault="00300867" w:rsidP="002E293B">
      <w:pPr>
        <w:pStyle w:val="FootnoteText"/>
      </w:pPr>
      <w:r w:rsidRPr="0037697D">
        <w:rPr>
          <w:rStyle w:val="FootnoteReference"/>
        </w:rPr>
        <w:footnoteRef/>
      </w:r>
      <w:r w:rsidRPr="0037697D">
        <w:t xml:space="preserve"> </w:t>
      </w:r>
      <w:r w:rsidRPr="0037697D">
        <w:tab/>
      </w:r>
      <w:hyperlink r:id="rId26" w:history="1">
        <w:r w:rsidRPr="0037697D">
          <w:rPr>
            <w:rStyle w:val="Hyperlink"/>
            <w:color w:val="38383A" w:themeColor="text2"/>
            <w:u w:val="none"/>
          </w:rPr>
          <w:t>The Engineering Council "Professional Engineering Institutions."</w:t>
        </w:r>
      </w:hyperlink>
    </w:p>
  </w:footnote>
  <w:footnote w:id="51">
    <w:p w14:paraId="05E01A9C" w14:textId="76533C36" w:rsidR="00300867" w:rsidRPr="0037697D" w:rsidRDefault="00300867">
      <w:pPr>
        <w:pStyle w:val="FootnoteText"/>
      </w:pPr>
      <w:r w:rsidRPr="0037697D">
        <w:rPr>
          <w:rStyle w:val="FootnoteReference"/>
        </w:rPr>
        <w:footnoteRef/>
      </w:r>
      <w:r w:rsidRPr="0037697D">
        <w:t xml:space="preserve"> </w:t>
      </w:r>
      <w:r w:rsidRPr="0037697D">
        <w:tab/>
      </w:r>
      <w:hyperlink r:id="rId27" w:history="1">
        <w:r w:rsidRPr="0037697D">
          <w:rPr>
            <w:rStyle w:val="Hyperlink"/>
            <w:color w:val="38383A" w:themeColor="text2"/>
            <w:u w:val="none"/>
          </w:rPr>
          <w:t>Royal Institute of Chartered Surveyor (2017) "Rules of conduct."</w:t>
        </w:r>
      </w:hyperlink>
      <w:r w:rsidRPr="0037697D">
        <w:rPr>
          <w:rStyle w:val="FootnoteChar"/>
        </w:rPr>
        <w:t>.</w:t>
      </w:r>
    </w:p>
  </w:footnote>
  <w:footnote w:id="52">
    <w:p w14:paraId="4DA539A2" w14:textId="70380CA9" w:rsidR="00300867" w:rsidRDefault="00300867">
      <w:pPr>
        <w:pStyle w:val="FootnoteText"/>
      </w:pPr>
      <w:r>
        <w:rPr>
          <w:rStyle w:val="FootnoteReference"/>
        </w:rPr>
        <w:footnoteRef/>
      </w:r>
      <w:r w:rsidRPr="008F0517">
        <w:rPr>
          <w:rStyle w:val="FootnoteChar"/>
        </w:rPr>
        <w:tab/>
        <w:t>Solicitors Regulation Authority (2015) “SRA Innovate. Innovation and growth in legal services.”</w:t>
      </w:r>
    </w:p>
  </w:footnote>
  <w:footnote w:id="53">
    <w:p w14:paraId="085B44EB" w14:textId="77777777" w:rsidR="00300867" w:rsidRPr="0037697D" w:rsidRDefault="00300867" w:rsidP="00F34325">
      <w:pPr>
        <w:pStyle w:val="FootnoteText"/>
      </w:pPr>
      <w:r w:rsidRPr="0037697D">
        <w:rPr>
          <w:rStyle w:val="FootnoteReference"/>
        </w:rPr>
        <w:footnoteRef/>
      </w:r>
      <w:r w:rsidRPr="0037697D">
        <w:t xml:space="preserve"> </w:t>
      </w:r>
      <w:r w:rsidRPr="0037697D">
        <w:tab/>
      </w:r>
      <w:hyperlink r:id="rId28" w:history="1">
        <w:r w:rsidRPr="0037697D">
          <w:rPr>
            <w:rStyle w:val="Hyperlink"/>
            <w:color w:val="38383A" w:themeColor="text2"/>
            <w:u w:val="none"/>
          </w:rPr>
          <w:t>Law Society (2016, June 8) “Semi-automated online services. Practice note”</w:t>
        </w:r>
      </w:hyperlink>
      <w:r w:rsidRPr="0037697D">
        <w:rPr>
          <w:rStyle w:val="FootnoteChar"/>
        </w:rPr>
        <w:t>.</w:t>
      </w:r>
    </w:p>
  </w:footnote>
  <w:footnote w:id="54">
    <w:p w14:paraId="4E1D6EDF" w14:textId="2DEB594C" w:rsidR="00300867" w:rsidRPr="00DC773A" w:rsidRDefault="00300867">
      <w:pPr>
        <w:pStyle w:val="FootnoteText"/>
      </w:pPr>
      <w:r>
        <w:rPr>
          <w:rStyle w:val="FootnoteReference"/>
        </w:rPr>
        <w:footnoteRef/>
      </w:r>
      <w:r>
        <w:t xml:space="preserve"> </w:t>
      </w:r>
      <w:r>
        <w:rPr>
          <w:lang w:val="en-US"/>
        </w:rPr>
        <w:tab/>
      </w:r>
      <w:r w:rsidRPr="00DC773A">
        <w:t>While our understanding is that there are no legal cases associated with this issue, what could be expected in practice is that the solicitor — regardless of the methods used — is ultimately responsible for the advice given to the client; if the advice is poor due to errors in the software used, the solicitor could sue (or otherwise request compensation from) the software provider while at the same time being sued by the client.</w:t>
      </w:r>
    </w:p>
  </w:footnote>
  <w:footnote w:id="55">
    <w:p w14:paraId="28CE2DA3" w14:textId="095FFDB3" w:rsidR="00300867" w:rsidRDefault="00300867">
      <w:pPr>
        <w:pStyle w:val="FootnoteText"/>
      </w:pPr>
      <w:r>
        <w:rPr>
          <w:rStyle w:val="FootnoteReference"/>
        </w:rPr>
        <w:footnoteRef/>
      </w:r>
      <w:r>
        <w:t xml:space="preserve"> </w:t>
      </w:r>
      <w:r>
        <w:tab/>
      </w:r>
      <w:r w:rsidRPr="00E50723">
        <w:rPr>
          <w:rStyle w:val="FootnoteChar"/>
        </w:rPr>
        <w:t>In presenting the regulation for Australia and other countries, we have adhered to the wording and spelling used in the regulatory documents (e.g. “practice” both as a verb and a noun for Australia, US or Canada).</w:t>
      </w:r>
    </w:p>
  </w:footnote>
  <w:footnote w:id="56">
    <w:p w14:paraId="6433478C" w14:textId="02488D22" w:rsidR="00300867" w:rsidRDefault="00300867" w:rsidP="00255B2F">
      <w:pPr>
        <w:pStyle w:val="Footnote"/>
      </w:pPr>
      <w:r>
        <w:rPr>
          <w:rStyle w:val="FootnoteReference"/>
        </w:rPr>
        <w:footnoteRef/>
      </w:r>
      <w:r>
        <w:t xml:space="preserve"> </w:t>
      </w:r>
      <w:r>
        <w:tab/>
        <w:t>Aboriginal and Torres Strait Islander Health Practice Board of Australia; Chinese Medicine Board of Australia; Chiropractic Board of Australia; Dental Board of Australia; Medical Board of Australia; Medical Radiation Practice Board of Australia; Nursing and Midwifery Board of Australia; Occupational Therapy Board of Australia; Optometry Board of Australia; Osteopathy Board of Australia; Pharmacy Board of Australia; Physiotherapy Board of Australia; Podiatry Board of Australia; Psychology Board of Australia.</w:t>
      </w:r>
    </w:p>
  </w:footnote>
  <w:footnote w:id="57">
    <w:p w14:paraId="1E4CBBB9" w14:textId="251110F5" w:rsidR="00300867" w:rsidRDefault="00300867" w:rsidP="00255B2F">
      <w:pPr>
        <w:pStyle w:val="Footnote"/>
      </w:pPr>
      <w:r>
        <w:rPr>
          <w:rStyle w:val="FootnoteReference"/>
        </w:rPr>
        <w:footnoteRef/>
      </w:r>
      <w:r>
        <w:t xml:space="preserve"> </w:t>
      </w:r>
      <w:r>
        <w:tab/>
      </w:r>
      <w:hyperlink r:id="rId29" w:history="1">
        <w:r w:rsidRPr="004A588B">
          <w:rPr>
            <w:rStyle w:val="Hyperlink"/>
          </w:rPr>
          <w:t>http://www.ahpra.gov.au/About-AHPRA/What-We-Do.aspx</w:t>
        </w:r>
      </w:hyperlink>
      <w:r>
        <w:t>.</w:t>
      </w:r>
    </w:p>
  </w:footnote>
  <w:footnote w:id="58">
    <w:p w14:paraId="00CA7756" w14:textId="1AC44293" w:rsidR="00300867" w:rsidRDefault="00300867" w:rsidP="00255B2F">
      <w:pPr>
        <w:pStyle w:val="Footnote"/>
      </w:pPr>
      <w:r>
        <w:rPr>
          <w:rStyle w:val="FootnoteReference"/>
        </w:rPr>
        <w:footnoteRef/>
      </w:r>
      <w:r>
        <w:t xml:space="preserve"> </w:t>
      </w:r>
      <w:r>
        <w:tab/>
      </w:r>
      <w:hyperlink r:id="rId30" w:history="1">
        <w:r w:rsidRPr="004A588B">
          <w:rPr>
            <w:rStyle w:val="Hyperlink"/>
          </w:rPr>
          <w:t>http://www.medicalboard.gov.au/About.aspx</w:t>
        </w:r>
      </w:hyperlink>
      <w:r>
        <w:rPr>
          <w:rStyle w:val="Hyperlink"/>
        </w:rPr>
        <w:t>.</w:t>
      </w:r>
      <w:r>
        <w:t xml:space="preserve"> </w:t>
      </w:r>
    </w:p>
  </w:footnote>
  <w:footnote w:id="59">
    <w:p w14:paraId="7250CA86" w14:textId="33FD10AA" w:rsidR="00300867" w:rsidRDefault="00300867" w:rsidP="00255B2F">
      <w:pPr>
        <w:pStyle w:val="Footnote"/>
      </w:pPr>
      <w:r>
        <w:rPr>
          <w:rStyle w:val="FootnoteReference"/>
        </w:rPr>
        <w:footnoteRef/>
      </w:r>
      <w:r>
        <w:t xml:space="preserve"> </w:t>
      </w:r>
      <w:r>
        <w:tab/>
      </w:r>
      <w:hyperlink r:id="rId31" w:history="1">
        <w:r w:rsidRPr="004A588B">
          <w:rPr>
            <w:rStyle w:val="Hyperlink"/>
          </w:rPr>
          <w:t>http://www.racgp.org.au/yourracgp/organisation/visionstatement/</w:t>
        </w:r>
      </w:hyperlink>
      <w:r>
        <w:rPr>
          <w:rStyle w:val="Hyperlink"/>
        </w:rPr>
        <w:t>.</w:t>
      </w:r>
      <w:r>
        <w:t xml:space="preserve"> </w:t>
      </w:r>
    </w:p>
  </w:footnote>
  <w:footnote w:id="60">
    <w:p w14:paraId="20765DEF" w14:textId="0E750F25" w:rsidR="00300867" w:rsidRDefault="00300867" w:rsidP="00255B2F">
      <w:pPr>
        <w:pStyle w:val="Footnote"/>
      </w:pPr>
      <w:r>
        <w:rPr>
          <w:rStyle w:val="FootnoteReference"/>
        </w:rPr>
        <w:footnoteRef/>
      </w:r>
      <w:r>
        <w:t xml:space="preserve"> </w:t>
      </w:r>
      <w:r>
        <w:tab/>
      </w:r>
      <w:hyperlink r:id="rId32" w:history="1">
        <w:r w:rsidRPr="004A588B">
          <w:rPr>
            <w:rStyle w:val="Hyperlink"/>
          </w:rPr>
          <w:t>http://www.acrrm.org.au/about-the-college</w:t>
        </w:r>
      </w:hyperlink>
      <w:r>
        <w:rPr>
          <w:rStyle w:val="Hyperlink"/>
        </w:rPr>
        <w:t>.</w:t>
      </w:r>
      <w:r>
        <w:t xml:space="preserve"> </w:t>
      </w:r>
    </w:p>
  </w:footnote>
  <w:footnote w:id="61">
    <w:p w14:paraId="77FE6460" w14:textId="3BD2B98F" w:rsidR="00300867" w:rsidRDefault="00300867" w:rsidP="00255B2F">
      <w:pPr>
        <w:pStyle w:val="Footnote"/>
      </w:pPr>
      <w:r>
        <w:rPr>
          <w:rStyle w:val="FootnoteReference"/>
        </w:rPr>
        <w:footnoteRef/>
      </w:r>
      <w:r>
        <w:t xml:space="preserve"> </w:t>
      </w:r>
      <w:r>
        <w:tab/>
      </w:r>
      <w:hyperlink r:id="rId33" w:history="1">
        <w:r w:rsidRPr="004A588B">
          <w:rPr>
            <w:rStyle w:val="Hyperlink"/>
          </w:rPr>
          <w:t>https://ama.com.au/about-ama</w:t>
        </w:r>
      </w:hyperlink>
      <w:r>
        <w:rPr>
          <w:rStyle w:val="Hyperlink"/>
        </w:rPr>
        <w:t>.</w:t>
      </w:r>
      <w:r>
        <w:t xml:space="preserve"> </w:t>
      </w:r>
    </w:p>
  </w:footnote>
  <w:footnote w:id="62">
    <w:p w14:paraId="755DACCF" w14:textId="1E2588DB" w:rsidR="00300867" w:rsidRDefault="00300867" w:rsidP="00255B2F">
      <w:pPr>
        <w:pStyle w:val="Footnote"/>
      </w:pPr>
      <w:r>
        <w:rPr>
          <w:rStyle w:val="FootnoteReference"/>
        </w:rPr>
        <w:footnoteRef/>
      </w:r>
      <w:r>
        <w:t xml:space="preserve"> </w:t>
      </w:r>
      <w:r>
        <w:tab/>
      </w:r>
      <w:hyperlink r:id="rId34" w:history="1">
        <w:r w:rsidRPr="004A588B">
          <w:rPr>
            <w:rStyle w:val="Hyperlink"/>
          </w:rPr>
          <w:t>http://www.legco.gov.hk/yr13-14/english/panels/hs/hs_hps/papers/hs_hps1111cb2-260-2-e.pdf</w:t>
        </w:r>
      </w:hyperlink>
      <w:r>
        <w:rPr>
          <w:rStyle w:val="Hyperlink"/>
        </w:rPr>
        <w:t>.</w:t>
      </w:r>
      <w:r>
        <w:t xml:space="preserve"> </w:t>
      </w:r>
    </w:p>
  </w:footnote>
  <w:footnote w:id="63">
    <w:p w14:paraId="25BB7DCF" w14:textId="20FFEE3C" w:rsidR="00300867" w:rsidRDefault="00300867" w:rsidP="00255B2F">
      <w:pPr>
        <w:pStyle w:val="Footnote"/>
      </w:pPr>
      <w:r>
        <w:rPr>
          <w:rStyle w:val="FootnoteReference"/>
        </w:rPr>
        <w:footnoteRef/>
      </w:r>
      <w:r>
        <w:t xml:space="preserve"> </w:t>
      </w:r>
      <w:r>
        <w:tab/>
      </w:r>
      <w:hyperlink r:id="rId35" w:history="1">
        <w:r w:rsidRPr="001153CC">
          <w:rPr>
            <w:rStyle w:val="Hyperlink"/>
          </w:rPr>
          <w:t>https://nhpopc.gov.au/about-us/</w:t>
        </w:r>
      </w:hyperlink>
      <w:r>
        <w:rPr>
          <w:rStyle w:val="Hyperlink"/>
        </w:rPr>
        <w:t>.</w:t>
      </w:r>
      <w:r>
        <w:t xml:space="preserve"> </w:t>
      </w:r>
    </w:p>
  </w:footnote>
  <w:footnote w:id="64">
    <w:p w14:paraId="24D62460" w14:textId="4E649D02" w:rsidR="00300867" w:rsidRDefault="00300867" w:rsidP="00255B2F">
      <w:pPr>
        <w:pStyle w:val="Footnote"/>
      </w:pPr>
      <w:r>
        <w:rPr>
          <w:rStyle w:val="FootnoteReference"/>
        </w:rPr>
        <w:footnoteRef/>
      </w:r>
      <w:r>
        <w:t xml:space="preserve"> </w:t>
      </w:r>
      <w:r>
        <w:tab/>
      </w:r>
      <w:hyperlink r:id="rId36" w:history="1">
        <w:r w:rsidRPr="004A588B">
          <w:rPr>
            <w:rStyle w:val="Hyperlink"/>
          </w:rPr>
          <w:t>https://www.strategyand.pwc.com/media/file/Australias-healthcare-system.pdf</w:t>
        </w:r>
      </w:hyperlink>
      <w:r>
        <w:rPr>
          <w:rStyle w:val="Hyperlink"/>
        </w:rPr>
        <w:t>.</w:t>
      </w:r>
      <w:r>
        <w:t xml:space="preserve"> </w:t>
      </w:r>
    </w:p>
  </w:footnote>
  <w:footnote w:id="65">
    <w:p w14:paraId="463E36DD" w14:textId="4929FB0A" w:rsidR="00300867" w:rsidRDefault="00300867" w:rsidP="00255B2F">
      <w:pPr>
        <w:pStyle w:val="Footnote"/>
      </w:pPr>
      <w:r>
        <w:rPr>
          <w:rStyle w:val="FootnoteReference"/>
        </w:rPr>
        <w:footnoteRef/>
      </w:r>
      <w:r>
        <w:t xml:space="preserve"> </w:t>
      </w:r>
      <w:r>
        <w:tab/>
        <w:t xml:space="preserve">Guidelines: Technology-based patient consultations, Medical Board of Australia, 2012. </w:t>
      </w:r>
    </w:p>
  </w:footnote>
  <w:footnote w:id="66">
    <w:p w14:paraId="5BCB9AC5" w14:textId="07F93A6A" w:rsidR="00300867" w:rsidRDefault="00300867" w:rsidP="00255B2F">
      <w:pPr>
        <w:pStyle w:val="Footnote"/>
      </w:pPr>
      <w:r>
        <w:rPr>
          <w:rStyle w:val="FootnoteReference"/>
        </w:rPr>
        <w:footnoteRef/>
      </w:r>
      <w:r>
        <w:t xml:space="preserve"> </w:t>
      </w:r>
      <w:r>
        <w:tab/>
        <w:t>Inter-jurisdictional technology based patient consultations, Medical Board of Australia, 2013.</w:t>
      </w:r>
    </w:p>
  </w:footnote>
  <w:footnote w:id="67">
    <w:p w14:paraId="2CFD5348" w14:textId="06A0BFA7" w:rsidR="00300867" w:rsidRDefault="00300867" w:rsidP="00255B2F">
      <w:pPr>
        <w:pStyle w:val="Footnote"/>
      </w:pPr>
      <w:r>
        <w:rPr>
          <w:rStyle w:val="FootnoteReference"/>
        </w:rPr>
        <w:footnoteRef/>
      </w:r>
      <w:r>
        <w:t xml:space="preserve"> </w:t>
      </w:r>
      <w:r>
        <w:tab/>
        <w:t>“</w:t>
      </w:r>
      <w:r w:rsidRPr="003645CD">
        <w:t xml:space="preserve">ACRRM </w:t>
      </w:r>
      <w:proofErr w:type="spellStart"/>
      <w:r w:rsidRPr="003645CD">
        <w:t>TeleHealth</w:t>
      </w:r>
      <w:proofErr w:type="spellEnd"/>
      <w:r w:rsidRPr="003645CD">
        <w:t xml:space="preserve"> Advisory Committee Standards Framework</w:t>
      </w:r>
      <w:r>
        <w:t>”, ACRRM.</w:t>
      </w:r>
    </w:p>
  </w:footnote>
  <w:footnote w:id="68">
    <w:p w14:paraId="0D70B139" w14:textId="152766D2" w:rsidR="00300867" w:rsidRDefault="00300867" w:rsidP="00255B2F">
      <w:pPr>
        <w:pStyle w:val="Footnote"/>
      </w:pPr>
      <w:r>
        <w:rPr>
          <w:rStyle w:val="FootnoteReference"/>
        </w:rPr>
        <w:footnoteRef/>
      </w:r>
      <w:r>
        <w:t xml:space="preserve"> </w:t>
      </w:r>
      <w:r>
        <w:tab/>
      </w:r>
      <w:hyperlink r:id="rId37" w:history="1">
        <w:r w:rsidRPr="004A588B">
          <w:rPr>
            <w:rStyle w:val="Hyperlink"/>
          </w:rPr>
          <w:t>http://www.racgp.org.au/telehealth</w:t>
        </w:r>
      </w:hyperlink>
      <w:r>
        <w:rPr>
          <w:rStyle w:val="Hyperlink"/>
        </w:rPr>
        <w:t>.</w:t>
      </w:r>
      <w:r>
        <w:t xml:space="preserve"> </w:t>
      </w:r>
    </w:p>
  </w:footnote>
  <w:footnote w:id="69">
    <w:p w14:paraId="374B96CC" w14:textId="0AD72E8F" w:rsidR="00300867" w:rsidRDefault="00300867" w:rsidP="00255B2F">
      <w:pPr>
        <w:pStyle w:val="Footnote"/>
      </w:pPr>
      <w:r>
        <w:rPr>
          <w:rStyle w:val="FootnoteReference"/>
        </w:rPr>
        <w:footnoteRef/>
      </w:r>
      <w:r>
        <w:t xml:space="preserve"> </w:t>
      </w:r>
      <w:r>
        <w:tab/>
        <w:t>The provided text is an abridged summary of the most important points; to reads the full document:</w:t>
      </w:r>
      <w:r w:rsidRPr="006F4A8C">
        <w:t xml:space="preserve"> </w:t>
      </w:r>
      <w:hyperlink r:id="rId38" w:history="1">
        <w:r w:rsidRPr="00D00FC9">
          <w:rPr>
            <w:rStyle w:val="Hyperlink"/>
          </w:rPr>
          <w:t>https://gp2u.com.au/static/documents/RACGP_Standards_for_general_practices_offering_video_consultations.pdf</w:t>
        </w:r>
      </w:hyperlink>
      <w:r>
        <w:rPr>
          <w:rStyle w:val="Hyperlink"/>
        </w:rPr>
        <w:t>.</w:t>
      </w:r>
      <w:r>
        <w:t xml:space="preserve"> </w:t>
      </w:r>
    </w:p>
  </w:footnote>
  <w:footnote w:id="70">
    <w:p w14:paraId="69E4E7B3" w14:textId="746E4460" w:rsidR="00300867" w:rsidRDefault="00300867" w:rsidP="00255B2F">
      <w:pPr>
        <w:pStyle w:val="Footnote"/>
      </w:pPr>
      <w:r>
        <w:rPr>
          <w:rStyle w:val="FootnoteReference"/>
        </w:rPr>
        <w:footnoteRef/>
      </w:r>
      <w:r>
        <w:t xml:space="preserve"> </w:t>
      </w:r>
      <w:r>
        <w:tab/>
        <w:t xml:space="preserve">AMA Position Statement on </w:t>
      </w:r>
      <w:r w:rsidRPr="00FF661B">
        <w:rPr>
          <w:i/>
        </w:rPr>
        <w:t>On-Line and Other Broadband Connected Medical Consultations</w:t>
      </w:r>
      <w:r>
        <w:rPr>
          <w:i/>
        </w:rPr>
        <w:t xml:space="preserve">, </w:t>
      </w:r>
      <w:r w:rsidRPr="0075511C">
        <w:t>Australian Medical Association</w:t>
      </w:r>
      <w:r>
        <w:rPr>
          <w:i/>
        </w:rPr>
        <w:t xml:space="preserve">, </w:t>
      </w:r>
      <w:r w:rsidRPr="00287FAC">
        <w:t>2006</w:t>
      </w:r>
      <w:r>
        <w:t>.</w:t>
      </w:r>
    </w:p>
  </w:footnote>
  <w:footnote w:id="71">
    <w:p w14:paraId="0D99A4D5" w14:textId="4541F9C8" w:rsidR="00300867" w:rsidRDefault="00300867" w:rsidP="00255B2F">
      <w:pPr>
        <w:pStyle w:val="Footnote"/>
      </w:pPr>
      <w:r>
        <w:rPr>
          <w:rStyle w:val="FootnoteReference"/>
        </w:rPr>
        <w:footnoteRef/>
      </w:r>
      <w:r>
        <w:t xml:space="preserve"> </w:t>
      </w:r>
      <w:r>
        <w:tab/>
        <w:t xml:space="preserve">“Telehealth: Guidelines and practical tips”, </w:t>
      </w:r>
      <w:r w:rsidRPr="0000332D">
        <w:t>The Royal Australasian College of Physicians</w:t>
      </w:r>
      <w:r>
        <w:t>.</w:t>
      </w:r>
    </w:p>
  </w:footnote>
  <w:footnote w:id="72">
    <w:p w14:paraId="5A553AF2" w14:textId="0F183E82" w:rsidR="00300867" w:rsidRDefault="00300867" w:rsidP="00255B2F">
      <w:pPr>
        <w:pStyle w:val="Footnote"/>
      </w:pPr>
      <w:r>
        <w:rPr>
          <w:rStyle w:val="FootnoteReference"/>
        </w:rPr>
        <w:footnoteRef/>
      </w:r>
      <w:r>
        <w:t xml:space="preserve"> </w:t>
      </w:r>
      <w:r>
        <w:tab/>
        <w:t xml:space="preserve">The provided text is an abridged summary of the most important points; to reads the full document: </w:t>
      </w:r>
      <w:hyperlink r:id="rId39" w:history="1">
        <w:r w:rsidRPr="00D00FC9">
          <w:rPr>
            <w:rStyle w:val="Hyperlink"/>
          </w:rPr>
          <w:t>https://www.racp.edu.au/docs/default-source/advocacy-library/telehealth-guidelines-and-practical-tips.pdf</w:t>
        </w:r>
      </w:hyperlink>
      <w:r>
        <w:rPr>
          <w:rStyle w:val="Hyperlink"/>
        </w:rPr>
        <w:t>.</w:t>
      </w:r>
      <w:r>
        <w:t xml:space="preserve"> </w:t>
      </w:r>
    </w:p>
  </w:footnote>
  <w:footnote w:id="73">
    <w:p w14:paraId="71F9904D" w14:textId="1EB4343F" w:rsidR="00300867" w:rsidRPr="000F3843" w:rsidRDefault="00300867">
      <w:pPr>
        <w:pStyle w:val="FootnoteText"/>
        <w:rPr>
          <w:lang w:val="en-US"/>
        </w:rPr>
      </w:pPr>
      <w:r>
        <w:rPr>
          <w:rStyle w:val="FootnoteReference"/>
        </w:rPr>
        <w:footnoteRef/>
      </w:r>
      <w:r>
        <w:t xml:space="preserve"> </w:t>
      </w:r>
      <w:r>
        <w:rPr>
          <w:lang w:val="en-US"/>
        </w:rPr>
        <w:tab/>
        <w:t>Information from the online survey.</w:t>
      </w:r>
    </w:p>
  </w:footnote>
  <w:footnote w:id="74">
    <w:p w14:paraId="2AA9A883" w14:textId="351D4987" w:rsidR="00300867" w:rsidRPr="00AE5251" w:rsidRDefault="00300867">
      <w:pPr>
        <w:pStyle w:val="FootnoteText"/>
        <w:rPr>
          <w:lang w:val="en-US"/>
        </w:rPr>
      </w:pPr>
      <w:r>
        <w:rPr>
          <w:rStyle w:val="FootnoteReference"/>
        </w:rPr>
        <w:footnoteRef/>
      </w:r>
      <w:r>
        <w:t xml:space="preserve"> </w:t>
      </w:r>
      <w:r>
        <w:rPr>
          <w:lang w:val="en-US"/>
        </w:rPr>
        <w:tab/>
        <w:t xml:space="preserve">NB These requirements are the same as those from Medical Board of Australia (MBA). </w:t>
      </w:r>
      <w:r w:rsidRPr="00AE5251">
        <w:t>The AHPRA works together with the 14 National Boards (MBA being one of them), so it endorses the same guidelines. The role of this agency is to support the boards and to jointly agree upon health profession agreement.</w:t>
      </w:r>
    </w:p>
  </w:footnote>
  <w:footnote w:id="75">
    <w:p w14:paraId="39078ABE" w14:textId="77777777" w:rsidR="00300867" w:rsidRPr="000F3843" w:rsidRDefault="00300867" w:rsidP="00B832DC">
      <w:pPr>
        <w:pStyle w:val="FootnoteText"/>
        <w:rPr>
          <w:lang w:val="en-US"/>
        </w:rPr>
      </w:pPr>
      <w:r>
        <w:rPr>
          <w:rStyle w:val="FootnoteReference"/>
        </w:rPr>
        <w:footnoteRef/>
      </w:r>
      <w:r>
        <w:t xml:space="preserve"> </w:t>
      </w:r>
      <w:r>
        <w:rPr>
          <w:lang w:val="en-US"/>
        </w:rPr>
        <w:tab/>
        <w:t>Information from the online survey.</w:t>
      </w:r>
    </w:p>
  </w:footnote>
  <w:footnote w:id="76">
    <w:p w14:paraId="613AEB63" w14:textId="70991497" w:rsidR="00300867" w:rsidRDefault="00300867" w:rsidP="00687EF4">
      <w:pPr>
        <w:pStyle w:val="FootnoteText"/>
      </w:pPr>
      <w:r>
        <w:rPr>
          <w:rStyle w:val="FootnoteReference"/>
        </w:rPr>
        <w:footnoteRef/>
      </w:r>
      <w:r>
        <w:t xml:space="preserve"> </w:t>
      </w:r>
      <w:r>
        <w:tab/>
      </w:r>
      <w:hyperlink r:id="rId40" w:history="1">
        <w:r w:rsidRPr="00A149C2">
          <w:rPr>
            <w:rStyle w:val="Hyperlink"/>
          </w:rPr>
          <w:t>https://www.physiciansforlife.ca/wp-content/uploads/2015/09/Regulation-of-Medicine-Web-Final.pdf</w:t>
        </w:r>
      </w:hyperlink>
      <w:r>
        <w:rPr>
          <w:rStyle w:val="Hyperlink"/>
        </w:rPr>
        <w:t>.</w:t>
      </w:r>
    </w:p>
  </w:footnote>
  <w:footnote w:id="77">
    <w:p w14:paraId="2C650FB4" w14:textId="3BB7DC38" w:rsidR="00300867" w:rsidRDefault="00300867" w:rsidP="00687EF4">
      <w:pPr>
        <w:pStyle w:val="FootnoteText"/>
      </w:pPr>
      <w:r>
        <w:rPr>
          <w:rStyle w:val="FootnoteReference"/>
        </w:rPr>
        <w:footnoteRef/>
      </w:r>
      <w:r>
        <w:t xml:space="preserve"> </w:t>
      </w:r>
      <w:r>
        <w:tab/>
      </w:r>
      <w:hyperlink r:id="rId41" w:history="1">
        <w:r w:rsidRPr="00A149C2">
          <w:rPr>
            <w:rStyle w:val="Hyperlink"/>
          </w:rPr>
          <w:t>http://www.mcmillan.ca/files/Health_Law_in_Canada.pdf</w:t>
        </w:r>
      </w:hyperlink>
      <w:r>
        <w:rPr>
          <w:rStyle w:val="Hyperlink"/>
        </w:rPr>
        <w:t>.</w:t>
      </w:r>
    </w:p>
  </w:footnote>
  <w:footnote w:id="78">
    <w:p w14:paraId="70247A31" w14:textId="431B2E86" w:rsidR="00300867" w:rsidRDefault="00300867" w:rsidP="009D62F2">
      <w:pPr>
        <w:pStyle w:val="FootnoteText"/>
      </w:pPr>
      <w:r>
        <w:rPr>
          <w:rStyle w:val="FootnoteReference"/>
        </w:rPr>
        <w:footnoteRef/>
      </w:r>
      <w:r>
        <w:t xml:space="preserve"> </w:t>
      </w:r>
      <w:r>
        <w:tab/>
        <w:t xml:space="preserve">Some </w:t>
      </w:r>
      <w:r>
        <w:rPr>
          <w:lang w:val="en-US"/>
        </w:rPr>
        <w:t>information from the online survey.</w:t>
      </w:r>
    </w:p>
  </w:footnote>
  <w:footnote w:id="79">
    <w:p w14:paraId="3EC0CABB" w14:textId="042BA5F0" w:rsidR="00300867" w:rsidRPr="00301059" w:rsidRDefault="00300867">
      <w:pPr>
        <w:pStyle w:val="FootnoteText"/>
        <w:rPr>
          <w:lang w:val="en-US"/>
        </w:rPr>
      </w:pPr>
      <w:r>
        <w:rPr>
          <w:rStyle w:val="FootnoteReference"/>
        </w:rPr>
        <w:footnoteRef/>
      </w:r>
      <w:r>
        <w:t xml:space="preserve"> </w:t>
      </w:r>
      <w:r>
        <w:rPr>
          <w:lang w:val="en-US"/>
        </w:rPr>
        <w:tab/>
        <w:t>Based on information from the survey.</w:t>
      </w:r>
    </w:p>
  </w:footnote>
  <w:footnote w:id="80">
    <w:p w14:paraId="6397FD89" w14:textId="3FF985E6" w:rsidR="00300867" w:rsidRPr="006B16F0" w:rsidRDefault="00300867" w:rsidP="008E1B0B">
      <w:pPr>
        <w:pStyle w:val="Footnote"/>
      </w:pPr>
      <w:r>
        <w:rPr>
          <w:rStyle w:val="FootnoteReference"/>
        </w:rPr>
        <w:footnoteRef/>
      </w:r>
      <w:r>
        <w:t xml:space="preserve">  “W</w:t>
      </w:r>
      <w:r w:rsidRPr="006B16F0">
        <w:t>e placed a requirement in our standards that physicians cannot prescribe medication following a telemedicine encounter without doing a physical exam.  This requires a provider at the other end.  The main reason for this was to stop entrepreneurial service providers who are only interested in making money vs providing good care (e.g. marijuana prescribers).  However</w:t>
      </w:r>
      <w:r>
        <w:t>,</w:t>
      </w:r>
      <w:r w:rsidRPr="006B16F0">
        <w:t xml:space="preserve"> in the age of digital medicine this is a requirement that</w:t>
      </w:r>
      <w:r>
        <w:t xml:space="preserve"> may be a barrier to good care.” – </w:t>
      </w:r>
      <w:r w:rsidRPr="006B16F0">
        <w:t>College of Physicians and Surgeons of Alberta</w:t>
      </w:r>
      <w:r>
        <w:t xml:space="preserve"> reply to Europe Economics’ survey. </w:t>
      </w:r>
    </w:p>
    <w:p w14:paraId="58E6679B" w14:textId="77777777" w:rsidR="00300867" w:rsidRDefault="00300867" w:rsidP="008E1B0B">
      <w:pPr>
        <w:pStyle w:val="FootnoteText"/>
      </w:pPr>
    </w:p>
  </w:footnote>
  <w:footnote w:id="81">
    <w:p w14:paraId="596095E2" w14:textId="77777777" w:rsidR="00300867" w:rsidRPr="000F3843" w:rsidRDefault="00300867" w:rsidP="00B81FDA">
      <w:pPr>
        <w:pStyle w:val="FootnoteText"/>
        <w:rPr>
          <w:lang w:val="en-US"/>
        </w:rPr>
      </w:pPr>
      <w:r>
        <w:rPr>
          <w:rStyle w:val="FootnoteReference"/>
        </w:rPr>
        <w:footnoteRef/>
      </w:r>
      <w:r>
        <w:t xml:space="preserve"> </w:t>
      </w:r>
      <w:r>
        <w:rPr>
          <w:lang w:val="en-US"/>
        </w:rPr>
        <w:tab/>
        <w:t>Information from the online survey.</w:t>
      </w:r>
    </w:p>
  </w:footnote>
  <w:footnote w:id="82">
    <w:p w14:paraId="151C3363" w14:textId="50648D6B" w:rsidR="00300867" w:rsidRDefault="00300867">
      <w:pPr>
        <w:pStyle w:val="FootnoteText"/>
      </w:pPr>
      <w:r>
        <w:rPr>
          <w:rStyle w:val="FootnoteReference"/>
        </w:rPr>
        <w:footnoteRef/>
      </w:r>
      <w:r>
        <w:t xml:space="preserve"> </w:t>
      </w:r>
      <w:r w:rsidR="002659CD">
        <w:tab/>
        <w:t xml:space="preserve">Note that by “narcotic” the regulator most likely means opioids, i.e. a type of drug inducing drowsiness and relieving pain. </w:t>
      </w:r>
    </w:p>
  </w:footnote>
  <w:footnote w:id="83">
    <w:p w14:paraId="21F508EF" w14:textId="77777777" w:rsidR="002659CD" w:rsidRDefault="002659CD" w:rsidP="002659CD">
      <w:pPr>
        <w:pStyle w:val="Footnote"/>
        <w:tabs>
          <w:tab w:val="clear" w:pos="709"/>
          <w:tab w:val="left" w:pos="284"/>
        </w:tabs>
      </w:pPr>
      <w:r>
        <w:rPr>
          <w:rStyle w:val="FootnoteReference"/>
        </w:rPr>
        <w:footnoteRef/>
      </w:r>
      <w:r>
        <w:t xml:space="preserve"> These are also knows as “drugs with potential for misuse/diversion”. For more information, refer to </w:t>
      </w:r>
      <w:hyperlink r:id="rId42" w:history="1">
        <w:r w:rsidRPr="008F48E5">
          <w:rPr>
            <w:rStyle w:val="Hyperlink"/>
          </w:rPr>
          <w:t>https://www.cpsbc.ca/files/pdf/PSG-Safe-Prescribing.pdf</w:t>
        </w:r>
      </w:hyperlink>
      <w:r>
        <w:t xml:space="preserve">. </w:t>
      </w:r>
    </w:p>
  </w:footnote>
  <w:footnote w:id="84">
    <w:p w14:paraId="0FB38C87" w14:textId="77777777" w:rsidR="00300867" w:rsidRPr="000F3843" w:rsidRDefault="00300867" w:rsidP="00B81FDA">
      <w:pPr>
        <w:pStyle w:val="FootnoteText"/>
        <w:rPr>
          <w:lang w:val="en-US"/>
        </w:rPr>
      </w:pPr>
      <w:r>
        <w:rPr>
          <w:rStyle w:val="FootnoteReference"/>
        </w:rPr>
        <w:footnoteRef/>
      </w:r>
      <w:r>
        <w:t xml:space="preserve"> </w:t>
      </w:r>
      <w:r>
        <w:rPr>
          <w:lang w:val="en-US"/>
        </w:rPr>
        <w:tab/>
        <w:t>Information from the online survey.</w:t>
      </w:r>
    </w:p>
  </w:footnote>
  <w:footnote w:id="85">
    <w:p w14:paraId="61C9F21A" w14:textId="08E4830A" w:rsidR="00300867" w:rsidRDefault="00300867">
      <w:pPr>
        <w:pStyle w:val="FootnoteText"/>
      </w:pPr>
      <w:r>
        <w:rPr>
          <w:rStyle w:val="FootnoteReference"/>
        </w:rPr>
        <w:footnoteRef/>
      </w:r>
      <w:r>
        <w:t xml:space="preserve"> </w:t>
      </w:r>
      <w:r>
        <w:tab/>
      </w:r>
      <w:hyperlink r:id="rId43" w:history="1">
        <w:r w:rsidRPr="00580759">
          <w:rPr>
            <w:rStyle w:val="Hyperlink"/>
          </w:rPr>
          <w:t>https://www.cpsnl.ca/web/files/2017-Mar-11%20-%20Telemedicine.pdf</w:t>
        </w:r>
      </w:hyperlink>
      <w:r>
        <w:t xml:space="preserve"> </w:t>
      </w:r>
    </w:p>
  </w:footnote>
  <w:footnote w:id="86">
    <w:p w14:paraId="0E2DE467" w14:textId="77777777" w:rsidR="00300867" w:rsidRPr="000F3843" w:rsidRDefault="00300867" w:rsidP="00B81FDA">
      <w:pPr>
        <w:pStyle w:val="FootnoteText"/>
        <w:rPr>
          <w:lang w:val="en-US"/>
        </w:rPr>
      </w:pPr>
      <w:r>
        <w:rPr>
          <w:rStyle w:val="FootnoteReference"/>
        </w:rPr>
        <w:footnoteRef/>
      </w:r>
      <w:r>
        <w:t xml:space="preserve"> </w:t>
      </w:r>
      <w:r>
        <w:rPr>
          <w:lang w:val="en-US"/>
        </w:rPr>
        <w:tab/>
        <w:t>Information from the online survey.</w:t>
      </w:r>
    </w:p>
  </w:footnote>
  <w:footnote w:id="87">
    <w:p w14:paraId="7369FBB3" w14:textId="186C38E3" w:rsidR="00300867" w:rsidRDefault="00300867">
      <w:pPr>
        <w:pStyle w:val="FootnoteText"/>
      </w:pPr>
      <w:r>
        <w:rPr>
          <w:rStyle w:val="FootnoteReference"/>
        </w:rPr>
        <w:footnoteRef/>
      </w:r>
      <w:r>
        <w:t xml:space="preserve"> </w:t>
      </w:r>
      <w:r>
        <w:tab/>
      </w:r>
      <w:hyperlink r:id="rId44" w:history="1">
        <w:r w:rsidRPr="00056FC6">
          <w:rPr>
            <w:rStyle w:val="Hyperlink"/>
          </w:rPr>
          <w:t>http://www.cpso.on.ca/Policies-Publications/Policy/Telemedicine</w:t>
        </w:r>
      </w:hyperlink>
    </w:p>
  </w:footnote>
  <w:footnote w:id="88">
    <w:p w14:paraId="6701B868" w14:textId="33195E24" w:rsidR="00300867" w:rsidRDefault="00300867">
      <w:pPr>
        <w:pStyle w:val="FootnoteText"/>
      </w:pPr>
      <w:r>
        <w:rPr>
          <w:rStyle w:val="FootnoteReference"/>
        </w:rPr>
        <w:footnoteRef/>
      </w:r>
      <w:r>
        <w:t xml:space="preserve"> </w:t>
      </w:r>
      <w:r>
        <w:tab/>
        <w:t>Information comes from online survey.</w:t>
      </w:r>
    </w:p>
  </w:footnote>
  <w:footnote w:id="89">
    <w:p w14:paraId="634E927B" w14:textId="0B840528" w:rsidR="00300867" w:rsidRDefault="00300867" w:rsidP="009D62F2">
      <w:pPr>
        <w:pStyle w:val="Footnote"/>
      </w:pPr>
      <w:r>
        <w:rPr>
          <w:rStyle w:val="FootnoteReference"/>
        </w:rPr>
        <w:footnoteRef/>
      </w:r>
      <w:r>
        <w:t xml:space="preserve"> </w:t>
      </w:r>
      <w:r>
        <w:tab/>
        <w:t>Please refer to “Policy –</w:t>
      </w:r>
      <w:r w:rsidRPr="0038502B">
        <w:t xml:space="preserve"> </w:t>
      </w:r>
      <w:r>
        <w:t xml:space="preserve">The Practice of Telemedicine”, section 3 “Standards of practice of telemedicine” for more details. </w:t>
      </w:r>
      <w:hyperlink r:id="rId45" w:history="1">
        <w:r w:rsidRPr="00FA2BA9">
          <w:rPr>
            <w:rStyle w:val="Hyperlink"/>
          </w:rPr>
          <w:t>https://www.cps.sk.ca/iMIS/Documents/Legislation/Policies/POLICY%20-%20The%20Practice%20of%20Telemedicine.pdf</w:t>
        </w:r>
      </w:hyperlink>
    </w:p>
  </w:footnote>
  <w:footnote w:id="90">
    <w:p w14:paraId="3C02B0A4" w14:textId="77777777" w:rsidR="00300867" w:rsidRPr="00FC19BE" w:rsidRDefault="00300867" w:rsidP="00FE20DF">
      <w:pPr>
        <w:pStyle w:val="FootnoteText"/>
        <w:rPr>
          <w:lang w:val="en-US"/>
        </w:rPr>
      </w:pPr>
      <w:r>
        <w:rPr>
          <w:rStyle w:val="FootnoteReference"/>
        </w:rPr>
        <w:footnoteRef/>
      </w:r>
      <w:r>
        <w:t xml:space="preserve"> </w:t>
      </w:r>
      <w:r>
        <w:rPr>
          <w:lang w:val="en-US"/>
        </w:rPr>
        <w:tab/>
      </w:r>
      <w:r w:rsidRPr="00FC19BE">
        <w:rPr>
          <w:lang w:val="en-US"/>
        </w:rPr>
        <w:t xml:space="preserve">College of Physicians and Surgeons of Saskatchewan </w:t>
      </w:r>
      <w:r>
        <w:rPr>
          <w:lang w:val="en-US"/>
        </w:rPr>
        <w:t xml:space="preserve">(2017), “Regulatory Bylaws for medical practice in Saskatchewan”, Bylaw 25.1, </w:t>
      </w:r>
      <w:hyperlink r:id="rId46" w:history="1">
        <w:r w:rsidRPr="00770D32">
          <w:rPr>
            <w:rStyle w:val="Hyperlink"/>
            <w:lang w:val="en-US"/>
          </w:rPr>
          <w:t>http://www.cps.sk.ca/iMIS/Documents/Legislation/Legislation/Regulatory%20Bylaws%20-%20September%202017.pdf</w:t>
        </w:r>
      </w:hyperlink>
      <w:r>
        <w:rPr>
          <w:lang w:val="en-US"/>
        </w:rPr>
        <w:t xml:space="preserve">. </w:t>
      </w:r>
    </w:p>
  </w:footnote>
  <w:footnote w:id="91">
    <w:p w14:paraId="516AADA9" w14:textId="3CF06DC9" w:rsidR="00300867" w:rsidRDefault="00300867" w:rsidP="009D62F2">
      <w:pPr>
        <w:pStyle w:val="Footnote"/>
      </w:pPr>
      <w:r>
        <w:rPr>
          <w:rStyle w:val="FootnoteReference"/>
        </w:rPr>
        <w:footnoteRef/>
      </w:r>
      <w:r>
        <w:t xml:space="preserve"> </w:t>
      </w:r>
      <w:r>
        <w:tab/>
        <w:t>Please refer to “Policy –</w:t>
      </w:r>
      <w:r w:rsidRPr="0038502B">
        <w:t xml:space="preserve"> </w:t>
      </w:r>
      <w:r>
        <w:t xml:space="preserve">The Practice of Telemedicine”, for more details. </w:t>
      </w:r>
      <w:hyperlink r:id="rId47" w:history="1">
        <w:r w:rsidRPr="00D070D9">
          <w:rPr>
            <w:rStyle w:val="Hyperlink"/>
          </w:rPr>
          <w:t>https://www.cps.sk.ca/iMIS/Documents/Legislation/Policies/POLICY%20-%20The%20Practice%20of%20Telemedicine.pdf</w:t>
        </w:r>
      </w:hyperlink>
    </w:p>
    <w:p w14:paraId="17C57386" w14:textId="18E3734C" w:rsidR="00300867" w:rsidRDefault="00300867">
      <w:pPr>
        <w:pStyle w:val="FootnoteText"/>
      </w:pPr>
    </w:p>
  </w:footnote>
  <w:footnote w:id="92">
    <w:p w14:paraId="3C4527C7" w14:textId="4E26D7AD" w:rsidR="00300867" w:rsidRDefault="00300867" w:rsidP="00255B2F">
      <w:pPr>
        <w:pStyle w:val="Footnote"/>
      </w:pPr>
      <w:r>
        <w:rPr>
          <w:rStyle w:val="FootnoteReference"/>
        </w:rPr>
        <w:footnoteRef/>
      </w:r>
      <w:r>
        <w:t xml:space="preserve"> </w:t>
      </w:r>
      <w:r>
        <w:tab/>
      </w:r>
      <w:hyperlink r:id="rId48" w:history="1">
        <w:r w:rsidRPr="00F91097">
          <w:rPr>
            <w:rStyle w:val="Hyperlink"/>
          </w:rPr>
          <w:t>http://international.commonwealthfund.org/countries/denmark/</w:t>
        </w:r>
      </w:hyperlink>
      <w:r>
        <w:t xml:space="preserve">.  </w:t>
      </w:r>
    </w:p>
  </w:footnote>
  <w:footnote w:id="93">
    <w:p w14:paraId="4413CC58" w14:textId="072CE3E5" w:rsidR="00300867" w:rsidRDefault="00300867" w:rsidP="00255B2F">
      <w:pPr>
        <w:pStyle w:val="FootnoteText"/>
      </w:pPr>
      <w:r>
        <w:rPr>
          <w:rStyle w:val="FootnoteReference"/>
        </w:rPr>
        <w:footnoteRef/>
      </w:r>
      <w:r>
        <w:t xml:space="preserve"> </w:t>
      </w:r>
      <w:r>
        <w:tab/>
        <w:t>WHO Health Laws Denmark, 2017.</w:t>
      </w:r>
    </w:p>
  </w:footnote>
  <w:footnote w:id="94">
    <w:p w14:paraId="76BEE1D0" w14:textId="590F617F" w:rsidR="00300867" w:rsidRDefault="00300867" w:rsidP="00255B2F">
      <w:pPr>
        <w:pStyle w:val="Footnote"/>
      </w:pPr>
      <w:r>
        <w:rPr>
          <w:rStyle w:val="FootnoteReference"/>
        </w:rPr>
        <w:footnoteRef/>
      </w:r>
      <w:r>
        <w:t xml:space="preserve"> </w:t>
      </w:r>
      <w:r>
        <w:tab/>
        <w:t>The Guidance on responsibilities</w:t>
      </w:r>
      <w:r w:rsidRPr="00C72A90">
        <w:t xml:space="preserve"> </w:t>
      </w:r>
      <w:r>
        <w:t xml:space="preserve">for doctors who use </w:t>
      </w:r>
      <w:r w:rsidRPr="00C72A90">
        <w:t>telemedicine</w:t>
      </w:r>
      <w:r>
        <w:t xml:space="preserve"> (</w:t>
      </w:r>
      <w:r w:rsidRPr="00CC21D5">
        <w:t>VEJ No. 9719 of 09/11/2005</w:t>
      </w:r>
      <w:r>
        <w:t xml:space="preserve">), available in Danish at: </w:t>
      </w:r>
      <w:hyperlink r:id="rId49" w:history="1">
        <w:r w:rsidRPr="00152EB9">
          <w:rPr>
            <w:rStyle w:val="Hyperlink"/>
          </w:rPr>
          <w:t>https://www.retsinformation.dk/Forms/R0710.aspx?id=10132</w:t>
        </w:r>
      </w:hyperlink>
    </w:p>
  </w:footnote>
  <w:footnote w:id="95">
    <w:p w14:paraId="13FF0051" w14:textId="58F79EC6" w:rsidR="00300867" w:rsidRDefault="00300867" w:rsidP="00255B2F">
      <w:pPr>
        <w:pStyle w:val="FootnoteText"/>
      </w:pPr>
      <w:r>
        <w:rPr>
          <w:rStyle w:val="FootnoteReference"/>
        </w:rPr>
        <w:footnoteRef/>
      </w:r>
      <w:r>
        <w:t xml:space="preserve"> </w:t>
      </w:r>
      <w:r>
        <w:tab/>
        <w:t>Adapted with minor changes from the “Guidance on responsibilities</w:t>
      </w:r>
      <w:r w:rsidRPr="00C72A90">
        <w:t xml:space="preserve"> </w:t>
      </w:r>
      <w:r>
        <w:t xml:space="preserve">for doctors who use </w:t>
      </w:r>
      <w:r w:rsidRPr="00C72A90">
        <w:t>telemedicine</w:t>
      </w:r>
      <w:r>
        <w:t>” (</w:t>
      </w:r>
      <w:r w:rsidRPr="00CC21D5">
        <w:t>VEJ No. 9719 of 09/11/2005</w:t>
      </w:r>
      <w:r>
        <w:t>).</w:t>
      </w:r>
    </w:p>
  </w:footnote>
  <w:footnote w:id="96">
    <w:p w14:paraId="38BBE211" w14:textId="460BF89F" w:rsidR="00300867" w:rsidRDefault="00300867" w:rsidP="00255B2F">
      <w:pPr>
        <w:pStyle w:val="FootnoteText"/>
      </w:pPr>
      <w:r>
        <w:rPr>
          <w:rStyle w:val="FootnoteReference"/>
        </w:rPr>
        <w:footnoteRef/>
      </w:r>
      <w:r>
        <w:t xml:space="preserve"> </w:t>
      </w:r>
      <w:r>
        <w:tab/>
        <w:t xml:space="preserve">“Telemedicine — A Key to Health Services of the Future”, Danish Government, Local Government Denmark and the Danish Regions 2012. </w:t>
      </w:r>
    </w:p>
  </w:footnote>
  <w:footnote w:id="97">
    <w:p w14:paraId="1ADC7A53" w14:textId="544DC84C" w:rsidR="00300867" w:rsidRDefault="00300867" w:rsidP="00255B2F">
      <w:pPr>
        <w:pStyle w:val="FootnoteText"/>
      </w:pPr>
      <w:r>
        <w:rPr>
          <w:rStyle w:val="FootnoteReference"/>
        </w:rPr>
        <w:footnoteRef/>
      </w:r>
      <w:r>
        <w:t xml:space="preserve"> </w:t>
      </w:r>
      <w:r>
        <w:tab/>
        <w:t xml:space="preserve">We assume the definition applied in this report to be the one adopted by the Board, as it is comprised of members of the organisations that co-wrote it. </w:t>
      </w:r>
    </w:p>
  </w:footnote>
  <w:footnote w:id="98">
    <w:p w14:paraId="03677C99" w14:textId="73D6E169" w:rsidR="00300867" w:rsidRDefault="00300867">
      <w:pPr>
        <w:pStyle w:val="FootnoteText"/>
      </w:pPr>
      <w:r>
        <w:rPr>
          <w:rStyle w:val="FootnoteReference"/>
        </w:rPr>
        <w:footnoteRef/>
      </w:r>
      <w:r>
        <w:t xml:space="preserve"> </w:t>
      </w:r>
      <w:r>
        <w:tab/>
        <w:t>Information collected from our online survey.</w:t>
      </w:r>
    </w:p>
  </w:footnote>
  <w:footnote w:id="99">
    <w:p w14:paraId="174D74F5" w14:textId="77777777" w:rsidR="00300867" w:rsidRDefault="00300867" w:rsidP="00255B2F">
      <w:pPr>
        <w:pStyle w:val="FootnoteText"/>
      </w:pPr>
      <w:r>
        <w:rPr>
          <w:rStyle w:val="FootnoteReference"/>
        </w:rPr>
        <w:footnoteRef/>
      </w:r>
      <w:r>
        <w:t xml:space="preserve"> </w:t>
      </w:r>
      <w:r>
        <w:tab/>
      </w:r>
      <w:hyperlink r:id="rId50" w:history="1">
        <w:r w:rsidRPr="00F91097">
          <w:rPr>
            <w:rStyle w:val="Hyperlink"/>
          </w:rPr>
          <w:t>https://www.has-sante.fr/portail/jcms/r_1455134/en/about-has</w:t>
        </w:r>
      </w:hyperlink>
      <w:r>
        <w:t xml:space="preserve">. </w:t>
      </w:r>
    </w:p>
  </w:footnote>
  <w:footnote w:id="100">
    <w:p w14:paraId="118C9454" w14:textId="1D866536" w:rsidR="00300867" w:rsidRDefault="00300867" w:rsidP="00255B2F">
      <w:pPr>
        <w:pStyle w:val="FootnoteText"/>
      </w:pPr>
      <w:r>
        <w:rPr>
          <w:rStyle w:val="FootnoteReference"/>
        </w:rPr>
        <w:footnoteRef/>
      </w:r>
      <w:r>
        <w:t xml:space="preserve"> </w:t>
      </w:r>
      <w:r>
        <w:tab/>
      </w:r>
      <w:hyperlink r:id="rId51" w:history="1">
        <w:r w:rsidRPr="0075457E">
          <w:rPr>
            <w:rStyle w:val="Hyperlink"/>
          </w:rPr>
          <w:t>http://www.professionalstandards.org.uk/docs/default-source/publications/international-reports/regulation-of-doctors-in-france-2012---draft-report.pdf?sfvrsn=2</w:t>
        </w:r>
      </w:hyperlink>
      <w:r>
        <w:rPr>
          <w:rStyle w:val="Hyperlink"/>
        </w:rPr>
        <w:t>.</w:t>
      </w:r>
      <w:r>
        <w:t xml:space="preserve"> </w:t>
      </w:r>
    </w:p>
  </w:footnote>
  <w:footnote w:id="101">
    <w:p w14:paraId="59230C44" w14:textId="445177E4" w:rsidR="00300867" w:rsidRDefault="00300867" w:rsidP="00255B2F">
      <w:pPr>
        <w:pStyle w:val="FootnoteText"/>
      </w:pPr>
      <w:r>
        <w:rPr>
          <w:rStyle w:val="FootnoteReference"/>
        </w:rPr>
        <w:footnoteRef/>
      </w:r>
      <w:r>
        <w:t xml:space="preserve"> </w:t>
      </w:r>
      <w:r>
        <w:tab/>
      </w:r>
      <w:hyperlink r:id="rId52" w:history="1">
        <w:r w:rsidRPr="005F58B5">
          <w:rPr>
            <w:rStyle w:val="Hyperlink"/>
          </w:rPr>
          <w:t>https://www.ncbi.nlm.nih.gov/pmc/articles/PMC3080554/</w:t>
        </w:r>
      </w:hyperlink>
      <w:r>
        <w:rPr>
          <w:rStyle w:val="Hyperlink"/>
        </w:rPr>
        <w:t>.</w:t>
      </w:r>
      <w:r>
        <w:t xml:space="preserve"> </w:t>
      </w:r>
    </w:p>
  </w:footnote>
  <w:footnote w:id="102">
    <w:p w14:paraId="309A7DEC" w14:textId="04713BB3" w:rsidR="00300867" w:rsidRDefault="00300867" w:rsidP="00255B2F">
      <w:pPr>
        <w:pStyle w:val="FootnoteText"/>
      </w:pPr>
      <w:r>
        <w:rPr>
          <w:rStyle w:val="FootnoteReference"/>
        </w:rPr>
        <w:footnoteRef/>
      </w:r>
      <w:r>
        <w:t xml:space="preserve"> </w:t>
      </w:r>
      <w:r>
        <w:tab/>
      </w:r>
      <w:hyperlink r:id="rId53" w:history="1">
        <w:r w:rsidRPr="005F58B5">
          <w:rPr>
            <w:rStyle w:val="Hyperlink"/>
          </w:rPr>
          <w:t>https://www.linkedin.com/pulse/telemedicine-france-development-opportunities-healthcare/</w:t>
        </w:r>
      </w:hyperlink>
      <w:r>
        <w:rPr>
          <w:rStyle w:val="Hyperlink"/>
        </w:rPr>
        <w:t>.</w:t>
      </w:r>
      <w:r>
        <w:t xml:space="preserve"> </w:t>
      </w:r>
    </w:p>
  </w:footnote>
  <w:footnote w:id="103">
    <w:p w14:paraId="2F4B42AD" w14:textId="77777777" w:rsidR="00300867" w:rsidRDefault="00300867" w:rsidP="00EF6132">
      <w:pPr>
        <w:pStyle w:val="FootnoteText"/>
      </w:pPr>
      <w:r>
        <w:rPr>
          <w:rStyle w:val="FootnoteReference"/>
        </w:rPr>
        <w:footnoteRef/>
      </w:r>
      <w:r>
        <w:t xml:space="preserve"> </w:t>
      </w:r>
      <w:r>
        <w:tab/>
        <w:t>Parts of the information taken from our online survey.</w:t>
      </w:r>
    </w:p>
  </w:footnote>
  <w:footnote w:id="104">
    <w:p w14:paraId="7549A2A3" w14:textId="77777777" w:rsidR="00300867" w:rsidRDefault="00300867" w:rsidP="00EF6132">
      <w:pPr>
        <w:pStyle w:val="FootnoteText"/>
        <w:jc w:val="left"/>
      </w:pPr>
      <w:r>
        <w:rPr>
          <w:rStyle w:val="FootnoteReference"/>
        </w:rPr>
        <w:footnoteRef/>
      </w:r>
      <w:r>
        <w:t xml:space="preserve"> </w:t>
      </w:r>
      <w:r>
        <w:tab/>
      </w:r>
      <w:r w:rsidRPr="004A47FF">
        <w:rPr>
          <w:rStyle w:val="FootnoteChar"/>
        </w:rPr>
        <w:t>Please find the two of our publications translated into English</w:t>
      </w:r>
      <w:r>
        <w:rPr>
          <w:rStyle w:val="FootnoteChar"/>
        </w:rPr>
        <w:t xml:space="preserve"> (</w:t>
      </w:r>
      <w:hyperlink r:id="rId54" w:history="1">
        <w:r w:rsidRPr="00B35D9B">
          <w:rPr>
            <w:rStyle w:val="Hyperlink"/>
          </w:rPr>
          <w:t>one</w:t>
        </w:r>
      </w:hyperlink>
      <w:r>
        <w:rPr>
          <w:rStyle w:val="FootnoteChar"/>
        </w:rPr>
        <w:t xml:space="preserve"> and </w:t>
      </w:r>
      <w:hyperlink r:id="rId55" w:history="1">
        <w:r w:rsidRPr="00B35D9B">
          <w:rPr>
            <w:rStyle w:val="Hyperlink"/>
          </w:rPr>
          <w:t>two</w:t>
        </w:r>
      </w:hyperlink>
      <w:r>
        <w:rPr>
          <w:rStyle w:val="FootnoteChar"/>
        </w:rPr>
        <w:t xml:space="preserve">); </w:t>
      </w:r>
      <w:r w:rsidRPr="004A47FF">
        <w:rPr>
          <w:rStyle w:val="FootnoteChar"/>
        </w:rPr>
        <w:t>the other publications</w:t>
      </w:r>
      <w:r>
        <w:rPr>
          <w:rStyle w:val="FootnoteChar"/>
        </w:rPr>
        <w:t xml:space="preserve"> are available in French </w:t>
      </w:r>
      <w:hyperlink r:id="rId56" w:history="1">
        <w:r w:rsidRPr="00B35D9B">
          <w:rPr>
            <w:rStyle w:val="Hyperlink"/>
          </w:rPr>
          <w:t>here</w:t>
        </w:r>
      </w:hyperlink>
      <w:r>
        <w:rPr>
          <w:rStyle w:val="FootnoteChar"/>
        </w:rPr>
        <w:t xml:space="preserve">. </w:t>
      </w:r>
      <w:r w:rsidRPr="004A47FF">
        <w:t xml:space="preserve">  </w:t>
      </w:r>
    </w:p>
  </w:footnote>
  <w:footnote w:id="105">
    <w:p w14:paraId="59EE303A" w14:textId="77777777" w:rsidR="00300867" w:rsidRPr="005F6E1F" w:rsidRDefault="00300867" w:rsidP="00F01992">
      <w:pPr>
        <w:pStyle w:val="FootnoteText"/>
        <w:rPr>
          <w:lang w:val="en-US"/>
        </w:rPr>
      </w:pPr>
      <w:r>
        <w:rPr>
          <w:rStyle w:val="FootnoteReference"/>
        </w:rPr>
        <w:footnoteRef/>
      </w:r>
      <w:r>
        <w:t xml:space="preserve"> </w:t>
      </w:r>
      <w:r>
        <w:rPr>
          <w:lang w:val="en-US"/>
        </w:rPr>
        <w:tab/>
        <w:t>Information from the online survey.</w:t>
      </w:r>
    </w:p>
  </w:footnote>
  <w:footnote w:id="106">
    <w:p w14:paraId="21BD0F4B" w14:textId="77777777" w:rsidR="00300867" w:rsidRDefault="00300867" w:rsidP="00F01992">
      <w:pPr>
        <w:pStyle w:val="Footnote"/>
      </w:pPr>
      <w:r>
        <w:rPr>
          <w:rStyle w:val="FootnoteReference"/>
        </w:rPr>
        <w:footnoteRef/>
      </w:r>
      <w:r>
        <w:t xml:space="preserve"> </w:t>
      </w:r>
      <w:r>
        <w:tab/>
        <w:t>You can refer to the NZ Telehealth Forum and Resources Centre website (</w:t>
      </w:r>
      <w:hyperlink r:id="rId57" w:history="1">
        <w:r w:rsidRPr="0044011A">
          <w:rPr>
            <w:rStyle w:val="Hyperlink"/>
          </w:rPr>
          <w:t>http://telehealth.co.nz/resources/regulations-standards</w:t>
        </w:r>
      </w:hyperlink>
      <w:r>
        <w:t xml:space="preserve">) for a summary of telehealth regulations in New Zealand. </w:t>
      </w:r>
    </w:p>
  </w:footnote>
  <w:footnote w:id="107">
    <w:p w14:paraId="31DD8BD2" w14:textId="56A18CC4" w:rsidR="00300867" w:rsidRDefault="00300867" w:rsidP="00255B2F">
      <w:pPr>
        <w:pStyle w:val="FootnoteText"/>
      </w:pPr>
      <w:r>
        <w:rPr>
          <w:rStyle w:val="FootnoteReference"/>
        </w:rPr>
        <w:footnoteRef/>
      </w:r>
      <w:r>
        <w:t xml:space="preserve"> </w:t>
      </w:r>
      <w:r>
        <w:tab/>
      </w:r>
      <w:hyperlink r:id="rId58" w:history="1">
        <w:r w:rsidRPr="005817FE">
          <w:rPr>
            <w:rStyle w:val="Hyperlink"/>
          </w:rPr>
          <w:t>http://www.euro.who.int/__data/assets/pdf_file/0019/150463/e95712.pdf</w:t>
        </w:r>
      </w:hyperlink>
      <w:r>
        <w:t xml:space="preserve">.  </w:t>
      </w:r>
    </w:p>
  </w:footnote>
  <w:footnote w:id="108">
    <w:p w14:paraId="1B49BCE6" w14:textId="0EA22F92" w:rsidR="00300867" w:rsidRDefault="00300867" w:rsidP="00255B2F">
      <w:pPr>
        <w:pStyle w:val="FootnoteText"/>
      </w:pPr>
      <w:r>
        <w:rPr>
          <w:rStyle w:val="FootnoteReference"/>
        </w:rPr>
        <w:footnoteRef/>
      </w:r>
      <w:r>
        <w:t xml:space="preserve"> </w:t>
      </w:r>
      <w:r>
        <w:tab/>
      </w:r>
      <w:hyperlink r:id="rId59" w:history="1">
        <w:r w:rsidRPr="005817FE">
          <w:rPr>
            <w:rStyle w:val="Hyperlink"/>
          </w:rPr>
          <w:t>http://spms.min-saude.pt/wp-content/uploads/2015/08/Implementing-Telemonitoring-in-the-Portuguese-NHS-Med-e-tel-2015.pdf</w:t>
        </w:r>
      </w:hyperlink>
      <w:r>
        <w:t xml:space="preserve">. </w:t>
      </w:r>
    </w:p>
  </w:footnote>
  <w:footnote w:id="109">
    <w:p w14:paraId="76E09393" w14:textId="42721EB8" w:rsidR="00300867" w:rsidRDefault="00300867" w:rsidP="00255B2F">
      <w:pPr>
        <w:pStyle w:val="FootnoteText"/>
      </w:pPr>
      <w:r>
        <w:rPr>
          <w:rStyle w:val="FootnoteReference"/>
        </w:rPr>
        <w:footnoteRef/>
      </w:r>
      <w:r>
        <w:t xml:space="preserve"> </w:t>
      </w:r>
      <w:r>
        <w:tab/>
      </w:r>
      <w:r w:rsidRPr="00BC733D">
        <w:t>Order 3571/2013 of 6th March 2013</w:t>
      </w:r>
      <w:r>
        <w:t xml:space="preserve">, Ministry of Health of Portugal. </w:t>
      </w:r>
    </w:p>
  </w:footnote>
  <w:footnote w:id="110">
    <w:p w14:paraId="208A6E4F" w14:textId="758DC7F5" w:rsidR="00300867" w:rsidRDefault="00300867" w:rsidP="00255B2F">
      <w:pPr>
        <w:pStyle w:val="FootnoteText"/>
      </w:pPr>
      <w:r>
        <w:rPr>
          <w:rStyle w:val="FootnoteReference"/>
        </w:rPr>
        <w:footnoteRef/>
      </w:r>
      <w:r>
        <w:t xml:space="preserve"> </w:t>
      </w:r>
      <w:r>
        <w:tab/>
        <w:t xml:space="preserve">As the Order is a </w:t>
      </w:r>
      <w:r w:rsidRPr="006C7149">
        <w:t>member of the European Council of Medical Orders (CEOM), which has issued an official statement on telemedicine in 2014</w:t>
      </w:r>
      <w:r>
        <w:t>, we give a summery here of this document. Moreover, the Order has published this document on its own webpage. The text is adapted from “Statement of the European Council of Medical Orders on telemedicine”, European Council of Medical Orders 2014.</w:t>
      </w:r>
    </w:p>
  </w:footnote>
  <w:footnote w:id="111">
    <w:p w14:paraId="79B68292" w14:textId="0F4F7DF6" w:rsidR="00300867" w:rsidRDefault="00300867" w:rsidP="00255B2F">
      <w:pPr>
        <w:pStyle w:val="FootnoteText"/>
      </w:pPr>
      <w:r>
        <w:rPr>
          <w:rStyle w:val="FootnoteReference"/>
        </w:rPr>
        <w:footnoteRef/>
      </w:r>
      <w:r>
        <w:t xml:space="preserve"> </w:t>
      </w:r>
      <w:r>
        <w:tab/>
      </w:r>
      <w:hyperlink r:id="rId60" w:history="1">
        <w:r w:rsidRPr="00056FC6">
          <w:rPr>
            <w:rStyle w:val="Hyperlink"/>
          </w:rPr>
          <w:t>https://www.moh.gov.sg/content/moh_web/home/our_healthcare_system/HealthcareRegulation.html</w:t>
        </w:r>
      </w:hyperlink>
      <w:r>
        <w:t xml:space="preserve"> </w:t>
      </w:r>
    </w:p>
  </w:footnote>
  <w:footnote w:id="112">
    <w:p w14:paraId="30D641B4" w14:textId="77777777" w:rsidR="00300867" w:rsidRPr="00607AFF" w:rsidRDefault="00300867" w:rsidP="00B07305">
      <w:pPr>
        <w:pStyle w:val="FootnoteText"/>
        <w:rPr>
          <w:lang w:val="en-US"/>
        </w:rPr>
      </w:pPr>
      <w:r>
        <w:rPr>
          <w:rStyle w:val="FootnoteReference"/>
        </w:rPr>
        <w:footnoteRef/>
      </w:r>
      <w:r>
        <w:t xml:space="preserve"> </w:t>
      </w:r>
      <w:r>
        <w:rPr>
          <w:lang w:val="en-US"/>
        </w:rPr>
        <w:tab/>
        <w:t>Information from the online survey.</w:t>
      </w:r>
    </w:p>
  </w:footnote>
  <w:footnote w:id="113">
    <w:p w14:paraId="69BC0BE1" w14:textId="0A9FB49D" w:rsidR="00300867" w:rsidRDefault="00300867" w:rsidP="00255B2F">
      <w:pPr>
        <w:pStyle w:val="FootnoteText"/>
      </w:pPr>
      <w:r>
        <w:rPr>
          <w:rStyle w:val="FootnoteReference"/>
        </w:rPr>
        <w:footnoteRef/>
      </w:r>
      <w:r>
        <w:t xml:space="preserve"> </w:t>
      </w:r>
      <w:r>
        <w:tab/>
      </w:r>
      <w:hyperlink r:id="rId61" w:history="1">
        <w:r w:rsidRPr="00B84E52">
          <w:rPr>
            <w:rStyle w:val="Hyperlink"/>
          </w:rPr>
          <w:t>http://www.cqc.org.uk/about-us</w:t>
        </w:r>
      </w:hyperlink>
      <w:r>
        <w:rPr>
          <w:rStyle w:val="Hyperlink"/>
        </w:rPr>
        <w:t>.</w:t>
      </w:r>
      <w:r>
        <w:t xml:space="preserve"> </w:t>
      </w:r>
    </w:p>
  </w:footnote>
  <w:footnote w:id="114">
    <w:p w14:paraId="6E20A5DB" w14:textId="2BE0A388" w:rsidR="00300867" w:rsidRDefault="00300867" w:rsidP="00255B2F">
      <w:pPr>
        <w:pStyle w:val="FootnoteText"/>
      </w:pPr>
      <w:r>
        <w:rPr>
          <w:rStyle w:val="FootnoteReference"/>
        </w:rPr>
        <w:footnoteRef/>
      </w:r>
      <w:r>
        <w:t xml:space="preserve"> </w:t>
      </w:r>
      <w:r>
        <w:tab/>
      </w:r>
      <w:hyperlink r:id="rId62" w:history="1">
        <w:r w:rsidRPr="00B84E52">
          <w:rPr>
            <w:rStyle w:val="Hyperlink"/>
          </w:rPr>
          <w:t>https://www.gov.uk/government/organisations/medicines-and-healthcare-products-regulatory-agency/about</w:t>
        </w:r>
      </w:hyperlink>
      <w:r>
        <w:rPr>
          <w:rStyle w:val="Hyperlink"/>
        </w:rPr>
        <w:t>.</w:t>
      </w:r>
      <w:r>
        <w:t xml:space="preserve"> </w:t>
      </w:r>
    </w:p>
  </w:footnote>
  <w:footnote w:id="115">
    <w:p w14:paraId="7587AAB5" w14:textId="34FE6872" w:rsidR="00300867" w:rsidRDefault="00300867" w:rsidP="00255B2F">
      <w:pPr>
        <w:pStyle w:val="FootnoteText"/>
      </w:pPr>
      <w:r>
        <w:rPr>
          <w:rStyle w:val="FootnoteReference"/>
        </w:rPr>
        <w:footnoteRef/>
      </w:r>
      <w:r>
        <w:t xml:space="preserve"> </w:t>
      </w:r>
      <w:r>
        <w:tab/>
      </w:r>
      <w:hyperlink r:id="rId63" w:history="1">
        <w:r w:rsidRPr="00056FC6">
          <w:rPr>
            <w:rStyle w:val="Hyperlink"/>
          </w:rPr>
          <w:t>https://www.bma.org.uk/about-us</w:t>
        </w:r>
      </w:hyperlink>
      <w:r>
        <w:t xml:space="preserve">. </w:t>
      </w:r>
    </w:p>
  </w:footnote>
  <w:footnote w:id="116">
    <w:p w14:paraId="70ACCE2C" w14:textId="63EE7098" w:rsidR="00300867" w:rsidRDefault="00300867" w:rsidP="00255B2F">
      <w:pPr>
        <w:pStyle w:val="FootnoteText"/>
      </w:pPr>
      <w:r>
        <w:rPr>
          <w:rStyle w:val="FootnoteReference"/>
        </w:rPr>
        <w:footnoteRef/>
      </w:r>
      <w:r>
        <w:t xml:space="preserve"> </w:t>
      </w:r>
      <w:r>
        <w:tab/>
      </w:r>
      <w:r w:rsidRPr="002D35C2">
        <w:t>Guide to the Healthcare System in England</w:t>
      </w:r>
      <w:r>
        <w:t>, NHS May, 2013.</w:t>
      </w:r>
    </w:p>
  </w:footnote>
  <w:footnote w:id="117">
    <w:p w14:paraId="306E67E5" w14:textId="4D626F67" w:rsidR="00300867" w:rsidRDefault="00300867" w:rsidP="00255B2F">
      <w:pPr>
        <w:pStyle w:val="FootnoteText"/>
      </w:pPr>
      <w:r>
        <w:rPr>
          <w:rStyle w:val="FootnoteReference"/>
        </w:rPr>
        <w:footnoteRef/>
      </w:r>
      <w:r>
        <w:t xml:space="preserve"> </w:t>
      </w:r>
      <w:r>
        <w:tab/>
        <w:t>General Medical Council (GMC), Nursing and Midwifery Council (NMC), Health and Care Professions Council (HCPC), General Dental Council (GDC), Care Council for Wales, General Chiropractic Council (GCC), General Optical Council (GOC), General Osteopathic Council (</w:t>
      </w:r>
      <w:proofErr w:type="spellStart"/>
      <w:r>
        <w:t>GOsC</w:t>
      </w:r>
      <w:proofErr w:type="spellEnd"/>
      <w:r>
        <w:t>), General Pharmaceutical Council (</w:t>
      </w:r>
      <w:proofErr w:type="spellStart"/>
      <w:r>
        <w:t>GPhC</w:t>
      </w:r>
      <w:proofErr w:type="spellEnd"/>
      <w:r>
        <w:t>), Northern Ireland Social Care Council (NISCC), Pharmaceutical Society of Northern Ireland (PSNI), and Scottish Social Services Council (SSSC).</w:t>
      </w:r>
    </w:p>
  </w:footnote>
  <w:footnote w:id="118">
    <w:p w14:paraId="1694840D" w14:textId="77CC5BFF" w:rsidR="00300867" w:rsidRPr="00FA60B8" w:rsidRDefault="00300867" w:rsidP="00255B2F">
      <w:pPr>
        <w:pStyle w:val="FootnoteText"/>
        <w:rPr>
          <w:lang w:val="fr-FR"/>
        </w:rPr>
      </w:pPr>
      <w:r>
        <w:rPr>
          <w:rStyle w:val="FootnoteReference"/>
        </w:rPr>
        <w:footnoteRef/>
      </w:r>
      <w:r>
        <w:t xml:space="preserve"> </w:t>
      </w:r>
      <w:r>
        <w:tab/>
        <w:t>“</w:t>
      </w:r>
      <w:r w:rsidRPr="002D35C2">
        <w:t>Who regulates health and social care professionals?</w:t>
      </w:r>
      <w:r>
        <w:t xml:space="preserve">” </w:t>
      </w:r>
      <w:r w:rsidRPr="00FA60B8">
        <w:rPr>
          <w:lang w:val="fr-FR"/>
        </w:rPr>
        <w:t>GMC publication.</w:t>
      </w:r>
    </w:p>
  </w:footnote>
  <w:footnote w:id="119">
    <w:p w14:paraId="5A9AA19D" w14:textId="16989D04" w:rsidR="00300867" w:rsidRPr="00FA60B8" w:rsidRDefault="00300867" w:rsidP="00255B2F">
      <w:pPr>
        <w:pStyle w:val="FootnoteText"/>
        <w:rPr>
          <w:lang w:val="fr-FR"/>
        </w:rPr>
      </w:pPr>
      <w:r>
        <w:rPr>
          <w:rStyle w:val="FootnoteReference"/>
        </w:rPr>
        <w:footnoteRef/>
      </w:r>
      <w:r w:rsidRPr="00FA60B8">
        <w:rPr>
          <w:lang w:val="fr-FR"/>
        </w:rPr>
        <w:t xml:space="preserve"> </w:t>
      </w:r>
      <w:r w:rsidRPr="00FA60B8">
        <w:rPr>
          <w:lang w:val="fr-FR"/>
        </w:rPr>
        <w:tab/>
      </w:r>
      <w:hyperlink r:id="rId64" w:history="1">
        <w:r w:rsidRPr="00FA60B8">
          <w:rPr>
            <w:rStyle w:val="Hyperlink"/>
            <w:lang w:val="fr-FR"/>
          </w:rPr>
          <w:t>http://www.professionalstandards.org.uk/about-us/how-we-work</w:t>
        </w:r>
      </w:hyperlink>
      <w:r w:rsidRPr="00FA60B8">
        <w:rPr>
          <w:lang w:val="fr-FR"/>
        </w:rPr>
        <w:t>.</w:t>
      </w:r>
    </w:p>
  </w:footnote>
  <w:footnote w:id="120">
    <w:p w14:paraId="7936FB65" w14:textId="2D491C74" w:rsidR="00300867" w:rsidRPr="00FA60B8" w:rsidRDefault="00300867" w:rsidP="00255B2F">
      <w:pPr>
        <w:pStyle w:val="FootnoteText"/>
        <w:rPr>
          <w:lang w:val="fr-FR"/>
        </w:rPr>
      </w:pPr>
      <w:r>
        <w:rPr>
          <w:rStyle w:val="FootnoteReference"/>
        </w:rPr>
        <w:footnoteRef/>
      </w:r>
      <w:r w:rsidRPr="00FA60B8">
        <w:rPr>
          <w:lang w:val="fr-FR"/>
        </w:rPr>
        <w:t xml:space="preserve"> </w:t>
      </w:r>
      <w:r w:rsidRPr="00FA60B8">
        <w:rPr>
          <w:lang w:val="fr-FR"/>
        </w:rPr>
        <w:tab/>
      </w:r>
      <w:r>
        <w:fldChar w:fldCharType="begin"/>
      </w:r>
      <w:r w:rsidRPr="00E50723">
        <w:rPr>
          <w:lang w:val="fr-FR"/>
        </w:rPr>
        <w:instrText xml:space="preserve">"https://www.nursingtimes.net/telemedicine-and-the-law/205428.article" </w:instrText>
      </w:r>
      <w:r>
        <w:fldChar w:fldCharType="separate"/>
      </w:r>
      <w:r w:rsidRPr="00FA60B8">
        <w:rPr>
          <w:rStyle w:val="Hyperlink"/>
          <w:lang w:val="fr-FR"/>
        </w:rPr>
        <w:t>https://www.nursingtimes.net/telemedicine-and-the-law/205428.article</w:t>
      </w:r>
      <w:r>
        <w:rPr>
          <w:rStyle w:val="Hyperlink"/>
          <w:lang w:val="fr-FR"/>
        </w:rPr>
        <w:fldChar w:fldCharType="end"/>
      </w:r>
      <w:r w:rsidRPr="00FA60B8">
        <w:rPr>
          <w:lang w:val="fr-FR"/>
        </w:rPr>
        <w:t>.</w:t>
      </w:r>
    </w:p>
  </w:footnote>
  <w:footnote w:id="121">
    <w:p w14:paraId="4D573918" w14:textId="3851067E" w:rsidR="00300867" w:rsidRDefault="00300867" w:rsidP="00255B2F">
      <w:pPr>
        <w:pStyle w:val="FootnoteText"/>
      </w:pPr>
      <w:r>
        <w:rPr>
          <w:rStyle w:val="FootnoteReference"/>
        </w:rPr>
        <w:footnoteRef/>
      </w:r>
      <w:r>
        <w:t xml:space="preserve"> </w:t>
      </w:r>
      <w:r>
        <w:tab/>
        <w:t xml:space="preserve">“Monitor: Regulating NHS foundation trusts”, National Audit Office, 2014. </w:t>
      </w:r>
    </w:p>
  </w:footnote>
  <w:footnote w:id="122">
    <w:p w14:paraId="26361AAC" w14:textId="64E82143" w:rsidR="00300867" w:rsidRDefault="00300867" w:rsidP="00255B2F">
      <w:pPr>
        <w:pStyle w:val="FootnoteText"/>
      </w:pPr>
      <w:r>
        <w:rPr>
          <w:rStyle w:val="FootnoteReference"/>
        </w:rPr>
        <w:footnoteRef/>
      </w:r>
      <w:r>
        <w:t xml:space="preserve"> </w:t>
      </w:r>
      <w:r>
        <w:tab/>
      </w:r>
      <w:hyperlink r:id="rId65" w:history="1">
        <w:r w:rsidRPr="00B84E52">
          <w:rPr>
            <w:rStyle w:val="Hyperlink"/>
          </w:rPr>
          <w:t>http://www.hse.gov.uk/healthservices/arrangements.htm</w:t>
        </w:r>
      </w:hyperlink>
      <w:r>
        <w:rPr>
          <w:rStyle w:val="Hyperlink"/>
        </w:rPr>
        <w:t>.</w:t>
      </w:r>
      <w:r>
        <w:t xml:space="preserve"> </w:t>
      </w:r>
    </w:p>
  </w:footnote>
  <w:footnote w:id="123">
    <w:p w14:paraId="04AA00DE" w14:textId="4D6C600A" w:rsidR="00300867" w:rsidRDefault="00300867" w:rsidP="00A60454">
      <w:pPr>
        <w:pStyle w:val="Footnote"/>
      </w:pPr>
      <w:r>
        <w:rPr>
          <w:rStyle w:val="FootnoteReference"/>
        </w:rPr>
        <w:footnoteRef/>
      </w:r>
      <w:r>
        <w:t xml:space="preserve"> </w:t>
      </w:r>
      <w:r>
        <w:tab/>
        <w:t xml:space="preserve"> </w:t>
      </w:r>
      <w:hyperlink r:id="rId66" w:history="1">
        <w:r w:rsidRPr="00B84E52">
          <w:rPr>
            <w:rStyle w:val="Hyperlink"/>
          </w:rPr>
          <w:t>https://www.cqc.org.uk/sites/default/files/documents/ra_10_transport_services_triage_and_medical_advice_provided_remotely.pdf</w:t>
        </w:r>
      </w:hyperlink>
      <w:r>
        <w:rPr>
          <w:rStyle w:val="Hyperlink"/>
        </w:rPr>
        <w:t>.</w:t>
      </w:r>
      <w:r>
        <w:t xml:space="preserve"> </w:t>
      </w:r>
    </w:p>
  </w:footnote>
  <w:footnote w:id="124">
    <w:p w14:paraId="08F009F6" w14:textId="49CCB7C1" w:rsidR="00300867" w:rsidRDefault="00300867" w:rsidP="00A60454">
      <w:pPr>
        <w:pStyle w:val="Footnote"/>
      </w:pPr>
      <w:r>
        <w:rPr>
          <w:rStyle w:val="FootnoteReference"/>
        </w:rPr>
        <w:footnoteRef/>
      </w:r>
      <w:r>
        <w:t xml:space="preserve"> </w:t>
      </w:r>
      <w:r>
        <w:tab/>
        <w:t>“Clarification of regulatory methodology: PMS digital healthcare providers”, CQC 2017.</w:t>
      </w:r>
    </w:p>
  </w:footnote>
  <w:footnote w:id="125">
    <w:p w14:paraId="7BBAD684" w14:textId="0BE78CB9" w:rsidR="00300867" w:rsidRDefault="00300867" w:rsidP="00255B2F">
      <w:pPr>
        <w:pStyle w:val="FootnoteText"/>
      </w:pPr>
      <w:r>
        <w:rPr>
          <w:rStyle w:val="FootnoteReference"/>
        </w:rPr>
        <w:footnoteRef/>
      </w:r>
      <w:r>
        <w:t xml:space="preserve"> </w:t>
      </w:r>
      <w:r>
        <w:tab/>
      </w:r>
      <w:hyperlink r:id="rId67" w:history="1">
        <w:r w:rsidRPr="00B84E52">
          <w:rPr>
            <w:rStyle w:val="Hyperlink"/>
          </w:rPr>
          <w:t>https://uk.practicallaw.thomsonreuters.com/2-619-533?transitionType=Default&amp;contextData=(sc.Default)&amp;firstPage=true</w:t>
        </w:r>
      </w:hyperlink>
      <w:r>
        <w:rPr>
          <w:rStyle w:val="Hyperlink"/>
        </w:rPr>
        <w:t>.</w:t>
      </w:r>
    </w:p>
  </w:footnote>
  <w:footnote w:id="126">
    <w:p w14:paraId="49C46FFA" w14:textId="4D0E3D4B" w:rsidR="00300867" w:rsidRDefault="00300867" w:rsidP="00255B2F">
      <w:pPr>
        <w:pStyle w:val="FootnoteText"/>
      </w:pPr>
      <w:r>
        <w:rPr>
          <w:rStyle w:val="FootnoteReference"/>
        </w:rPr>
        <w:footnoteRef/>
      </w:r>
      <w:r>
        <w:t xml:space="preserve"> </w:t>
      </w:r>
      <w:r>
        <w:tab/>
      </w:r>
      <w:hyperlink r:id="rId68" w:history="1">
        <w:r w:rsidRPr="00B84E52">
          <w:rPr>
            <w:rStyle w:val="Hyperlink"/>
          </w:rPr>
          <w:t>http://www.pharmafile.com/news/198036/e-clinical-rise-new-health-technologies</w:t>
        </w:r>
      </w:hyperlink>
      <w:r>
        <w:t>.</w:t>
      </w:r>
    </w:p>
  </w:footnote>
  <w:footnote w:id="127">
    <w:p w14:paraId="1008A490" w14:textId="14A4C6E5" w:rsidR="00300867" w:rsidRDefault="00300867" w:rsidP="00255B2F">
      <w:pPr>
        <w:pStyle w:val="FootnoteText"/>
      </w:pPr>
      <w:r>
        <w:rPr>
          <w:rStyle w:val="FootnoteReference"/>
        </w:rPr>
        <w:footnoteRef/>
      </w:r>
      <w:r>
        <w:t xml:space="preserve"> </w:t>
      </w:r>
      <w:r>
        <w:tab/>
      </w:r>
      <w:hyperlink r:id="rId69" w:history="1">
        <w:r w:rsidRPr="00B84E52">
          <w:rPr>
            <w:rStyle w:val="Hyperlink"/>
          </w:rPr>
          <w:t>http://www.nhs.uk/conditions/medicinesinfo/pages/mhra.aspx</w:t>
        </w:r>
      </w:hyperlink>
      <w:r>
        <w:rPr>
          <w:rStyle w:val="Hyperlink"/>
        </w:rPr>
        <w:t>.</w:t>
      </w:r>
      <w:r>
        <w:t xml:space="preserve"> </w:t>
      </w:r>
    </w:p>
  </w:footnote>
  <w:footnote w:id="128">
    <w:p w14:paraId="369DDA84" w14:textId="0305E813" w:rsidR="00300867" w:rsidRDefault="00300867" w:rsidP="00255B2F">
      <w:pPr>
        <w:pStyle w:val="FootnoteText"/>
      </w:pPr>
      <w:r>
        <w:rPr>
          <w:rStyle w:val="FootnoteReference"/>
        </w:rPr>
        <w:footnoteRef/>
      </w:r>
      <w:r>
        <w:t xml:space="preserve"> </w:t>
      </w:r>
      <w:r>
        <w:tab/>
      </w:r>
      <w:hyperlink r:id="rId70" w:history="1">
        <w:r w:rsidRPr="00E82FE2">
          <w:rPr>
            <w:rStyle w:val="Hyperlink"/>
          </w:rPr>
          <w:t>https://www.bma.org.uk/news/2013/august/talking-telehealth-crossroads-for-consultations</w:t>
        </w:r>
      </w:hyperlink>
      <w:r>
        <w:rPr>
          <w:rStyle w:val="Hyperlink"/>
        </w:rPr>
        <w:t>.</w:t>
      </w:r>
      <w:r>
        <w:t xml:space="preserve"> </w:t>
      </w:r>
    </w:p>
  </w:footnote>
  <w:footnote w:id="129">
    <w:p w14:paraId="26F4449A" w14:textId="2A0CF165" w:rsidR="00300867" w:rsidRPr="00387C26" w:rsidRDefault="00300867">
      <w:pPr>
        <w:pStyle w:val="FootnoteText"/>
        <w:rPr>
          <w:lang w:val="en-US"/>
        </w:rPr>
      </w:pPr>
      <w:r>
        <w:rPr>
          <w:rStyle w:val="FootnoteReference"/>
        </w:rPr>
        <w:footnoteRef/>
      </w:r>
      <w:r>
        <w:t xml:space="preserve"> </w:t>
      </w:r>
      <w:r>
        <w:rPr>
          <w:lang w:val="en-US"/>
        </w:rPr>
        <w:tab/>
        <w:t>Information from the online survey.</w:t>
      </w:r>
    </w:p>
  </w:footnote>
  <w:footnote w:id="130">
    <w:p w14:paraId="1D4E00AA" w14:textId="40114964" w:rsidR="00300867" w:rsidRDefault="00300867" w:rsidP="00477BFC">
      <w:pPr>
        <w:pStyle w:val="Footnote"/>
      </w:pPr>
      <w:r>
        <w:rPr>
          <w:rStyle w:val="FootnoteReference"/>
        </w:rPr>
        <w:footnoteRef/>
      </w:r>
      <w:r>
        <w:t xml:space="preserve"> </w:t>
      </w:r>
      <w:r>
        <w:tab/>
      </w:r>
      <w:r w:rsidRPr="00CB484C">
        <w:t xml:space="preserve">More information about who </w:t>
      </w:r>
      <w:r>
        <w:t>they work with and the agreements he</w:t>
      </w:r>
      <w:r w:rsidRPr="00CB484C">
        <w:t xml:space="preserve">ld with other organisations and regulators can be found here: </w:t>
      </w:r>
      <w:hyperlink r:id="rId71" w:history="1">
        <w:r w:rsidRPr="00335640">
          <w:rPr>
            <w:rStyle w:val="Hyperlink"/>
          </w:rPr>
          <w:t>https://www.pharmacyregulation.org/about-us/who-we-work</w:t>
        </w:r>
      </w:hyperlink>
      <w:r>
        <w:t xml:space="preserve">. </w:t>
      </w:r>
    </w:p>
  </w:footnote>
  <w:footnote w:id="131">
    <w:p w14:paraId="60D4C840" w14:textId="7C443E41" w:rsidR="00300867" w:rsidRPr="009B2A3C" w:rsidRDefault="00300867" w:rsidP="00255B2F">
      <w:pPr>
        <w:pStyle w:val="FootnoteText"/>
        <w:rPr>
          <w:lang w:val="en-US"/>
        </w:rPr>
      </w:pPr>
      <w:r>
        <w:rPr>
          <w:rStyle w:val="FootnoteReference"/>
        </w:rPr>
        <w:footnoteRef/>
      </w:r>
      <w:r>
        <w:t xml:space="preserve"> </w:t>
      </w:r>
      <w:r>
        <w:tab/>
      </w:r>
      <w:hyperlink r:id="rId72" w:history="1">
        <w:r w:rsidRPr="00D81F3F">
          <w:rPr>
            <w:rStyle w:val="Hyperlink"/>
          </w:rPr>
          <w:t>https://www.fsmb.org/about-fsmb/</w:t>
        </w:r>
      </w:hyperlink>
      <w:r>
        <w:rPr>
          <w:rStyle w:val="Hyperlink"/>
        </w:rPr>
        <w:t>.</w:t>
      </w:r>
      <w:r>
        <w:t xml:space="preserve"> </w:t>
      </w:r>
    </w:p>
  </w:footnote>
  <w:footnote w:id="132">
    <w:p w14:paraId="5E133855" w14:textId="61154CE1" w:rsidR="00300867" w:rsidRPr="009B2A3C" w:rsidRDefault="00300867" w:rsidP="00255B2F">
      <w:pPr>
        <w:pStyle w:val="FootnoteText"/>
        <w:rPr>
          <w:lang w:val="en-US"/>
        </w:rPr>
      </w:pPr>
      <w:r>
        <w:rPr>
          <w:rStyle w:val="FootnoteReference"/>
        </w:rPr>
        <w:footnoteRef/>
      </w:r>
      <w:r>
        <w:t xml:space="preserve"> </w:t>
      </w:r>
      <w:r>
        <w:tab/>
      </w:r>
      <w:hyperlink r:id="rId73" w:history="1">
        <w:r w:rsidRPr="00D81F3F">
          <w:rPr>
            <w:rStyle w:val="Hyperlink"/>
          </w:rPr>
          <w:t>http://www.americantelemed.org/about/about-ata</w:t>
        </w:r>
      </w:hyperlink>
      <w:r>
        <w:rPr>
          <w:rStyle w:val="Hyperlink"/>
        </w:rPr>
        <w:t>.</w:t>
      </w:r>
      <w:r>
        <w:t xml:space="preserve"> </w:t>
      </w:r>
    </w:p>
  </w:footnote>
  <w:footnote w:id="133">
    <w:p w14:paraId="2265031A" w14:textId="09334AF4" w:rsidR="00300867" w:rsidRPr="009B2A3C" w:rsidRDefault="00300867" w:rsidP="00255B2F">
      <w:pPr>
        <w:pStyle w:val="FootnoteText"/>
        <w:rPr>
          <w:lang w:val="en-US"/>
        </w:rPr>
      </w:pPr>
      <w:r>
        <w:rPr>
          <w:rStyle w:val="FootnoteReference"/>
        </w:rPr>
        <w:footnoteRef/>
      </w:r>
      <w:r>
        <w:t xml:space="preserve"> </w:t>
      </w:r>
      <w:r>
        <w:tab/>
      </w:r>
      <w:hyperlink r:id="rId74" w:history="1">
        <w:r w:rsidRPr="00D81F3F">
          <w:rPr>
            <w:rStyle w:val="Hyperlink"/>
          </w:rPr>
          <w:t>https://www.telehealthresourcecenter.org/who-your-trc</w:t>
        </w:r>
      </w:hyperlink>
      <w:r>
        <w:rPr>
          <w:rStyle w:val="Hyperlink"/>
        </w:rPr>
        <w:t>.</w:t>
      </w:r>
      <w:r>
        <w:t xml:space="preserve"> </w:t>
      </w:r>
    </w:p>
  </w:footnote>
  <w:footnote w:id="134">
    <w:p w14:paraId="1834B757" w14:textId="0FCF25BF" w:rsidR="00300867" w:rsidRPr="00CF7D3A" w:rsidRDefault="00300867" w:rsidP="00255B2F">
      <w:pPr>
        <w:pStyle w:val="FootnoteText"/>
        <w:rPr>
          <w:lang w:val="en-US"/>
        </w:rPr>
      </w:pPr>
      <w:r>
        <w:rPr>
          <w:rStyle w:val="FootnoteReference"/>
        </w:rPr>
        <w:footnoteRef/>
      </w:r>
      <w:r>
        <w:t xml:space="preserve"> </w:t>
      </w:r>
      <w:r>
        <w:tab/>
      </w:r>
      <w:hyperlink r:id="rId75" w:history="1">
        <w:r w:rsidRPr="00D81F3F">
          <w:rPr>
            <w:rStyle w:val="Hyperlink"/>
          </w:rPr>
          <w:t>https://www.hhs.gov/regulations/index.html</w:t>
        </w:r>
      </w:hyperlink>
      <w:r>
        <w:rPr>
          <w:rStyle w:val="Hyperlink"/>
        </w:rPr>
        <w:t>.</w:t>
      </w:r>
      <w:r>
        <w:t xml:space="preserve"> </w:t>
      </w:r>
    </w:p>
  </w:footnote>
  <w:footnote w:id="135">
    <w:p w14:paraId="396A559B" w14:textId="18E7BF38" w:rsidR="00300867" w:rsidRDefault="00300867" w:rsidP="00255B2F">
      <w:pPr>
        <w:pStyle w:val="FootnoteText"/>
      </w:pPr>
      <w:r>
        <w:rPr>
          <w:rStyle w:val="FootnoteReference"/>
        </w:rPr>
        <w:footnoteRef/>
      </w:r>
      <w:r>
        <w:t xml:space="preserve"> </w:t>
      </w:r>
      <w:r>
        <w:tab/>
      </w:r>
      <w:hyperlink r:id="rId76" w:history="1">
        <w:r w:rsidRPr="00C0155E">
          <w:rPr>
            <w:rStyle w:val="Hyperlink"/>
          </w:rPr>
          <w:t>https://www.telehealthresourcecenter.org/toolbox-module/cross-state-licensure</w:t>
        </w:r>
      </w:hyperlink>
      <w:r>
        <w:rPr>
          <w:rStyle w:val="Hyperlink"/>
        </w:rPr>
        <w:t>.</w:t>
      </w:r>
      <w:r>
        <w:t xml:space="preserve"> </w:t>
      </w:r>
    </w:p>
  </w:footnote>
  <w:footnote w:id="136">
    <w:p w14:paraId="3F62DC59" w14:textId="77777777" w:rsidR="00300867" w:rsidRDefault="00300867" w:rsidP="00255B2F">
      <w:pPr>
        <w:pStyle w:val="FootnoteText"/>
      </w:pPr>
      <w:r>
        <w:rPr>
          <w:rStyle w:val="FootnoteReference"/>
        </w:rPr>
        <w:footnoteRef/>
      </w:r>
      <w:r>
        <w:t xml:space="preserve"> </w:t>
      </w:r>
      <w:r>
        <w:tab/>
        <w:t>Model policy for the appropriate use of telemedicine technologies in the practice of medicine, FSMB 2014.</w:t>
      </w:r>
    </w:p>
  </w:footnote>
  <w:footnote w:id="137">
    <w:p w14:paraId="4EAC0F48" w14:textId="76948311" w:rsidR="00300867" w:rsidRDefault="00300867" w:rsidP="00255B2F">
      <w:pPr>
        <w:pStyle w:val="FootnoteText"/>
      </w:pPr>
      <w:r>
        <w:rPr>
          <w:rStyle w:val="FootnoteReference"/>
        </w:rPr>
        <w:footnoteRef/>
      </w:r>
      <w:r>
        <w:t xml:space="preserve"> </w:t>
      </w:r>
      <w:r>
        <w:tab/>
        <w:t xml:space="preserve">Text taken with minor changes from the FSMB Model policy for the appropriate use of telemedicine technologies in the practice of medicine guidelines, or from our online survey. </w:t>
      </w:r>
    </w:p>
  </w:footnote>
  <w:footnote w:id="138">
    <w:p w14:paraId="39D32BE7" w14:textId="1A5B58B4" w:rsidR="00300867" w:rsidRDefault="00300867" w:rsidP="00255B2F">
      <w:pPr>
        <w:pStyle w:val="FootnoteText"/>
      </w:pPr>
      <w:r>
        <w:rPr>
          <w:rStyle w:val="FootnoteReference"/>
        </w:rPr>
        <w:footnoteRef/>
      </w:r>
      <w:r>
        <w:t xml:space="preserve"> </w:t>
      </w:r>
      <w:r>
        <w:tab/>
        <w:t xml:space="preserve">Taken with minor changes from the FMSB’s Telemedicine Policies Board by Board Overview, 2014 and from the Telehealth Resource </w:t>
      </w:r>
      <w:proofErr w:type="spellStart"/>
      <w:r>
        <w:t>Center’s</w:t>
      </w:r>
      <w:proofErr w:type="spellEnd"/>
      <w:r>
        <w:t xml:space="preserve"> </w:t>
      </w:r>
      <w:r w:rsidRPr="00175CE1">
        <w:t>Telehealth Legal and Regulatory Module</w:t>
      </w:r>
      <w:r>
        <w:t>.</w:t>
      </w:r>
    </w:p>
  </w:footnote>
  <w:footnote w:id="139">
    <w:p w14:paraId="75480239" w14:textId="270BF319" w:rsidR="00300867" w:rsidRPr="00AF71C4" w:rsidRDefault="00300867" w:rsidP="00255B2F">
      <w:pPr>
        <w:pStyle w:val="FootnoteText"/>
        <w:rPr>
          <w:lang w:val="en-US"/>
        </w:rPr>
      </w:pPr>
      <w:r>
        <w:rPr>
          <w:rStyle w:val="FootnoteReference"/>
        </w:rPr>
        <w:footnoteRef/>
      </w:r>
      <w:r>
        <w:t xml:space="preserve"> </w:t>
      </w:r>
      <w:r>
        <w:tab/>
      </w:r>
      <w:hyperlink r:id="rId77" w:history="1">
        <w:r w:rsidRPr="00D81F3F">
          <w:rPr>
            <w:rStyle w:val="Hyperlink"/>
          </w:rPr>
          <w:t>https://health.maryland.gov/mhqcc/Documents/Standards_Framework.pdf</w:t>
        </w:r>
      </w:hyperlink>
      <w:r>
        <w:rPr>
          <w:rStyle w:val="Hyperlink"/>
        </w:rPr>
        <w:t>.</w:t>
      </w:r>
      <w:r>
        <w:t xml:space="preserve"> </w:t>
      </w:r>
    </w:p>
  </w:footnote>
  <w:footnote w:id="140">
    <w:p w14:paraId="6F3404CF" w14:textId="3257CD76" w:rsidR="00300867" w:rsidRPr="00AC0CDC" w:rsidRDefault="00300867">
      <w:pPr>
        <w:pStyle w:val="FootnoteText"/>
        <w:rPr>
          <w:lang w:val="en-US"/>
        </w:rPr>
      </w:pPr>
      <w:r>
        <w:rPr>
          <w:rStyle w:val="FootnoteReference"/>
        </w:rPr>
        <w:footnoteRef/>
      </w:r>
      <w:r>
        <w:t xml:space="preserve"> </w:t>
      </w:r>
      <w:r>
        <w:rPr>
          <w:lang w:val="en-US"/>
        </w:rPr>
        <w:tab/>
        <w:t>Information from the online survey.</w:t>
      </w:r>
    </w:p>
  </w:footnote>
  <w:footnote w:id="141">
    <w:p w14:paraId="58F8F555" w14:textId="61EBC416" w:rsidR="00300867" w:rsidRPr="002C6FC5" w:rsidRDefault="00300867">
      <w:pPr>
        <w:pStyle w:val="FootnoteText"/>
        <w:rPr>
          <w:lang w:val="en-US"/>
        </w:rPr>
      </w:pPr>
      <w:r>
        <w:rPr>
          <w:rStyle w:val="FootnoteReference"/>
        </w:rPr>
        <w:footnoteRef/>
      </w:r>
      <w:r>
        <w:t xml:space="preserve"> </w:t>
      </w:r>
      <w:r>
        <w:rPr>
          <w:lang w:val="en-US"/>
        </w:rPr>
        <w:tab/>
        <w:t xml:space="preserve">NB these requirements are specifically developed in relation to telemedicine. For more details see </w:t>
      </w:r>
      <w:hyperlink r:id="rId78" w:history="1">
        <w:r w:rsidRPr="00AF3E46">
          <w:rPr>
            <w:rStyle w:val="Hyperlink"/>
            <w:lang w:val="en-US"/>
          </w:rPr>
          <w:t>www.maine.gov/sos/cec/rules/02/373/373c006.docx</w:t>
        </w:r>
      </w:hyperlink>
      <w:r>
        <w:rPr>
          <w:lang w:val="en-US"/>
        </w:rPr>
        <w:t xml:space="preserve">. </w:t>
      </w:r>
    </w:p>
  </w:footnote>
  <w:footnote w:id="142">
    <w:p w14:paraId="343C25DA" w14:textId="77777777" w:rsidR="00300867" w:rsidRPr="00AC0CDC" w:rsidRDefault="00300867" w:rsidP="00AC0CDC">
      <w:pPr>
        <w:pStyle w:val="FootnoteText"/>
        <w:rPr>
          <w:lang w:val="en-US"/>
        </w:rPr>
      </w:pPr>
      <w:r>
        <w:rPr>
          <w:rStyle w:val="FootnoteReference"/>
        </w:rPr>
        <w:footnoteRef/>
      </w:r>
      <w:r>
        <w:t xml:space="preserve"> </w:t>
      </w:r>
      <w:r>
        <w:rPr>
          <w:lang w:val="en-US"/>
        </w:rPr>
        <w:tab/>
        <w:t>Information from the online survey.</w:t>
      </w:r>
    </w:p>
  </w:footnote>
  <w:footnote w:id="143">
    <w:p w14:paraId="41610EA2" w14:textId="77777777" w:rsidR="00300867" w:rsidRPr="00AC0CDC" w:rsidRDefault="00300867" w:rsidP="00AC0CDC">
      <w:pPr>
        <w:pStyle w:val="FootnoteText"/>
        <w:rPr>
          <w:lang w:val="en-US"/>
        </w:rPr>
      </w:pPr>
      <w:r>
        <w:rPr>
          <w:rStyle w:val="FootnoteReference"/>
        </w:rPr>
        <w:footnoteRef/>
      </w:r>
      <w:r>
        <w:t xml:space="preserve"> </w:t>
      </w:r>
      <w:r>
        <w:rPr>
          <w:lang w:val="en-US"/>
        </w:rPr>
        <w:tab/>
        <w:t>Information from the online survey.</w:t>
      </w:r>
    </w:p>
  </w:footnote>
  <w:footnote w:id="144">
    <w:p w14:paraId="42BBCA7C" w14:textId="4047F8EB" w:rsidR="00300867" w:rsidRDefault="00300867">
      <w:pPr>
        <w:pStyle w:val="FootnoteText"/>
      </w:pPr>
      <w:r>
        <w:rPr>
          <w:rStyle w:val="FootnoteReference"/>
        </w:rPr>
        <w:footnoteRef/>
      </w:r>
      <w:r>
        <w:t xml:space="preserve"> </w:t>
      </w:r>
      <w:hyperlink r:id="rId79" w:history="1">
        <w:r w:rsidRPr="00056FC6">
          <w:rPr>
            <w:rStyle w:val="Hyperlink"/>
          </w:rPr>
          <w:t>http://ctel.org/</w:t>
        </w:r>
      </w:hyperlink>
    </w:p>
  </w:footnote>
  <w:footnote w:id="145">
    <w:p w14:paraId="674A5FDB" w14:textId="77777777" w:rsidR="00300867" w:rsidRPr="00AC0CDC" w:rsidRDefault="00300867" w:rsidP="00AC0CDC">
      <w:pPr>
        <w:pStyle w:val="FootnoteText"/>
        <w:rPr>
          <w:lang w:val="en-US"/>
        </w:rPr>
      </w:pPr>
      <w:r>
        <w:rPr>
          <w:rStyle w:val="FootnoteReference"/>
        </w:rPr>
        <w:footnoteRef/>
      </w:r>
      <w:r>
        <w:t xml:space="preserve"> </w:t>
      </w:r>
      <w:r>
        <w:rPr>
          <w:lang w:val="en-US"/>
        </w:rPr>
        <w:tab/>
        <w:t>Information from the online survey.</w:t>
      </w:r>
    </w:p>
  </w:footnote>
  <w:footnote w:id="146">
    <w:p w14:paraId="164EBA16" w14:textId="229490D6" w:rsidR="00300867" w:rsidRDefault="00300867" w:rsidP="00820D81">
      <w:pPr>
        <w:pStyle w:val="FootnoteText"/>
      </w:pPr>
      <w:r>
        <w:rPr>
          <w:rStyle w:val="FootnoteReference"/>
        </w:rPr>
        <w:footnoteRef/>
      </w:r>
      <w:r>
        <w:t xml:space="preserve"> </w:t>
      </w:r>
      <w:r>
        <w:tab/>
      </w:r>
      <w:r>
        <w:rPr>
          <w:lang w:val="en-US"/>
        </w:rPr>
        <w:t>Information from the online survey.</w:t>
      </w:r>
    </w:p>
  </w:footnote>
  <w:footnote w:id="147">
    <w:p w14:paraId="754579E0" w14:textId="77777777" w:rsidR="00300867" w:rsidRDefault="00300867" w:rsidP="00E5185A">
      <w:pPr>
        <w:pStyle w:val="FootnoteText"/>
      </w:pPr>
      <w:r>
        <w:rPr>
          <w:rStyle w:val="FootnoteReference"/>
        </w:rPr>
        <w:footnoteRef/>
      </w:r>
      <w:r>
        <w:t xml:space="preserve"> </w:t>
      </w:r>
      <w:r>
        <w:tab/>
        <w:t xml:space="preserve">The Academy is not a compulsory regulator, rather a </w:t>
      </w:r>
      <w:r>
        <w:rPr>
          <w:rFonts w:eastAsia="Times New Roman"/>
        </w:rPr>
        <w:t>voluntary associations. As they say in the survey “[our policy] does not require individuals to do anything”.</w:t>
      </w:r>
    </w:p>
  </w:footnote>
  <w:footnote w:id="148">
    <w:p w14:paraId="161667A0" w14:textId="77777777" w:rsidR="00300867" w:rsidRPr="00301059" w:rsidRDefault="00300867" w:rsidP="00301059">
      <w:pPr>
        <w:pStyle w:val="FootnoteText"/>
        <w:rPr>
          <w:lang w:val="en-US"/>
        </w:rPr>
      </w:pPr>
      <w:r>
        <w:rPr>
          <w:rStyle w:val="FootnoteReference"/>
        </w:rPr>
        <w:footnoteRef/>
      </w:r>
      <w:r>
        <w:t xml:space="preserve"> </w:t>
      </w:r>
      <w:r>
        <w:rPr>
          <w:lang w:val="en-US"/>
        </w:rPr>
        <w:tab/>
        <w:t>Based on information from the survey.</w:t>
      </w:r>
    </w:p>
  </w:footnote>
  <w:footnote w:id="149">
    <w:p w14:paraId="2DD14A1C" w14:textId="78A6B76C" w:rsidR="00300867" w:rsidRDefault="00300867">
      <w:pPr>
        <w:pStyle w:val="FootnoteText"/>
      </w:pPr>
      <w:r>
        <w:rPr>
          <w:rStyle w:val="FootnoteReference"/>
        </w:rPr>
        <w:footnoteRef/>
      </w:r>
      <w:r>
        <w:t xml:space="preserve"> </w:t>
      </w:r>
      <w:r>
        <w:tab/>
        <w:t>Information taken from our survey.</w:t>
      </w:r>
    </w:p>
  </w:footnote>
  <w:footnote w:id="150">
    <w:p w14:paraId="1612659E" w14:textId="70FE0BF7" w:rsidR="00300867" w:rsidRPr="00301059" w:rsidRDefault="00300867" w:rsidP="00301059">
      <w:pPr>
        <w:pStyle w:val="Footnote"/>
        <w:rPr>
          <w:color w:val="C64187" w:themeColor="hyperlink"/>
          <w:u w:val="single"/>
          <w:lang w:eastAsia="en-GB"/>
        </w:rPr>
      </w:pPr>
      <w:r>
        <w:rPr>
          <w:rStyle w:val="FootnoteReference"/>
        </w:rPr>
        <w:footnoteRef/>
      </w:r>
      <w:r>
        <w:t xml:space="preserve"> </w:t>
      </w:r>
      <w:r>
        <w:tab/>
      </w:r>
      <w:r w:rsidRPr="0069251D">
        <w:t>See also</w:t>
      </w:r>
      <w:r>
        <w:t>,</w:t>
      </w:r>
      <w:r w:rsidRPr="0069251D">
        <w:t xml:space="preserve"> “Practicing Medicine Through Telehealth Technology in California”</w:t>
      </w:r>
      <w:r>
        <w:t xml:space="preserve">. </w:t>
      </w:r>
      <w:hyperlink r:id="rId80" w:history="1">
        <w:r w:rsidRPr="00FA2BA9">
          <w:rPr>
            <w:rStyle w:val="Hyperlink"/>
            <w:lang w:eastAsia="en-GB"/>
          </w:rPr>
          <w:t>http://www.mbc.ca.gov/Licensees/Telehealth.aspx</w:t>
        </w:r>
      </w:hyperlink>
      <w:r>
        <w:rPr>
          <w:rStyle w:val="Hyperlink"/>
          <w:lang w:eastAsia="en-GB"/>
        </w:rPr>
        <w:t xml:space="preserve">. </w:t>
      </w:r>
      <w:r>
        <w:t xml:space="preserve">See also, </w:t>
      </w:r>
      <w:r w:rsidRPr="001166E4">
        <w:t>Business and Professions Code section 2290.5 for the section of law pertaining to telehealth for the Medical Board of California</w:t>
      </w:r>
      <w:r>
        <w:t xml:space="preserve"> </w:t>
      </w:r>
      <w:hyperlink r:id="rId81" w:history="1">
        <w:r w:rsidRPr="00FA2BA9">
          <w:rPr>
            <w:rStyle w:val="Hyperlink"/>
          </w:rPr>
          <w:t>https://leginfo.legislature.ca.gov/faces/codes_displaySection.xhtml?lawCode=BPC&amp;sectionNum=2290.5</w:t>
        </w:r>
      </w:hyperlink>
      <w:r w:rsidRPr="001166E4">
        <w:t>.</w:t>
      </w:r>
    </w:p>
    <w:p w14:paraId="4D208D73" w14:textId="35539B05" w:rsidR="00300867" w:rsidRDefault="00300867">
      <w:pPr>
        <w:pStyle w:val="FootnoteText"/>
      </w:pPr>
    </w:p>
  </w:footnote>
  <w:footnote w:id="151">
    <w:p w14:paraId="26E1114C" w14:textId="77777777" w:rsidR="00300867" w:rsidRPr="00301059" w:rsidRDefault="00300867" w:rsidP="00301059">
      <w:pPr>
        <w:pStyle w:val="FootnoteText"/>
        <w:rPr>
          <w:lang w:val="en-US"/>
        </w:rPr>
      </w:pPr>
      <w:r>
        <w:rPr>
          <w:rStyle w:val="FootnoteReference"/>
        </w:rPr>
        <w:footnoteRef/>
      </w:r>
      <w:r>
        <w:t xml:space="preserve"> </w:t>
      </w:r>
      <w:r>
        <w:rPr>
          <w:lang w:val="en-US"/>
        </w:rPr>
        <w:tab/>
        <w:t>Based on information from the survey.</w:t>
      </w:r>
    </w:p>
  </w:footnote>
  <w:footnote w:id="152">
    <w:p w14:paraId="1EB7E83F" w14:textId="47FFFD2C" w:rsidR="00300867" w:rsidRPr="001B4B4D" w:rsidRDefault="00300867" w:rsidP="00AA6D5F">
      <w:pPr>
        <w:pStyle w:val="Footnote"/>
        <w:rPr>
          <w:lang w:eastAsia="en-GB"/>
        </w:rPr>
      </w:pPr>
      <w:r>
        <w:rPr>
          <w:rStyle w:val="FootnoteReference"/>
        </w:rPr>
        <w:footnoteRef/>
      </w:r>
      <w:r>
        <w:t xml:space="preserve"> Taken from the </w:t>
      </w:r>
      <w:r w:rsidRPr="001B4B4D">
        <w:rPr>
          <w:lang w:eastAsia="en-GB"/>
        </w:rPr>
        <w:t>Oklahoma Administrative Code (</w:t>
      </w:r>
      <w:r>
        <w:rPr>
          <w:lang w:eastAsia="en-GB"/>
        </w:rPr>
        <w:t xml:space="preserve">Last Updated: November 26,2015) </w:t>
      </w:r>
      <w:r w:rsidRPr="001B4B4D">
        <w:rPr>
          <w:lang w:eastAsia="en-GB"/>
        </w:rPr>
        <w:t>Title 435. State Board of Me</w:t>
      </w:r>
      <w:r>
        <w:rPr>
          <w:lang w:eastAsia="en-GB"/>
        </w:rPr>
        <w:t xml:space="preserve">dical Licensure and Supervision </w:t>
      </w:r>
      <w:r w:rsidRPr="001B4B4D">
        <w:rPr>
          <w:lang w:eastAsia="en-GB"/>
        </w:rPr>
        <w:t>Chap</w:t>
      </w:r>
      <w:r>
        <w:rPr>
          <w:lang w:eastAsia="en-GB"/>
        </w:rPr>
        <w:t xml:space="preserve">ter 10. Physicians and Surgeons </w:t>
      </w:r>
      <w:r w:rsidRPr="001B4B4D">
        <w:rPr>
          <w:lang w:eastAsia="en-GB"/>
        </w:rPr>
        <w:t>Subchapter 7. Regulation of</w:t>
      </w:r>
      <w:r>
        <w:rPr>
          <w:lang w:eastAsia="en-GB"/>
        </w:rPr>
        <w:t xml:space="preserve"> Physician and Surgeon Practice </w:t>
      </w:r>
      <w:hyperlink r:id="rId82" w:history="1">
        <w:r w:rsidRPr="001B4B4D">
          <w:rPr>
            <w:rStyle w:val="Hyperlink"/>
            <w:lang w:eastAsia="en-GB"/>
          </w:rPr>
          <w:t>http://okrules.elaws.us/oac/435:10-7-13</w:t>
        </w:r>
      </w:hyperlink>
    </w:p>
    <w:p w14:paraId="1CEC0259" w14:textId="26F3428B" w:rsidR="00300867" w:rsidRDefault="00300867">
      <w:pPr>
        <w:pStyle w:val="FootnoteText"/>
      </w:pPr>
    </w:p>
  </w:footnote>
  <w:footnote w:id="153">
    <w:p w14:paraId="2FB9A37D" w14:textId="54CE7DD6" w:rsidR="00300867" w:rsidRDefault="00300867">
      <w:pPr>
        <w:pStyle w:val="FootnoteText"/>
      </w:pPr>
      <w:r>
        <w:rPr>
          <w:rStyle w:val="FootnoteReference"/>
        </w:rPr>
        <w:footnoteRef/>
      </w:r>
      <w:r>
        <w:t xml:space="preserve"> Information from our survey.</w:t>
      </w:r>
    </w:p>
  </w:footnote>
  <w:footnote w:id="154">
    <w:p w14:paraId="1CAD9BC8" w14:textId="77777777" w:rsidR="00300867" w:rsidRPr="005F6E1F" w:rsidRDefault="00300867" w:rsidP="001C00D0">
      <w:pPr>
        <w:pStyle w:val="FootnoteText"/>
        <w:rPr>
          <w:lang w:val="en-US"/>
        </w:rPr>
      </w:pPr>
      <w:r>
        <w:rPr>
          <w:rStyle w:val="FootnoteReference"/>
        </w:rPr>
        <w:footnoteRef/>
      </w:r>
      <w:r>
        <w:t xml:space="preserve"> </w:t>
      </w:r>
      <w:r>
        <w:rPr>
          <w:lang w:val="en-US"/>
        </w:rPr>
        <w:tab/>
        <w:t>Information from the online survey.</w:t>
      </w:r>
    </w:p>
  </w:footnote>
  <w:footnote w:id="155">
    <w:p w14:paraId="68C0DF9B" w14:textId="77777777" w:rsidR="00300867" w:rsidRPr="00301059" w:rsidRDefault="00300867" w:rsidP="009D706A">
      <w:pPr>
        <w:pStyle w:val="FootnoteText"/>
        <w:rPr>
          <w:lang w:val="en-US"/>
        </w:rPr>
      </w:pPr>
      <w:r>
        <w:rPr>
          <w:rStyle w:val="FootnoteReference"/>
        </w:rPr>
        <w:footnoteRef/>
      </w:r>
      <w:r>
        <w:t xml:space="preserve"> </w:t>
      </w:r>
      <w:r>
        <w:rPr>
          <w:lang w:val="en-US"/>
        </w:rPr>
        <w:tab/>
        <w:t>Based on information from the survey.</w:t>
      </w:r>
    </w:p>
  </w:footnote>
  <w:footnote w:id="156">
    <w:p w14:paraId="79A228C2" w14:textId="11CE43FF" w:rsidR="00300867" w:rsidRPr="00301059" w:rsidRDefault="00300867" w:rsidP="009D706A">
      <w:pPr>
        <w:pStyle w:val="Footnote"/>
        <w:rPr>
          <w:lang w:val="en-US"/>
        </w:rPr>
      </w:pPr>
      <w:r>
        <w:rPr>
          <w:rStyle w:val="FootnoteReference"/>
        </w:rPr>
        <w:footnoteRef/>
      </w:r>
      <w:r>
        <w:t xml:space="preserve"> </w:t>
      </w:r>
      <w:r>
        <w:rPr>
          <w:lang w:val="en-US"/>
        </w:rPr>
        <w:tab/>
        <w:t>Based on information from the survey.</w:t>
      </w:r>
    </w:p>
  </w:footnote>
  <w:footnote w:id="157">
    <w:p w14:paraId="2D7EECBF" w14:textId="61957FC6" w:rsidR="00300867" w:rsidRDefault="00300867" w:rsidP="009D706A">
      <w:pPr>
        <w:pStyle w:val="Footnote"/>
      </w:pPr>
      <w:r>
        <w:rPr>
          <w:rStyle w:val="FootnoteReference"/>
        </w:rPr>
        <w:footnoteRef/>
      </w:r>
      <w:r>
        <w:t xml:space="preserve"> </w:t>
      </w:r>
      <w:r>
        <w:tab/>
        <w:t xml:space="preserve">See </w:t>
      </w:r>
      <w:r w:rsidRPr="001B4B4D">
        <w:t>Guide to Professional Conduct and Ethics for Registered Medical Pra</w:t>
      </w:r>
      <w:r>
        <w:t xml:space="preserve">ctitioners, 8th Edition, 2016,  </w:t>
      </w:r>
      <w:r w:rsidRPr="001B4B4D">
        <w:t>Section 43 “Telemedicine”</w:t>
      </w:r>
      <w:r>
        <w:t xml:space="preserve">, paragraph 43.1 for more details: </w:t>
      </w:r>
      <w:hyperlink r:id="rId83" w:history="1">
        <w:r w:rsidRPr="001B4B4D">
          <w:rPr>
            <w:rStyle w:val="Hyperlink"/>
          </w:rPr>
          <w:t>https://www.medicalcouncil.ie/News-and-Publications/Reports/Guide-to-Professional-Conduct-Ethics-8th-Edition.html</w:t>
        </w:r>
      </w:hyperlink>
    </w:p>
  </w:footnote>
  <w:footnote w:id="158">
    <w:p w14:paraId="70AFFD80" w14:textId="3849A477" w:rsidR="00300867" w:rsidRPr="001B4B4D" w:rsidRDefault="00300867" w:rsidP="009D706A">
      <w:pPr>
        <w:pStyle w:val="Footnote"/>
      </w:pPr>
      <w:r>
        <w:rPr>
          <w:rStyle w:val="FootnoteReference"/>
        </w:rPr>
        <w:footnoteRef/>
      </w:r>
      <w:r>
        <w:t xml:space="preserve"> </w:t>
      </w:r>
      <w:r w:rsidR="0068656B">
        <w:tab/>
      </w:r>
      <w:r>
        <w:t xml:space="preserve">See </w:t>
      </w:r>
      <w:r w:rsidRPr="001B4B4D">
        <w:t>Guide to Professional Conduct and Ethics for Registered Medical Pra</w:t>
      </w:r>
      <w:r>
        <w:t xml:space="preserve">ctitioners, 8th Edition, 2016,  </w:t>
      </w:r>
      <w:r w:rsidRPr="001B4B4D">
        <w:t>Section 43 “Telemedicine”</w:t>
      </w:r>
      <w:r>
        <w:t xml:space="preserve">, paragraphs 43.2 to 43.4 for more details: </w:t>
      </w:r>
      <w:hyperlink r:id="rId84" w:history="1">
        <w:r w:rsidRPr="001B4B4D">
          <w:rPr>
            <w:rStyle w:val="Hyperlink"/>
          </w:rPr>
          <w:t>https://www.medicalcouncil.ie/News-and-Publications/Reports/Guide-to-Professional-Conduct-Ethics-8th-Edition.html</w:t>
        </w:r>
      </w:hyperlink>
    </w:p>
    <w:p w14:paraId="665EFF55" w14:textId="77CAEF46" w:rsidR="00300867" w:rsidRDefault="00300867">
      <w:pPr>
        <w:pStyle w:val="FootnoteText"/>
      </w:pPr>
    </w:p>
  </w:footnote>
  <w:footnote w:id="159">
    <w:p w14:paraId="55210B3C" w14:textId="77777777" w:rsidR="00300867" w:rsidRPr="00301059" w:rsidRDefault="00300867" w:rsidP="009D706A">
      <w:pPr>
        <w:pStyle w:val="FootnoteText"/>
        <w:rPr>
          <w:lang w:val="en-US"/>
        </w:rPr>
      </w:pPr>
      <w:r>
        <w:rPr>
          <w:rStyle w:val="FootnoteReference"/>
        </w:rPr>
        <w:footnoteRef/>
      </w:r>
      <w:r>
        <w:t xml:space="preserve"> </w:t>
      </w:r>
      <w:r>
        <w:rPr>
          <w:lang w:val="en-US"/>
        </w:rPr>
        <w:tab/>
        <w:t>Based on information from the survey.</w:t>
      </w:r>
    </w:p>
  </w:footnote>
  <w:footnote w:id="160">
    <w:p w14:paraId="4FE6FCBF" w14:textId="77777777" w:rsidR="00300867" w:rsidRPr="00301059" w:rsidRDefault="00300867" w:rsidP="009D706A">
      <w:pPr>
        <w:pStyle w:val="FootnoteText"/>
        <w:rPr>
          <w:lang w:val="en-US"/>
        </w:rPr>
      </w:pPr>
      <w:r>
        <w:rPr>
          <w:rStyle w:val="FootnoteReference"/>
        </w:rPr>
        <w:footnoteRef/>
      </w:r>
      <w:r>
        <w:t xml:space="preserve"> </w:t>
      </w:r>
      <w:r>
        <w:rPr>
          <w:lang w:val="en-US"/>
        </w:rPr>
        <w:tab/>
        <w:t>Based on information from the survey.</w:t>
      </w:r>
    </w:p>
  </w:footnote>
  <w:footnote w:id="161">
    <w:p w14:paraId="7A62BAEE" w14:textId="77777777" w:rsidR="00300867" w:rsidRPr="00301059" w:rsidRDefault="00300867" w:rsidP="009D706A">
      <w:pPr>
        <w:pStyle w:val="Footnote"/>
        <w:rPr>
          <w:lang w:val="en-US"/>
        </w:rPr>
      </w:pPr>
      <w:r>
        <w:rPr>
          <w:rStyle w:val="FootnoteReference"/>
        </w:rPr>
        <w:footnoteRef/>
      </w:r>
      <w:r>
        <w:t xml:space="preserve"> </w:t>
      </w:r>
      <w:r>
        <w:rPr>
          <w:lang w:val="en-US"/>
        </w:rPr>
        <w:tab/>
        <w:t>Based on information from the survey.</w:t>
      </w:r>
    </w:p>
  </w:footnote>
  <w:footnote w:id="162">
    <w:p w14:paraId="0DCDF19A" w14:textId="1EE563FF" w:rsidR="00300867" w:rsidRPr="001B4B4D" w:rsidRDefault="00300867" w:rsidP="009D706A">
      <w:pPr>
        <w:pStyle w:val="Footnote"/>
        <w:rPr>
          <w:lang w:eastAsia="en-GB"/>
        </w:rPr>
      </w:pPr>
      <w:r>
        <w:rPr>
          <w:rStyle w:val="FootnoteReference"/>
        </w:rPr>
        <w:footnoteRef/>
      </w:r>
      <w:r>
        <w:t xml:space="preserve"> </w:t>
      </w:r>
      <w:r>
        <w:tab/>
        <w:t xml:space="preserve">Taken from </w:t>
      </w:r>
      <w:r w:rsidRPr="001B4B4D">
        <w:rPr>
          <w:lang w:eastAsia="en-GB"/>
        </w:rPr>
        <w:t>“General ethical guidelines for good practic</w:t>
      </w:r>
      <w:r>
        <w:rPr>
          <w:lang w:eastAsia="en-GB"/>
        </w:rPr>
        <w:t xml:space="preserve">e in telemedicine”, section 3.1 </w:t>
      </w:r>
      <w:hyperlink r:id="rId85" w:history="1">
        <w:r w:rsidRPr="001B4B4D">
          <w:rPr>
            <w:rStyle w:val="Hyperlink"/>
          </w:rPr>
          <w:t>http://www.hpcsa.co.za/Uploads/editor/UserFiles/downloads/conduct_ethics/Booklet%2010.pdf</w:t>
        </w:r>
      </w:hyperlink>
      <w:r>
        <w:rPr>
          <w:rStyle w:val="Hyperlink"/>
        </w:rPr>
        <w:t>.</w:t>
      </w:r>
    </w:p>
    <w:p w14:paraId="5E8924E9" w14:textId="6959CD21" w:rsidR="00300867" w:rsidRDefault="00300867">
      <w:pPr>
        <w:pStyle w:val="FootnoteText"/>
      </w:pPr>
    </w:p>
  </w:footnote>
  <w:footnote w:id="163">
    <w:p w14:paraId="03A3D872" w14:textId="40DF6664" w:rsidR="00300867" w:rsidRDefault="00300867" w:rsidP="00524B0E">
      <w:pPr>
        <w:pStyle w:val="Footnote"/>
        <w:rPr>
          <w:lang w:eastAsia="en-GB"/>
        </w:rPr>
      </w:pPr>
      <w:r>
        <w:rPr>
          <w:rStyle w:val="FootnoteReference"/>
        </w:rPr>
        <w:footnoteRef/>
      </w:r>
      <w:r>
        <w:t xml:space="preserve"> </w:t>
      </w:r>
      <w:r>
        <w:tab/>
      </w:r>
      <w:r w:rsidRPr="001B4B4D">
        <w:rPr>
          <w:lang w:eastAsia="en-GB"/>
        </w:rPr>
        <w:t>Also, see “General ethical guidelines for good practice in telemedicine”, Secti</w:t>
      </w:r>
      <w:r>
        <w:rPr>
          <w:lang w:eastAsia="en-GB"/>
        </w:rPr>
        <w:t xml:space="preserve">on 4, </w:t>
      </w:r>
      <w:hyperlink r:id="rId86" w:history="1">
        <w:r w:rsidRPr="001B4B4D">
          <w:rPr>
            <w:rStyle w:val="Hyperlink"/>
          </w:rPr>
          <w:t>http://www.hpcsa.co.za/Uploads/editor/UserFiles/downloads/conduct_ethics/Booklet%2010.pdf</w:t>
        </w:r>
      </w:hyperlink>
      <w:r>
        <w:rPr>
          <w:lang w:eastAsia="en-GB"/>
        </w:rPr>
        <w:t>.</w:t>
      </w:r>
    </w:p>
  </w:footnote>
  <w:footnote w:id="164">
    <w:p w14:paraId="2DFC7A0C" w14:textId="100F954D" w:rsidR="00300867" w:rsidRPr="001B4B4D" w:rsidRDefault="00300867" w:rsidP="00524B0E">
      <w:pPr>
        <w:pStyle w:val="Footnote"/>
      </w:pPr>
      <w:r>
        <w:rPr>
          <w:rStyle w:val="FootnoteReference"/>
        </w:rPr>
        <w:footnoteRef/>
      </w:r>
      <w:r>
        <w:t xml:space="preserve"> </w:t>
      </w:r>
      <w:r>
        <w:tab/>
      </w:r>
      <w:r w:rsidRPr="001B4B4D">
        <w:rPr>
          <w:lang w:eastAsia="en-GB"/>
        </w:rPr>
        <w:t>“General ethical guidelines for good practice in telemedicine”, Section 4.1.3</w:t>
      </w:r>
      <w:r>
        <w:rPr>
          <w:lang w:eastAsia="en-GB"/>
        </w:rPr>
        <w:t xml:space="preserve">, </w:t>
      </w:r>
      <w:hyperlink r:id="rId87" w:history="1">
        <w:r w:rsidRPr="001B4B4D">
          <w:rPr>
            <w:rStyle w:val="Hyperlink"/>
          </w:rPr>
          <w:t>http://www.hpcsa.co.za/Uploads/editor/UserFiles/downloads/conduct_ethics/Booklet%2010.pdf</w:t>
        </w:r>
      </w:hyperlink>
      <w:r>
        <w:rPr>
          <w:rStyle w:val="Hyperlink"/>
        </w:rPr>
        <w:t>.</w:t>
      </w:r>
    </w:p>
    <w:p w14:paraId="2FC3DC72" w14:textId="248A3F73" w:rsidR="00300867" w:rsidRDefault="00300867">
      <w:pPr>
        <w:pStyle w:val="FootnoteText"/>
      </w:pPr>
    </w:p>
  </w:footnote>
  <w:footnote w:id="165">
    <w:p w14:paraId="0DE57495" w14:textId="77777777" w:rsidR="00300867" w:rsidRPr="00301059" w:rsidRDefault="00300867" w:rsidP="00524B0E">
      <w:pPr>
        <w:pStyle w:val="Footnote"/>
        <w:rPr>
          <w:lang w:val="en-US"/>
        </w:rPr>
      </w:pPr>
      <w:r>
        <w:rPr>
          <w:rStyle w:val="FootnoteReference"/>
        </w:rPr>
        <w:footnoteRef/>
      </w:r>
      <w:r>
        <w:t xml:space="preserve"> </w:t>
      </w:r>
      <w:r>
        <w:rPr>
          <w:lang w:val="en-US"/>
        </w:rPr>
        <w:tab/>
        <w:t>Based on information from the survey.</w:t>
      </w:r>
    </w:p>
  </w:footnote>
  <w:footnote w:id="166">
    <w:p w14:paraId="183E63FD" w14:textId="71073897" w:rsidR="00300867" w:rsidRDefault="00300867">
      <w:pPr>
        <w:pStyle w:val="FootnoteText"/>
      </w:pPr>
      <w:r>
        <w:rPr>
          <w:rStyle w:val="FootnoteReference"/>
        </w:rPr>
        <w:footnoteRef/>
      </w:r>
      <w:r>
        <w:t xml:space="preserve"> </w:t>
      </w:r>
      <w:r>
        <w:tab/>
      </w:r>
      <w:r>
        <w:tab/>
      </w:r>
      <w:r>
        <w:tab/>
        <w:t xml:space="preserve">Information collected from an email exchange with the Board. </w:t>
      </w:r>
    </w:p>
  </w:footnote>
  <w:footnote w:id="167">
    <w:p w14:paraId="55048D8D" w14:textId="77777777" w:rsidR="00300867" w:rsidRPr="00301059" w:rsidRDefault="00300867" w:rsidP="00524B0E">
      <w:pPr>
        <w:pStyle w:val="Footnote"/>
        <w:rPr>
          <w:lang w:val="en-US"/>
        </w:rPr>
      </w:pPr>
      <w:r>
        <w:rPr>
          <w:rStyle w:val="FootnoteReference"/>
        </w:rPr>
        <w:footnoteRef/>
      </w:r>
      <w:r>
        <w:t xml:space="preserve"> </w:t>
      </w:r>
      <w:r>
        <w:rPr>
          <w:lang w:val="en-US"/>
        </w:rPr>
        <w:tab/>
        <w:t>Based on information from the survey.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22DC8" w14:textId="6BE82908" w:rsidR="00300867" w:rsidRPr="0096535B" w:rsidRDefault="00300867" w:rsidP="0096535B">
    <w:pPr>
      <w:pStyle w:val="Header"/>
      <w:pBdr>
        <w:bottom w:val="single" w:sz="6" w:space="3" w:color="E8B3CF" w:themeColor="accent3"/>
      </w:pBdr>
      <w:tabs>
        <w:tab w:val="left" w:pos="284"/>
      </w:tabs>
      <w:rPr>
        <w:rFonts w:asciiTheme="majorHAnsi" w:hAnsiTheme="majorHAnsi"/>
        <w:sz w:val="20"/>
        <w:szCs w:val="20"/>
      </w:rPr>
    </w:pPr>
    <w:r w:rsidRPr="00275B6E">
      <w:rPr>
        <w:rFonts w:asciiTheme="majorHAnsi" w:hAnsiTheme="majorHAnsi"/>
        <w:noProof/>
        <w:sz w:val="20"/>
        <w:szCs w:val="20"/>
        <w:lang w:eastAsia="en-GB"/>
      </w:rPr>
      <w:drawing>
        <wp:anchor distT="0" distB="0" distL="114300" distR="114300" simplePos="0" relativeHeight="251659264" behindDoc="1" locked="1" layoutInCell="1" allowOverlap="1" wp14:anchorId="72C8DC59" wp14:editId="2CE0358A">
          <wp:simplePos x="0" y="0"/>
          <wp:positionH relativeFrom="column">
            <wp:posOffset>6722745</wp:posOffset>
          </wp:positionH>
          <wp:positionV relativeFrom="page">
            <wp:posOffset>4312920</wp:posOffset>
          </wp:positionV>
          <wp:extent cx="3265170" cy="3192780"/>
          <wp:effectExtent l="0" t="0" r="0" b="0"/>
          <wp:wrapNone/>
          <wp:docPr id="2005659891" name="Picture 2005659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grey.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65170" cy="3192780"/>
                  </a:xfrm>
                  <a:prstGeom prst="rect">
                    <a:avLst/>
                  </a:prstGeom>
                </pic:spPr>
              </pic:pic>
            </a:graphicData>
          </a:graphic>
          <wp14:sizeRelH relativeFrom="page">
            <wp14:pctWidth>0</wp14:pctWidth>
          </wp14:sizeRelH>
          <wp14:sizeRelV relativeFrom="page">
            <wp14:pctHeight>0</wp14:pctHeight>
          </wp14:sizeRelV>
        </wp:anchor>
      </w:drawing>
    </w:r>
    <w:r w:rsidRPr="00275B6E">
      <w:rPr>
        <w:rFonts w:asciiTheme="majorHAnsi" w:hAnsiTheme="majorHAnsi"/>
        <w:sz w:val="20"/>
        <w:szCs w:val="20"/>
      </w:rPr>
      <w:fldChar w:fldCharType="begin"/>
    </w:r>
    <w:r w:rsidRPr="00275B6E">
      <w:rPr>
        <w:rFonts w:asciiTheme="majorHAnsi" w:hAnsiTheme="majorHAnsi"/>
        <w:sz w:val="20"/>
        <w:szCs w:val="20"/>
      </w:rPr>
      <w:instrText xml:space="preserve"> STYLEREF "Heading 1" \* MERGEFORMAT \* MERGEFORMAT </w:instrText>
    </w:r>
    <w:r w:rsidRPr="00275B6E">
      <w:rPr>
        <w:rFonts w:asciiTheme="majorHAnsi" w:hAnsiTheme="majorHAnsi"/>
        <w:sz w:val="20"/>
        <w:szCs w:val="20"/>
      </w:rPr>
      <w:fldChar w:fldCharType="separate"/>
    </w:r>
    <w:r>
      <w:rPr>
        <w:rFonts w:asciiTheme="majorHAnsi" w:hAnsiTheme="majorHAnsi"/>
        <w:noProof/>
        <w:sz w:val="20"/>
        <w:szCs w:val="20"/>
      </w:rPr>
      <w:t>Appendix</w:t>
    </w:r>
    <w:r w:rsidRPr="00275B6E">
      <w:rPr>
        <w:rFonts w:asciiTheme="majorHAnsi" w:hAnsiTheme="majorHAnsi"/>
        <w:noProof/>
        <w:sz w:val="20"/>
        <w:szCs w:val="20"/>
      </w:rPr>
      <w:fldChar w:fldCharType="end"/>
    </w:r>
    <w:r w:rsidRPr="00275B6E">
      <w:rPr>
        <w:rFonts w:asciiTheme="majorHAnsi" w:hAnsiTheme="majorHAnsi"/>
        <w:noProof/>
        <w:sz w:val="20"/>
        <w:szCs w:val="20"/>
        <w:lang w:eastAsia="en-GB"/>
      </w:rPr>
      <w:drawing>
        <wp:anchor distT="0" distB="0" distL="114300" distR="114300" simplePos="0" relativeHeight="251656192" behindDoc="1" locked="1" layoutInCell="1" allowOverlap="1" wp14:anchorId="6A9D1341" wp14:editId="102F0CBE">
          <wp:simplePos x="0" y="0"/>
          <wp:positionH relativeFrom="column">
            <wp:posOffset>3715385</wp:posOffset>
          </wp:positionH>
          <wp:positionV relativeFrom="page">
            <wp:posOffset>7606665</wp:posOffset>
          </wp:positionV>
          <wp:extent cx="3265170" cy="3192780"/>
          <wp:effectExtent l="0" t="0" r="0" b="0"/>
          <wp:wrapNone/>
          <wp:docPr id="1735027413" name="Picture 1735027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grey.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65170" cy="3192780"/>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19DB6" w14:textId="35D3C770" w:rsidR="00300867" w:rsidRPr="00A87220" w:rsidRDefault="00300867" w:rsidP="00561D7A">
    <w:pPr>
      <w:pStyle w:val="Header"/>
      <w:rPr>
        <w:rFonts w:asciiTheme="majorHAnsi" w:hAnsiTheme="majorHAnsi"/>
        <w:color w:val="7F7F7F" w:themeColor="text1" w:themeTint="80"/>
        <w:sz w:val="20"/>
      </w:rPr>
    </w:pPr>
    <w:r w:rsidRPr="00A87220">
      <w:rPr>
        <w:rFonts w:asciiTheme="majorHAnsi" w:hAnsiTheme="majorHAnsi"/>
        <w:color w:val="7F7F7F" w:themeColor="text1" w:themeTint="80"/>
        <w:sz w:val="20"/>
      </w:rPr>
      <w:fldChar w:fldCharType="begin"/>
    </w:r>
    <w:r w:rsidRPr="00A87220">
      <w:rPr>
        <w:rFonts w:asciiTheme="majorHAnsi" w:hAnsiTheme="majorHAnsi"/>
        <w:color w:val="7F7F7F" w:themeColor="text1" w:themeTint="80"/>
        <w:sz w:val="20"/>
      </w:rPr>
      <w:instrText xml:space="preserve"> STYLEREF  "Heading 1" </w:instrText>
    </w:r>
    <w:r w:rsidRPr="00A87220">
      <w:rPr>
        <w:rFonts w:asciiTheme="majorHAnsi" w:hAnsiTheme="majorHAnsi"/>
        <w:color w:val="7F7F7F" w:themeColor="text1" w:themeTint="80"/>
        <w:sz w:val="20"/>
      </w:rPr>
      <w:fldChar w:fldCharType="separate"/>
    </w:r>
    <w:r w:rsidR="007652AF">
      <w:rPr>
        <w:rFonts w:asciiTheme="majorHAnsi" w:hAnsiTheme="majorHAnsi"/>
        <w:noProof/>
        <w:color w:val="7F7F7F" w:themeColor="text1" w:themeTint="80"/>
        <w:sz w:val="20"/>
      </w:rPr>
      <w:t>Appendix 2 — core countries</w:t>
    </w:r>
    <w:r w:rsidRPr="00A87220">
      <w:rPr>
        <w:rFonts w:asciiTheme="majorHAnsi" w:hAnsiTheme="majorHAnsi"/>
        <w:color w:val="7F7F7F" w:themeColor="text1" w:themeTint="80"/>
        <w:sz w:val="20"/>
      </w:rPr>
      <w:fldChar w:fldCharType="end"/>
    </w:r>
    <w:r w:rsidRPr="00A87220">
      <w:rPr>
        <w:rFonts w:asciiTheme="majorHAnsi" w:hAnsiTheme="majorHAnsi"/>
        <w:color w:val="7F7F7F" w:themeColor="text1" w:themeTint="80"/>
        <w:sz w:val="20"/>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47A60" w14:textId="324A907D" w:rsidR="00300867" w:rsidRPr="0096535B" w:rsidRDefault="00300867" w:rsidP="00732ADE">
    <w:pPr>
      <w:pStyle w:val="Header"/>
      <w:pBdr>
        <w:bottom w:val="single" w:sz="6" w:space="3" w:color="909090" w:themeColor="accent4"/>
      </w:pBdr>
      <w:tabs>
        <w:tab w:val="left" w:pos="284"/>
      </w:tabs>
      <w:rPr>
        <w:rFonts w:asciiTheme="majorHAnsi" w:hAnsiTheme="majorHAnsi"/>
        <w:noProof/>
        <w:sz w:val="20"/>
        <w:szCs w:val="20"/>
      </w:rPr>
    </w:pPr>
    <w:r w:rsidRPr="00275B6E">
      <w:rPr>
        <w:rFonts w:asciiTheme="majorHAnsi" w:hAnsiTheme="majorHAnsi"/>
        <w:noProof/>
        <w:sz w:val="20"/>
        <w:szCs w:val="20"/>
        <w:lang w:eastAsia="en-GB"/>
      </w:rPr>
      <w:drawing>
        <wp:anchor distT="0" distB="0" distL="114300" distR="114300" simplePos="0" relativeHeight="251654144" behindDoc="1" locked="1" layoutInCell="1" allowOverlap="1" wp14:anchorId="3E7CF12E" wp14:editId="714C4F79">
          <wp:simplePos x="0" y="0"/>
          <wp:positionH relativeFrom="column">
            <wp:posOffset>6722745</wp:posOffset>
          </wp:positionH>
          <wp:positionV relativeFrom="page">
            <wp:posOffset>4312920</wp:posOffset>
          </wp:positionV>
          <wp:extent cx="3265170" cy="319278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grey.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65170" cy="319278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szCs w:val="20"/>
      </w:rPr>
      <w:fldChar w:fldCharType="begin"/>
    </w:r>
    <w:r>
      <w:rPr>
        <w:rFonts w:asciiTheme="majorHAnsi" w:hAnsiTheme="majorHAnsi"/>
        <w:noProof/>
        <w:sz w:val="20"/>
        <w:szCs w:val="20"/>
      </w:rPr>
      <w:instrText xml:space="preserve"> STYLEREF  "Heading 1" </w:instrText>
    </w:r>
    <w:r>
      <w:rPr>
        <w:rFonts w:asciiTheme="majorHAnsi" w:hAnsiTheme="majorHAnsi"/>
        <w:noProof/>
        <w:sz w:val="20"/>
        <w:szCs w:val="20"/>
      </w:rPr>
      <w:fldChar w:fldCharType="separate"/>
    </w:r>
    <w:r w:rsidR="007652AF">
      <w:rPr>
        <w:rFonts w:asciiTheme="majorHAnsi" w:hAnsiTheme="majorHAnsi"/>
        <w:noProof/>
        <w:sz w:val="20"/>
        <w:szCs w:val="20"/>
      </w:rPr>
      <w:t>Survey Respondents</w:t>
    </w:r>
    <w:r>
      <w:rPr>
        <w:rFonts w:asciiTheme="majorHAnsi" w:hAnsiTheme="majorHAnsi"/>
        <w:noProof/>
        <w:sz w:val="20"/>
        <w:szCs w:val="20"/>
      </w:rPr>
      <w:fldChar w:fldCharType="end"/>
    </w:r>
    <w:r>
      <w:rPr>
        <w:rFonts w:asciiTheme="majorHAnsi" w:hAnsiTheme="majorHAnsi"/>
        <w:noProof/>
        <w:sz w:val="20"/>
        <w:szCs w:val="20"/>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F959F" w14:textId="77777777" w:rsidR="00300867" w:rsidRPr="0096535B" w:rsidRDefault="00300867" w:rsidP="00732ADE">
    <w:pPr>
      <w:pStyle w:val="Header"/>
      <w:pBdr>
        <w:bottom w:val="single" w:sz="6" w:space="3" w:color="909090" w:themeColor="accent4"/>
      </w:pBdr>
      <w:tabs>
        <w:tab w:val="left" w:pos="284"/>
      </w:tabs>
      <w:rPr>
        <w:rFonts w:asciiTheme="majorHAnsi" w:hAnsiTheme="majorHAnsi"/>
        <w:noProof/>
        <w:sz w:val="20"/>
        <w:szCs w:val="20"/>
      </w:rPr>
    </w:pPr>
    <w:r w:rsidRPr="00275B6E">
      <w:rPr>
        <w:rFonts w:asciiTheme="majorHAnsi" w:hAnsiTheme="majorHAnsi"/>
        <w:noProof/>
        <w:sz w:val="20"/>
        <w:szCs w:val="20"/>
        <w:lang w:eastAsia="en-GB"/>
      </w:rPr>
      <w:drawing>
        <wp:anchor distT="0" distB="0" distL="114300" distR="114300" simplePos="0" relativeHeight="251662336" behindDoc="1" locked="1" layoutInCell="1" allowOverlap="1" wp14:anchorId="6243554E" wp14:editId="1791D8C2">
          <wp:simplePos x="0" y="0"/>
          <wp:positionH relativeFrom="column">
            <wp:posOffset>6722745</wp:posOffset>
          </wp:positionH>
          <wp:positionV relativeFrom="page">
            <wp:posOffset>4312920</wp:posOffset>
          </wp:positionV>
          <wp:extent cx="3265170" cy="319278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grey.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65170" cy="319278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szCs w:val="20"/>
      </w:rPr>
      <w:fldChar w:fldCharType="begin"/>
    </w:r>
    <w:r>
      <w:rPr>
        <w:rFonts w:asciiTheme="majorHAnsi" w:hAnsiTheme="majorHAnsi"/>
        <w:noProof/>
        <w:sz w:val="20"/>
        <w:szCs w:val="20"/>
      </w:rPr>
      <w:instrText xml:space="preserve"> STYLEREF  "Heading 1 Pink"  \* MERGEFORMAT </w:instrText>
    </w:r>
    <w:r>
      <w:rPr>
        <w:rFonts w:asciiTheme="majorHAnsi" w:hAnsiTheme="majorHAnsi"/>
        <w:noProof/>
        <w:sz w:val="20"/>
        <w:szCs w:val="20"/>
      </w:rPr>
      <w:fldChar w:fldCharType="separate"/>
    </w:r>
    <w:r>
      <w:rPr>
        <w:rFonts w:asciiTheme="majorHAnsi" w:hAnsiTheme="majorHAnsi"/>
        <w:b/>
        <w:bCs/>
        <w:noProof/>
        <w:sz w:val="20"/>
        <w:szCs w:val="20"/>
        <w:lang w:val="en-US"/>
      </w:rPr>
      <w:t>Error! No text of specified style in document.</w:t>
    </w:r>
    <w:r>
      <w:rPr>
        <w:rFonts w:asciiTheme="majorHAnsi" w:hAnsiTheme="majorHAnsi"/>
        <w:noProof/>
        <w:sz w:val="20"/>
        <w:szCs w:val="20"/>
      </w:rPr>
      <w:fldChar w:fldCharType="end"/>
    </w:r>
    <w:r w:rsidRPr="0096535B">
      <w:rPr>
        <w:rFonts w:asciiTheme="majorHAnsi" w:hAnsiTheme="majorHAnsi"/>
        <w:noProof/>
        <w:sz w:val="20"/>
        <w:szCs w:val="20"/>
      </w:rPr>
      <w:t xml:space="preserve"> </w:t>
    </w:r>
    <w:r>
      <w:rPr>
        <w:rFonts w:asciiTheme="majorHAnsi" w:hAnsiTheme="majorHAnsi"/>
        <w:noProof/>
        <w:sz w:val="20"/>
        <w:szCs w:val="20"/>
      </w:rPr>
      <w:t xml:space="preserve">— </w:t>
    </w:r>
    <w:r>
      <w:rPr>
        <w:rFonts w:asciiTheme="majorHAnsi" w:hAnsiTheme="majorHAnsi"/>
        <w:noProof/>
        <w:sz w:val="20"/>
        <w:szCs w:val="20"/>
      </w:rPr>
      <w:fldChar w:fldCharType="begin"/>
    </w:r>
    <w:r>
      <w:rPr>
        <w:rFonts w:asciiTheme="majorHAnsi" w:hAnsiTheme="majorHAnsi"/>
        <w:noProof/>
        <w:sz w:val="20"/>
        <w:szCs w:val="20"/>
      </w:rPr>
      <w:instrText xml:space="preserve"> STYLEREF  "Heading 2 Pink"  \* MERGEFORMAT </w:instrText>
    </w:r>
    <w:r>
      <w:rPr>
        <w:rFonts w:asciiTheme="majorHAnsi" w:hAnsiTheme="majorHAnsi"/>
        <w:noProof/>
        <w:sz w:val="20"/>
        <w:szCs w:val="20"/>
      </w:rPr>
      <w:fldChar w:fldCharType="separate"/>
    </w:r>
    <w:r>
      <w:rPr>
        <w:rFonts w:asciiTheme="majorHAnsi" w:hAnsiTheme="majorHAnsi"/>
        <w:noProof/>
        <w:sz w:val="20"/>
        <w:szCs w:val="20"/>
      </w:rPr>
      <w:t>Country level overview</w:t>
    </w:r>
    <w:r>
      <w:rPr>
        <w:rFonts w:asciiTheme="majorHAnsi" w:hAnsiTheme="majorHAnsi"/>
        <w:noProof/>
        <w:sz w:val="20"/>
        <w:szCs w:val="20"/>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189A2" w14:textId="697FCD13" w:rsidR="00300867" w:rsidRPr="00A87220" w:rsidRDefault="00300867" w:rsidP="00561D7A">
    <w:pPr>
      <w:pStyle w:val="Header"/>
      <w:rPr>
        <w:rFonts w:asciiTheme="majorHAnsi" w:hAnsiTheme="majorHAnsi"/>
        <w:color w:val="7F7F7F" w:themeColor="text1" w:themeTint="80"/>
        <w:sz w:val="20"/>
      </w:rPr>
    </w:pPr>
    <w:r w:rsidRPr="00A87220">
      <w:rPr>
        <w:rFonts w:asciiTheme="majorHAnsi" w:hAnsiTheme="majorHAnsi"/>
        <w:color w:val="7F7F7F" w:themeColor="text1" w:themeTint="80"/>
        <w:sz w:val="20"/>
      </w:rPr>
      <w:fldChar w:fldCharType="begin"/>
    </w:r>
    <w:r w:rsidRPr="00A87220">
      <w:rPr>
        <w:rFonts w:asciiTheme="majorHAnsi" w:hAnsiTheme="majorHAnsi"/>
        <w:color w:val="7F7F7F" w:themeColor="text1" w:themeTint="80"/>
        <w:sz w:val="20"/>
      </w:rPr>
      <w:instrText xml:space="preserve"> STYLEREF  "Heading 1" </w:instrText>
    </w:r>
    <w:r w:rsidRPr="00A87220">
      <w:rPr>
        <w:rFonts w:asciiTheme="majorHAnsi" w:hAnsiTheme="majorHAnsi"/>
        <w:color w:val="7F7F7F" w:themeColor="text1" w:themeTint="80"/>
        <w:sz w:val="20"/>
      </w:rPr>
      <w:fldChar w:fldCharType="separate"/>
    </w:r>
    <w:r w:rsidR="007652AF">
      <w:rPr>
        <w:rFonts w:asciiTheme="majorHAnsi" w:hAnsiTheme="majorHAnsi"/>
        <w:noProof/>
        <w:color w:val="7F7F7F" w:themeColor="text1" w:themeTint="80"/>
        <w:sz w:val="20"/>
      </w:rPr>
      <w:t>United Arab Emirates</w:t>
    </w:r>
    <w:r w:rsidRPr="00A87220">
      <w:rPr>
        <w:rFonts w:asciiTheme="majorHAnsi" w:hAnsiTheme="majorHAnsi"/>
        <w:color w:val="7F7F7F" w:themeColor="text1" w:themeTint="80"/>
        <w:sz w:val="20"/>
      </w:rPr>
      <w:fldChar w:fldCharType="end"/>
    </w:r>
    <w:r w:rsidRPr="00A87220">
      <w:rPr>
        <w:rFonts w:asciiTheme="majorHAnsi" w:hAnsiTheme="majorHAnsi"/>
        <w:color w:val="7F7F7F" w:themeColor="text1" w:themeTint="80"/>
        <w:sz w:val="20"/>
      </w:rPr>
      <w:t xml:space="preserve"> </w:t>
    </w:r>
    <w:r>
      <w:rPr>
        <w:rFonts w:asciiTheme="majorHAnsi" w:hAnsiTheme="majorHAnsi"/>
        <w:color w:val="7F7F7F" w:themeColor="text1" w:themeTint="80"/>
        <w:sz w:val="20"/>
      </w:rPr>
      <w:t xml:space="preserve">— </w:t>
    </w:r>
    <w:r>
      <w:rPr>
        <w:rFonts w:asciiTheme="majorHAnsi" w:hAnsiTheme="majorHAnsi"/>
        <w:color w:val="7F7F7F" w:themeColor="text1" w:themeTint="80"/>
        <w:sz w:val="20"/>
      </w:rPr>
      <w:fldChar w:fldCharType="begin"/>
    </w:r>
    <w:r>
      <w:rPr>
        <w:rFonts w:asciiTheme="majorHAnsi" w:hAnsiTheme="majorHAnsi"/>
        <w:color w:val="7F7F7F" w:themeColor="text1" w:themeTint="80"/>
        <w:sz w:val="20"/>
      </w:rPr>
      <w:instrText xml:space="preserve"> STYLEREF  "Heading 2 Pink" </w:instrText>
    </w:r>
    <w:r>
      <w:rPr>
        <w:rFonts w:asciiTheme="majorHAnsi" w:hAnsiTheme="majorHAnsi"/>
        <w:color w:val="7F7F7F" w:themeColor="text1" w:themeTint="80"/>
        <w:sz w:val="20"/>
      </w:rPr>
      <w:fldChar w:fldCharType="separate"/>
    </w:r>
    <w:r w:rsidR="007652AF">
      <w:rPr>
        <w:rFonts w:asciiTheme="majorHAnsi" w:hAnsiTheme="majorHAnsi"/>
        <w:noProof/>
        <w:color w:val="7F7F7F" w:themeColor="text1" w:themeTint="80"/>
        <w:sz w:val="20"/>
      </w:rPr>
      <w:t>Dubai Health Authority</w:t>
    </w:r>
    <w:r>
      <w:rPr>
        <w:rFonts w:asciiTheme="majorHAnsi" w:hAnsiTheme="majorHAnsi"/>
        <w:color w:val="7F7F7F" w:themeColor="text1" w:themeTint="80"/>
        <w:sz w:val="20"/>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35097" w14:textId="4338568F" w:rsidR="00300867" w:rsidRPr="0096535B" w:rsidRDefault="00300867" w:rsidP="00732ADE">
    <w:pPr>
      <w:pStyle w:val="Header"/>
      <w:pBdr>
        <w:bottom w:val="single" w:sz="6" w:space="3" w:color="909090" w:themeColor="accent4"/>
      </w:pBdr>
      <w:tabs>
        <w:tab w:val="left" w:pos="284"/>
      </w:tabs>
      <w:rPr>
        <w:rFonts w:asciiTheme="majorHAnsi" w:hAnsiTheme="majorHAnsi"/>
        <w:noProof/>
        <w:sz w:val="20"/>
        <w:szCs w:val="20"/>
      </w:rPr>
    </w:pPr>
    <w:r w:rsidRPr="00275B6E">
      <w:rPr>
        <w:rFonts w:asciiTheme="majorHAnsi" w:hAnsiTheme="majorHAnsi"/>
        <w:noProof/>
        <w:sz w:val="20"/>
        <w:szCs w:val="20"/>
        <w:lang w:eastAsia="en-GB"/>
      </w:rPr>
      <w:drawing>
        <wp:anchor distT="0" distB="0" distL="114300" distR="114300" simplePos="0" relativeHeight="251655168" behindDoc="1" locked="1" layoutInCell="1" allowOverlap="1" wp14:anchorId="78578645" wp14:editId="0581E9B1">
          <wp:simplePos x="0" y="0"/>
          <wp:positionH relativeFrom="column">
            <wp:posOffset>6722745</wp:posOffset>
          </wp:positionH>
          <wp:positionV relativeFrom="page">
            <wp:posOffset>4312920</wp:posOffset>
          </wp:positionV>
          <wp:extent cx="3265170" cy="319278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grey.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65170" cy="319278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szCs w:val="20"/>
      </w:rPr>
      <w:fldChar w:fldCharType="begin"/>
    </w:r>
    <w:r>
      <w:rPr>
        <w:rFonts w:asciiTheme="majorHAnsi" w:hAnsiTheme="majorHAnsi"/>
        <w:noProof/>
        <w:sz w:val="20"/>
        <w:szCs w:val="20"/>
      </w:rPr>
      <w:instrText xml:space="preserve"> STYLEREF  "Heading 1" </w:instrText>
    </w:r>
    <w:r>
      <w:rPr>
        <w:rFonts w:asciiTheme="majorHAnsi" w:hAnsiTheme="majorHAnsi"/>
        <w:noProof/>
        <w:sz w:val="20"/>
        <w:szCs w:val="20"/>
      </w:rPr>
      <w:fldChar w:fldCharType="separate"/>
    </w:r>
    <w:r w:rsidR="007652AF">
      <w:rPr>
        <w:rFonts w:asciiTheme="majorHAnsi" w:hAnsiTheme="majorHAnsi"/>
        <w:noProof/>
        <w:sz w:val="20"/>
        <w:szCs w:val="20"/>
      </w:rPr>
      <w:t>Australia</w:t>
    </w:r>
    <w:r>
      <w:rPr>
        <w:rFonts w:asciiTheme="majorHAnsi" w:hAnsiTheme="majorHAnsi"/>
        <w:noProof/>
        <w:sz w:val="20"/>
        <w:szCs w:val="20"/>
      </w:rPr>
      <w:fldChar w:fldCharType="end"/>
    </w:r>
    <w:r>
      <w:rPr>
        <w:rFonts w:asciiTheme="majorHAnsi" w:hAnsiTheme="majorHAnsi"/>
        <w:noProof/>
        <w:sz w:val="20"/>
        <w:szCs w:val="20"/>
      </w:rPr>
      <w:t xml:space="preserve"> — </w:t>
    </w:r>
    <w:r>
      <w:rPr>
        <w:rFonts w:asciiTheme="majorHAnsi" w:hAnsiTheme="majorHAnsi"/>
        <w:noProof/>
        <w:sz w:val="20"/>
        <w:szCs w:val="20"/>
      </w:rPr>
      <w:fldChar w:fldCharType="begin"/>
    </w:r>
    <w:r>
      <w:rPr>
        <w:rFonts w:asciiTheme="majorHAnsi" w:hAnsiTheme="majorHAnsi"/>
        <w:noProof/>
        <w:sz w:val="20"/>
        <w:szCs w:val="20"/>
      </w:rPr>
      <w:instrText xml:space="preserve"> STYLEREF  "Heading 2 Pink"  \* MERGEFORMAT </w:instrText>
    </w:r>
    <w:r>
      <w:rPr>
        <w:rFonts w:asciiTheme="majorHAnsi" w:hAnsiTheme="majorHAnsi"/>
        <w:noProof/>
        <w:sz w:val="20"/>
        <w:szCs w:val="20"/>
      </w:rPr>
      <w:fldChar w:fldCharType="separate"/>
    </w:r>
    <w:r w:rsidR="007652AF">
      <w:rPr>
        <w:rFonts w:asciiTheme="majorHAnsi" w:hAnsiTheme="majorHAnsi"/>
        <w:noProof/>
        <w:sz w:val="20"/>
        <w:szCs w:val="20"/>
      </w:rPr>
      <w:t>Country level overview</w:t>
    </w:r>
    <w:r>
      <w:rPr>
        <w:rFonts w:asciiTheme="majorHAnsi" w:hAnsiTheme="majorHAnsi"/>
        <w:noProof/>
        <w:sz w:val="20"/>
        <w:szCs w:val="20"/>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34E39" w14:textId="41904B27" w:rsidR="00300867" w:rsidRPr="0096535B" w:rsidRDefault="00300867" w:rsidP="00732ADE">
    <w:pPr>
      <w:pStyle w:val="Header"/>
      <w:pBdr>
        <w:bottom w:val="single" w:sz="6" w:space="3" w:color="909090" w:themeColor="accent4"/>
      </w:pBdr>
      <w:tabs>
        <w:tab w:val="left" w:pos="284"/>
      </w:tabs>
      <w:rPr>
        <w:rFonts w:asciiTheme="majorHAnsi" w:hAnsiTheme="majorHAnsi"/>
        <w:sz w:val="20"/>
        <w:szCs w:val="20"/>
      </w:rPr>
    </w:pPr>
    <w:r w:rsidRPr="00275B6E">
      <w:rPr>
        <w:rFonts w:asciiTheme="majorHAnsi" w:hAnsiTheme="majorHAnsi"/>
        <w:noProof/>
        <w:sz w:val="20"/>
        <w:szCs w:val="20"/>
        <w:lang w:eastAsia="en-GB"/>
      </w:rPr>
      <w:drawing>
        <wp:anchor distT="0" distB="0" distL="114300" distR="114300" simplePos="0" relativeHeight="251660288" behindDoc="1" locked="1" layoutInCell="1" allowOverlap="1" wp14:anchorId="36DAF413" wp14:editId="63EEE106">
          <wp:simplePos x="0" y="0"/>
          <wp:positionH relativeFrom="column">
            <wp:posOffset>6722745</wp:posOffset>
          </wp:positionH>
          <wp:positionV relativeFrom="page">
            <wp:posOffset>4312920</wp:posOffset>
          </wp:positionV>
          <wp:extent cx="3265170" cy="319278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grey.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65170" cy="3192780"/>
                  </a:xfrm>
                  <a:prstGeom prst="rect">
                    <a:avLst/>
                  </a:prstGeom>
                </pic:spPr>
              </pic:pic>
            </a:graphicData>
          </a:graphic>
          <wp14:sizeRelH relativeFrom="page">
            <wp14:pctWidth>0</wp14:pctWidth>
          </wp14:sizeRelH>
          <wp14:sizeRelV relativeFrom="page">
            <wp14:pctHeight>0</wp14:pctHeight>
          </wp14:sizeRelV>
        </wp:anchor>
      </w:drawing>
    </w:r>
    <w:r w:rsidRPr="00275B6E">
      <w:rPr>
        <w:rFonts w:asciiTheme="majorHAnsi" w:hAnsiTheme="majorHAnsi"/>
        <w:sz w:val="20"/>
        <w:szCs w:val="20"/>
      </w:rPr>
      <w:fldChar w:fldCharType="begin"/>
    </w:r>
    <w:r w:rsidRPr="00275B6E">
      <w:rPr>
        <w:rFonts w:asciiTheme="majorHAnsi" w:hAnsiTheme="majorHAnsi"/>
        <w:sz w:val="20"/>
        <w:szCs w:val="20"/>
      </w:rPr>
      <w:instrText xml:space="preserve"> STYLEREF "Heading 1" \* MERGEFORMAT \* MERGEFORMAT </w:instrText>
    </w:r>
    <w:r w:rsidRPr="00275B6E">
      <w:rPr>
        <w:rFonts w:asciiTheme="majorHAnsi" w:hAnsiTheme="majorHAnsi"/>
        <w:sz w:val="20"/>
        <w:szCs w:val="20"/>
      </w:rPr>
      <w:fldChar w:fldCharType="separate"/>
    </w:r>
    <w:r w:rsidR="007652AF">
      <w:rPr>
        <w:rFonts w:asciiTheme="majorHAnsi" w:hAnsiTheme="majorHAnsi"/>
        <w:noProof/>
        <w:sz w:val="20"/>
        <w:szCs w:val="20"/>
      </w:rPr>
      <w:t>Bhutan</w:t>
    </w:r>
    <w:r w:rsidRPr="00275B6E">
      <w:rPr>
        <w:rFonts w:asciiTheme="majorHAnsi" w:hAnsiTheme="majorHAnsi"/>
        <w:noProof/>
        <w:sz w:val="20"/>
        <w:szCs w:val="20"/>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A7D1A" w14:textId="1952DDFC" w:rsidR="00300867" w:rsidRDefault="00300867" w:rsidP="001E393E">
    <w:pPr>
      <w:pStyle w:val="SectioninHeader"/>
    </w:pPr>
    <w:r w:rsidRPr="00F23BF2">
      <w:drawing>
        <wp:anchor distT="0" distB="0" distL="114300" distR="114300" simplePos="0" relativeHeight="251658240" behindDoc="1" locked="1" layoutInCell="1" allowOverlap="1" wp14:anchorId="222BA875" wp14:editId="2C93CAD7">
          <wp:simplePos x="0" y="0"/>
          <wp:positionH relativeFrom="page">
            <wp:posOffset>4283710</wp:posOffset>
          </wp:positionH>
          <wp:positionV relativeFrom="page">
            <wp:posOffset>7488555</wp:posOffset>
          </wp:positionV>
          <wp:extent cx="3265170" cy="319278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grey.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65170" cy="319278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STYLEREF  "Heading 1" </w:instrText>
    </w:r>
    <w:r>
      <w:fldChar w:fldCharType="separate"/>
    </w:r>
    <w:r w:rsidR="007652AF">
      <w:t>United Arab Emirates</w:t>
    </w:r>
    <w:r>
      <w:fldChar w:fldCharType="end"/>
    </w:r>
    <w:r>
      <w:t xml:space="preserve"> — </w:t>
    </w:r>
    <w:r>
      <w:fldChar w:fldCharType="begin"/>
    </w:r>
    <w:r>
      <w:instrText xml:space="preserve"> STYLEREF  "Heading 2 Pink" </w:instrText>
    </w:r>
    <w:r>
      <w:fldChar w:fldCharType="separate"/>
    </w:r>
    <w:r w:rsidR="007652AF">
      <w:t>Dubai Health Authority</w:t>
    </w:r>
    <w:r>
      <w:fldChar w:fldCharType="end"/>
    </w:r>
    <w:r>
      <w:t xml:space="preserve"> [confidential]</w:t>
    </w:r>
  </w:p>
  <w:p w14:paraId="2B2E16C1" w14:textId="77777777" w:rsidR="00300867" w:rsidRDefault="00300867"/>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75B96" w14:textId="3DCFC55A" w:rsidR="00300867" w:rsidRPr="0096535B" w:rsidRDefault="00300867" w:rsidP="00732ADE">
    <w:pPr>
      <w:pStyle w:val="Header"/>
      <w:pBdr>
        <w:bottom w:val="single" w:sz="6" w:space="3" w:color="909090" w:themeColor="accent4"/>
      </w:pBdr>
      <w:tabs>
        <w:tab w:val="left" w:pos="284"/>
      </w:tabs>
      <w:rPr>
        <w:rFonts w:asciiTheme="majorHAnsi" w:hAnsiTheme="majorHAnsi"/>
        <w:sz w:val="20"/>
        <w:szCs w:val="20"/>
      </w:rPr>
    </w:pPr>
    <w:r w:rsidRPr="00275B6E">
      <w:rPr>
        <w:rFonts w:asciiTheme="majorHAnsi" w:hAnsiTheme="majorHAnsi"/>
        <w:noProof/>
        <w:sz w:val="20"/>
        <w:szCs w:val="20"/>
        <w:lang w:eastAsia="en-GB"/>
      </w:rPr>
      <w:drawing>
        <wp:anchor distT="0" distB="0" distL="114300" distR="114300" simplePos="0" relativeHeight="251657216" behindDoc="1" locked="1" layoutInCell="1" allowOverlap="1" wp14:anchorId="04217372" wp14:editId="425E73DD">
          <wp:simplePos x="0" y="0"/>
          <wp:positionH relativeFrom="column">
            <wp:posOffset>6722745</wp:posOffset>
          </wp:positionH>
          <wp:positionV relativeFrom="page">
            <wp:posOffset>4312920</wp:posOffset>
          </wp:positionV>
          <wp:extent cx="3265170" cy="319278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grey.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65170" cy="319278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sz w:val="20"/>
        <w:szCs w:val="20"/>
      </w:rPr>
      <w:fldChar w:fldCharType="begin"/>
    </w:r>
    <w:r>
      <w:rPr>
        <w:rFonts w:asciiTheme="majorHAnsi" w:hAnsiTheme="majorHAnsi"/>
        <w:sz w:val="20"/>
        <w:szCs w:val="20"/>
      </w:rPr>
      <w:instrText xml:space="preserve"> STYLEREF  "Heading 1" </w:instrText>
    </w:r>
    <w:r>
      <w:rPr>
        <w:rFonts w:asciiTheme="majorHAnsi" w:hAnsiTheme="majorHAnsi"/>
        <w:sz w:val="20"/>
        <w:szCs w:val="20"/>
      </w:rPr>
      <w:fldChar w:fldCharType="separate"/>
    </w:r>
    <w:r>
      <w:rPr>
        <w:rFonts w:asciiTheme="majorHAnsi" w:hAnsiTheme="majorHAnsi"/>
        <w:noProof/>
        <w:sz w:val="20"/>
        <w:szCs w:val="20"/>
      </w:rPr>
      <w:t>Canada</w:t>
    </w:r>
    <w:r>
      <w:rPr>
        <w:rFonts w:asciiTheme="majorHAnsi" w:hAnsiTheme="majorHAnsi"/>
        <w:sz w:val="20"/>
        <w:szCs w:val="20"/>
      </w:rPr>
      <w:fldChar w:fldCharType="end"/>
    </w:r>
    <w:r>
      <w:rPr>
        <w:rFonts w:asciiTheme="majorHAnsi" w:hAnsiTheme="majorHAnsi"/>
        <w:sz w:val="20"/>
        <w:szCs w:val="20"/>
      </w:rPr>
      <w:t xml:space="preserve"> — </w:t>
    </w:r>
    <w:r>
      <w:rPr>
        <w:rFonts w:asciiTheme="majorHAnsi" w:hAnsiTheme="majorHAnsi"/>
        <w:sz w:val="20"/>
        <w:szCs w:val="20"/>
      </w:rPr>
      <w:fldChar w:fldCharType="begin"/>
    </w:r>
    <w:r>
      <w:rPr>
        <w:rFonts w:asciiTheme="majorHAnsi" w:hAnsiTheme="majorHAnsi"/>
        <w:sz w:val="20"/>
        <w:szCs w:val="20"/>
      </w:rPr>
      <w:instrText xml:space="preserve"> STYLEREF  "Heading 2 Pink" </w:instrText>
    </w:r>
    <w:r>
      <w:rPr>
        <w:rFonts w:asciiTheme="majorHAnsi" w:hAnsiTheme="majorHAnsi"/>
        <w:sz w:val="20"/>
        <w:szCs w:val="20"/>
      </w:rPr>
      <w:fldChar w:fldCharType="separate"/>
    </w:r>
    <w:r>
      <w:rPr>
        <w:rFonts w:asciiTheme="majorHAnsi" w:hAnsiTheme="majorHAnsi"/>
        <w:noProof/>
        <w:sz w:val="20"/>
        <w:szCs w:val="20"/>
      </w:rPr>
      <w:t>College of Physicians and Surgeons of Saskatchewan [Confidential]</w:t>
    </w:r>
    <w:r>
      <w:rPr>
        <w:rFonts w:asciiTheme="majorHAnsi" w:hAnsiTheme="majorHAnsi"/>
        <w:sz w:val="20"/>
        <w:szCs w:val="20"/>
      </w:rPr>
      <w:fldChar w:fldCharType="end"/>
    </w:r>
    <w:r w:rsidRPr="0096535B">
      <w:rPr>
        <w:rFonts w:asciiTheme="majorHAnsi" w:hAnsiTheme="majorHAnsi"/>
        <w:sz w:val="20"/>
        <w:szCs w:val="20"/>
      </w:rPr>
      <w:t xml:space="preserve"> </w:t>
    </w:r>
    <w:r>
      <w:rPr>
        <w:rFonts w:asciiTheme="majorHAnsi" w:hAnsiTheme="majorHAnsi"/>
        <w:sz w:val="20"/>
        <w:szCs w:val="20"/>
      </w:rPr>
      <w:t>[confidential]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3ABAD" w14:textId="77777777" w:rsidR="00300867" w:rsidRPr="00D42C9A" w:rsidRDefault="00300867" w:rsidP="00D42C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EA3D9" w14:textId="49FE05F3" w:rsidR="00300867" w:rsidRPr="00D0075F" w:rsidRDefault="00300867" w:rsidP="00D0075F">
    <w:pPr>
      <w:pStyle w:val="Header"/>
      <w:rPr>
        <w:rFonts w:asciiTheme="majorHAnsi" w:hAnsiTheme="majorHAnsi"/>
        <w:color w:val="7F7F7F" w:themeColor="text1" w:themeTint="80"/>
        <w:sz w:val="20"/>
      </w:rPr>
    </w:pPr>
    <w:r w:rsidRPr="00A87220">
      <w:rPr>
        <w:rFonts w:asciiTheme="majorHAnsi" w:hAnsiTheme="majorHAnsi"/>
        <w:color w:val="7F7F7F" w:themeColor="text1" w:themeTint="80"/>
        <w:sz w:val="20"/>
      </w:rPr>
      <w:fldChar w:fldCharType="begin"/>
    </w:r>
    <w:r w:rsidRPr="00A87220">
      <w:rPr>
        <w:rFonts w:asciiTheme="majorHAnsi" w:hAnsiTheme="majorHAnsi"/>
        <w:color w:val="7F7F7F" w:themeColor="text1" w:themeTint="80"/>
        <w:sz w:val="20"/>
      </w:rPr>
      <w:instrText xml:space="preserve"> STYLEREF  "Heading 1" </w:instrText>
    </w:r>
    <w:r w:rsidRPr="00A87220">
      <w:rPr>
        <w:rFonts w:asciiTheme="majorHAnsi" w:hAnsiTheme="majorHAnsi"/>
        <w:color w:val="7F7F7F" w:themeColor="text1" w:themeTint="80"/>
        <w:sz w:val="20"/>
      </w:rPr>
      <w:fldChar w:fldCharType="separate"/>
    </w:r>
    <w:r w:rsidR="007652AF">
      <w:rPr>
        <w:rFonts w:asciiTheme="majorHAnsi" w:hAnsiTheme="majorHAnsi"/>
        <w:noProof/>
        <w:color w:val="7F7F7F" w:themeColor="text1" w:themeTint="80"/>
        <w:sz w:val="20"/>
      </w:rPr>
      <w:t>Executive Summary</w:t>
    </w:r>
    <w:r w:rsidRPr="00A87220">
      <w:rPr>
        <w:rFonts w:asciiTheme="majorHAnsi" w:hAnsiTheme="majorHAnsi"/>
        <w:color w:val="7F7F7F" w:themeColor="text1" w:themeTint="80"/>
        <w:sz w:val="20"/>
      </w:rPr>
      <w:fldChar w:fldCharType="end"/>
    </w:r>
    <w:r w:rsidRPr="00A87220">
      <w:rPr>
        <w:rFonts w:asciiTheme="majorHAnsi" w:hAnsiTheme="majorHAnsi"/>
        <w:color w:val="7F7F7F" w:themeColor="text1" w:themeTint="80"/>
        <w:sz w:val="20"/>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DADFD" w14:textId="77777777" w:rsidR="00300867" w:rsidRPr="00EA6050" w:rsidRDefault="00300867" w:rsidP="00EA605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67E8C" w14:textId="5C1B870A" w:rsidR="00300867" w:rsidRPr="00D0075F" w:rsidRDefault="00300867" w:rsidP="00D0075F">
    <w:pPr>
      <w:pStyle w:val="Header"/>
      <w:rPr>
        <w:rFonts w:asciiTheme="majorHAnsi" w:hAnsiTheme="majorHAnsi"/>
        <w:color w:val="7F7F7F" w:themeColor="text1" w:themeTint="80"/>
        <w:sz w:val="20"/>
      </w:rPr>
    </w:pPr>
    <w:r w:rsidRPr="00A87220">
      <w:rPr>
        <w:rFonts w:asciiTheme="majorHAnsi" w:hAnsiTheme="majorHAnsi"/>
        <w:color w:val="7F7F7F" w:themeColor="text1" w:themeTint="80"/>
        <w:sz w:val="20"/>
      </w:rPr>
      <w:fldChar w:fldCharType="begin"/>
    </w:r>
    <w:r w:rsidRPr="00A87220">
      <w:rPr>
        <w:rFonts w:asciiTheme="majorHAnsi" w:hAnsiTheme="majorHAnsi"/>
        <w:color w:val="7F7F7F" w:themeColor="text1" w:themeTint="80"/>
        <w:sz w:val="20"/>
      </w:rPr>
      <w:instrText xml:space="preserve"> STYLEREF  "Heading 1" </w:instrText>
    </w:r>
    <w:r w:rsidRPr="00A87220">
      <w:rPr>
        <w:rFonts w:asciiTheme="majorHAnsi" w:hAnsiTheme="majorHAnsi"/>
        <w:color w:val="7F7F7F" w:themeColor="text1" w:themeTint="80"/>
        <w:sz w:val="20"/>
      </w:rPr>
      <w:fldChar w:fldCharType="separate"/>
    </w:r>
    <w:r w:rsidR="007652AF">
      <w:rPr>
        <w:rFonts w:asciiTheme="majorHAnsi" w:hAnsiTheme="majorHAnsi"/>
        <w:noProof/>
        <w:color w:val="7F7F7F" w:themeColor="text1" w:themeTint="80"/>
        <w:sz w:val="20"/>
      </w:rPr>
      <w:t>Regulatory Context</w:t>
    </w:r>
    <w:r w:rsidRPr="00A87220">
      <w:rPr>
        <w:rFonts w:asciiTheme="majorHAnsi" w:hAnsiTheme="majorHAnsi"/>
        <w:color w:val="7F7F7F" w:themeColor="text1" w:themeTint="80"/>
        <w:sz w:val="2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6A19A" w14:textId="657EF46B" w:rsidR="00300867" w:rsidRPr="0032234F" w:rsidRDefault="00300867" w:rsidP="00EA6050">
    <w:pPr>
      <w:pStyle w:val="Header"/>
      <w:rPr>
        <w:rFonts w:asciiTheme="majorHAnsi" w:hAnsiTheme="majorHAnsi"/>
        <w:color w:val="7F7F7F" w:themeColor="text1" w:themeTint="80"/>
        <w:sz w:val="20"/>
      </w:rPr>
    </w:pPr>
    <w:r w:rsidRPr="00A87220">
      <w:rPr>
        <w:rFonts w:asciiTheme="majorHAnsi" w:hAnsiTheme="majorHAnsi"/>
        <w:color w:val="7F7F7F" w:themeColor="text1" w:themeTint="80"/>
        <w:sz w:val="20"/>
      </w:rPr>
      <w:fldChar w:fldCharType="begin"/>
    </w:r>
    <w:r w:rsidRPr="00A87220">
      <w:rPr>
        <w:rFonts w:asciiTheme="majorHAnsi" w:hAnsiTheme="majorHAnsi"/>
        <w:color w:val="7F7F7F" w:themeColor="text1" w:themeTint="80"/>
        <w:sz w:val="20"/>
      </w:rPr>
      <w:instrText xml:space="preserve"> STYLEREF  "Heading 1" </w:instrText>
    </w:r>
    <w:r w:rsidRPr="00A87220">
      <w:rPr>
        <w:rFonts w:asciiTheme="majorHAnsi" w:hAnsiTheme="majorHAnsi"/>
        <w:color w:val="7F7F7F" w:themeColor="text1" w:themeTint="80"/>
        <w:sz w:val="20"/>
      </w:rPr>
      <w:fldChar w:fldCharType="separate"/>
    </w:r>
    <w:r w:rsidR="007652AF">
      <w:rPr>
        <w:rFonts w:asciiTheme="majorHAnsi" w:hAnsiTheme="majorHAnsi"/>
        <w:noProof/>
        <w:color w:val="7F7F7F" w:themeColor="text1" w:themeTint="80"/>
        <w:sz w:val="20"/>
      </w:rPr>
      <w:t>Introduction</w:t>
    </w:r>
    <w:r w:rsidRPr="00A87220">
      <w:rPr>
        <w:rFonts w:asciiTheme="majorHAnsi" w:hAnsiTheme="majorHAnsi"/>
        <w:color w:val="7F7F7F" w:themeColor="text1" w:themeTint="80"/>
        <w:sz w:val="20"/>
      </w:rPr>
      <w:fldChar w:fldCharType="end"/>
    </w:r>
    <w:r>
      <w:rPr>
        <w:rFonts w:asciiTheme="majorHAnsi" w:hAnsiTheme="majorHAnsi"/>
        <w:color w:val="7F7F7F" w:themeColor="text1" w:themeTint="80"/>
        <w:sz w:val="20"/>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F7DF3" w14:textId="6B30368E" w:rsidR="00300867" w:rsidRPr="0032234F" w:rsidRDefault="00300867" w:rsidP="00EA6050">
    <w:pPr>
      <w:pStyle w:val="Header"/>
      <w:rPr>
        <w:rFonts w:asciiTheme="majorHAnsi" w:hAnsiTheme="majorHAnsi"/>
        <w:color w:val="7F7F7F" w:themeColor="text1" w:themeTint="80"/>
        <w:sz w:val="20"/>
      </w:rPr>
    </w:pPr>
    <w:r w:rsidRPr="00A87220">
      <w:rPr>
        <w:rFonts w:asciiTheme="majorHAnsi" w:hAnsiTheme="majorHAnsi"/>
        <w:color w:val="7F7F7F" w:themeColor="text1" w:themeTint="80"/>
        <w:sz w:val="20"/>
      </w:rPr>
      <w:fldChar w:fldCharType="begin"/>
    </w:r>
    <w:r w:rsidRPr="00A87220">
      <w:rPr>
        <w:rFonts w:asciiTheme="majorHAnsi" w:hAnsiTheme="majorHAnsi"/>
        <w:color w:val="7F7F7F" w:themeColor="text1" w:themeTint="80"/>
        <w:sz w:val="20"/>
      </w:rPr>
      <w:instrText xml:space="preserve"> STYLEREF  "Heading 1" </w:instrText>
    </w:r>
    <w:r w:rsidRPr="00A87220">
      <w:rPr>
        <w:rFonts w:asciiTheme="majorHAnsi" w:hAnsiTheme="majorHAnsi"/>
        <w:color w:val="7F7F7F" w:themeColor="text1" w:themeTint="80"/>
        <w:sz w:val="20"/>
      </w:rPr>
      <w:fldChar w:fldCharType="separate"/>
    </w:r>
    <w:r w:rsidR="007652AF">
      <w:rPr>
        <w:rFonts w:asciiTheme="majorHAnsi" w:hAnsiTheme="majorHAnsi"/>
        <w:noProof/>
        <w:color w:val="7F7F7F" w:themeColor="text1" w:themeTint="80"/>
        <w:sz w:val="20"/>
      </w:rPr>
      <w:t>Conclusions</w:t>
    </w:r>
    <w:r w:rsidRPr="00A87220">
      <w:rPr>
        <w:rFonts w:asciiTheme="majorHAnsi" w:hAnsiTheme="majorHAnsi"/>
        <w:color w:val="7F7F7F" w:themeColor="text1" w:themeTint="80"/>
        <w:sz w:val="20"/>
      </w:rPr>
      <w:fldChar w:fldCharType="end"/>
    </w:r>
    <w:r>
      <w:rPr>
        <w:rFonts w:asciiTheme="majorHAnsi" w:hAnsiTheme="majorHAnsi"/>
        <w:color w:val="7F7F7F" w:themeColor="text1" w:themeTint="80"/>
        <w:sz w:val="20"/>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68154" w14:textId="09745270" w:rsidR="00300867" w:rsidRPr="00D0075F" w:rsidRDefault="00300867" w:rsidP="00D0075F">
    <w:pPr>
      <w:pStyle w:val="Header"/>
      <w:rPr>
        <w:rFonts w:asciiTheme="majorHAnsi" w:hAnsiTheme="majorHAnsi"/>
        <w:color w:val="7F7F7F" w:themeColor="text1" w:themeTint="80"/>
        <w:sz w:val="20"/>
      </w:rPr>
    </w:pPr>
    <w:r w:rsidRPr="00A87220">
      <w:rPr>
        <w:rFonts w:asciiTheme="majorHAnsi" w:hAnsiTheme="majorHAnsi"/>
        <w:color w:val="7F7F7F" w:themeColor="text1" w:themeTint="80"/>
        <w:sz w:val="20"/>
      </w:rPr>
      <w:fldChar w:fldCharType="begin"/>
    </w:r>
    <w:r w:rsidRPr="00A87220">
      <w:rPr>
        <w:rFonts w:asciiTheme="majorHAnsi" w:hAnsiTheme="majorHAnsi"/>
        <w:color w:val="7F7F7F" w:themeColor="text1" w:themeTint="80"/>
        <w:sz w:val="20"/>
      </w:rPr>
      <w:instrText xml:space="preserve"> STYLEREF  "Heading 1" </w:instrText>
    </w:r>
    <w:r w:rsidRPr="00A87220">
      <w:rPr>
        <w:rFonts w:asciiTheme="majorHAnsi" w:hAnsiTheme="majorHAnsi"/>
        <w:color w:val="7F7F7F" w:themeColor="text1" w:themeTint="80"/>
        <w:sz w:val="20"/>
      </w:rPr>
      <w:fldChar w:fldCharType="separate"/>
    </w:r>
    <w:r w:rsidR="007652AF">
      <w:rPr>
        <w:rFonts w:asciiTheme="majorHAnsi" w:hAnsiTheme="majorHAnsi"/>
        <w:noProof/>
        <w:color w:val="7F7F7F" w:themeColor="text1" w:themeTint="80"/>
        <w:sz w:val="20"/>
      </w:rPr>
      <w:t>Appendix 1 — online survey</w:t>
    </w:r>
    <w:r w:rsidRPr="00A87220">
      <w:rPr>
        <w:rFonts w:asciiTheme="majorHAnsi" w:hAnsiTheme="majorHAnsi"/>
        <w:color w:val="7F7F7F" w:themeColor="text1" w:themeTint="80"/>
        <w:sz w:val="20"/>
      </w:rPr>
      <w:fldChar w:fldCharType="end"/>
    </w:r>
    <w:r w:rsidRPr="00A87220">
      <w:rPr>
        <w:rFonts w:asciiTheme="majorHAnsi" w:hAnsiTheme="majorHAnsi"/>
        <w:color w:val="7F7F7F" w:themeColor="text1" w:themeTint="80"/>
        <w:sz w:val="20"/>
      </w:rPr>
      <w:t xml:space="preserve"> — </w:t>
    </w:r>
    <w:r w:rsidRPr="00A87220">
      <w:rPr>
        <w:rFonts w:asciiTheme="majorHAnsi" w:hAnsiTheme="majorHAnsi"/>
        <w:color w:val="7F7F7F" w:themeColor="text1" w:themeTint="80"/>
        <w:sz w:val="20"/>
      </w:rPr>
      <w:fldChar w:fldCharType="begin"/>
    </w:r>
    <w:r w:rsidRPr="00A87220">
      <w:rPr>
        <w:rFonts w:asciiTheme="majorHAnsi" w:hAnsiTheme="majorHAnsi"/>
        <w:color w:val="7F7F7F" w:themeColor="text1" w:themeTint="80"/>
        <w:sz w:val="20"/>
      </w:rPr>
      <w:instrText xml:space="preserve"> STYLEREF  "Heading 2 Pink" </w:instrText>
    </w:r>
    <w:r w:rsidRPr="00A87220">
      <w:rPr>
        <w:rFonts w:asciiTheme="majorHAnsi" w:hAnsiTheme="majorHAnsi"/>
        <w:color w:val="7F7F7F" w:themeColor="text1" w:themeTint="80"/>
        <w:sz w:val="20"/>
      </w:rPr>
      <w:fldChar w:fldCharType="separate"/>
    </w:r>
    <w:r w:rsidR="007652AF">
      <w:rPr>
        <w:rFonts w:asciiTheme="majorHAnsi" w:hAnsiTheme="majorHAnsi"/>
        <w:noProof/>
        <w:color w:val="7F7F7F" w:themeColor="text1" w:themeTint="80"/>
        <w:sz w:val="20"/>
      </w:rPr>
      <w:t>Summary</w:t>
    </w:r>
    <w:r w:rsidRPr="00A87220">
      <w:rPr>
        <w:rFonts w:asciiTheme="majorHAnsi" w:hAnsiTheme="majorHAnsi"/>
        <w:color w:val="7F7F7F" w:themeColor="text1" w:themeTint="80"/>
        <w:sz w:val="20"/>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EDAE4" w14:textId="7381DEAC" w:rsidR="00300867" w:rsidRPr="0096535B" w:rsidRDefault="00300867" w:rsidP="00732ADE">
    <w:pPr>
      <w:pStyle w:val="Header"/>
      <w:pBdr>
        <w:bottom w:val="single" w:sz="6" w:space="3" w:color="909090" w:themeColor="accent4"/>
      </w:pBdr>
      <w:tabs>
        <w:tab w:val="left" w:pos="284"/>
      </w:tabs>
      <w:rPr>
        <w:rFonts w:asciiTheme="majorHAnsi" w:hAnsiTheme="majorHAnsi"/>
        <w:noProof/>
        <w:sz w:val="20"/>
        <w:szCs w:val="20"/>
      </w:rPr>
    </w:pPr>
    <w:r w:rsidRPr="00275B6E">
      <w:rPr>
        <w:rFonts w:asciiTheme="majorHAnsi" w:hAnsiTheme="majorHAnsi"/>
        <w:noProof/>
        <w:sz w:val="20"/>
        <w:szCs w:val="20"/>
        <w:lang w:eastAsia="en-GB"/>
      </w:rPr>
      <w:drawing>
        <wp:anchor distT="0" distB="0" distL="114300" distR="114300" simplePos="0" relativeHeight="251652096" behindDoc="1" locked="1" layoutInCell="1" allowOverlap="1" wp14:anchorId="3AF4AA1E" wp14:editId="7808A126">
          <wp:simplePos x="0" y="0"/>
          <wp:positionH relativeFrom="column">
            <wp:posOffset>6722745</wp:posOffset>
          </wp:positionH>
          <wp:positionV relativeFrom="page">
            <wp:posOffset>4312920</wp:posOffset>
          </wp:positionV>
          <wp:extent cx="3265170" cy="31927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grey.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65170" cy="319278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szCs w:val="20"/>
      </w:rPr>
      <w:fldChar w:fldCharType="begin"/>
    </w:r>
    <w:r>
      <w:rPr>
        <w:rFonts w:asciiTheme="majorHAnsi" w:hAnsiTheme="majorHAnsi"/>
        <w:noProof/>
        <w:sz w:val="20"/>
        <w:szCs w:val="20"/>
      </w:rPr>
      <w:instrText xml:space="preserve"> STYLEREF  "Heading 1 Pink"  \* MERGEFORMAT </w:instrText>
    </w:r>
    <w:r>
      <w:rPr>
        <w:rFonts w:asciiTheme="majorHAnsi" w:hAnsiTheme="majorHAnsi"/>
        <w:noProof/>
        <w:sz w:val="20"/>
        <w:szCs w:val="20"/>
      </w:rPr>
      <w:fldChar w:fldCharType="separate"/>
    </w:r>
    <w:r>
      <w:rPr>
        <w:rFonts w:asciiTheme="majorHAnsi" w:hAnsiTheme="majorHAnsi"/>
        <w:b/>
        <w:bCs/>
        <w:noProof/>
        <w:sz w:val="20"/>
        <w:szCs w:val="20"/>
        <w:lang w:val="en-US"/>
      </w:rPr>
      <w:t>Error! No text of specified style in document.</w:t>
    </w:r>
    <w:r>
      <w:rPr>
        <w:rFonts w:asciiTheme="majorHAnsi" w:hAnsiTheme="majorHAnsi"/>
        <w:noProof/>
        <w:sz w:val="20"/>
        <w:szCs w:val="20"/>
      </w:rPr>
      <w:fldChar w:fldCharType="end"/>
    </w:r>
    <w:r w:rsidRPr="0096535B">
      <w:rPr>
        <w:rFonts w:asciiTheme="majorHAnsi" w:hAnsiTheme="majorHAnsi"/>
        <w:noProof/>
        <w:sz w:val="20"/>
        <w:szCs w:val="20"/>
      </w:rPr>
      <w:t xml:space="preserve"> </w:t>
    </w:r>
    <w:r>
      <w:rPr>
        <w:rFonts w:asciiTheme="majorHAnsi" w:hAnsiTheme="majorHAnsi"/>
        <w:noProof/>
        <w:sz w:val="20"/>
        <w:szCs w:val="20"/>
      </w:rPr>
      <w:t xml:space="preserve">— </w:t>
    </w:r>
    <w:r>
      <w:rPr>
        <w:rFonts w:asciiTheme="majorHAnsi" w:hAnsiTheme="majorHAnsi"/>
        <w:noProof/>
        <w:sz w:val="20"/>
        <w:szCs w:val="20"/>
      </w:rPr>
      <w:fldChar w:fldCharType="begin"/>
    </w:r>
    <w:r>
      <w:rPr>
        <w:rFonts w:asciiTheme="majorHAnsi" w:hAnsiTheme="majorHAnsi"/>
        <w:noProof/>
        <w:sz w:val="20"/>
        <w:szCs w:val="20"/>
      </w:rPr>
      <w:instrText xml:space="preserve"> STYLEREF  "Heading 2 Pink"  \* MERGEFORMAT </w:instrText>
    </w:r>
    <w:r>
      <w:rPr>
        <w:rFonts w:asciiTheme="majorHAnsi" w:hAnsiTheme="majorHAnsi"/>
        <w:noProof/>
        <w:sz w:val="20"/>
        <w:szCs w:val="20"/>
      </w:rPr>
      <w:fldChar w:fldCharType="separate"/>
    </w:r>
    <w:r>
      <w:rPr>
        <w:rFonts w:asciiTheme="majorHAnsi" w:hAnsiTheme="majorHAnsi"/>
        <w:noProof/>
        <w:sz w:val="20"/>
        <w:szCs w:val="20"/>
      </w:rPr>
      <w:t>Country level overview</w:t>
    </w:r>
    <w:r>
      <w:rPr>
        <w:rFonts w:asciiTheme="majorHAnsi" w:hAnsiTheme="majorHAnsi"/>
        <w:noProof/>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65E4D"/>
    <w:multiLevelType w:val="hybridMultilevel"/>
    <w:tmpl w:val="82FA42E4"/>
    <w:lvl w:ilvl="0" w:tplc="8B1AE7B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B814AE3"/>
    <w:multiLevelType w:val="hybridMultilevel"/>
    <w:tmpl w:val="EF844CCE"/>
    <w:lvl w:ilvl="0" w:tplc="7CAC39D4">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494B89"/>
    <w:multiLevelType w:val="hybridMultilevel"/>
    <w:tmpl w:val="93E09A5A"/>
    <w:lvl w:ilvl="0" w:tplc="FFFFFFFF">
      <w:start w:val="1"/>
      <w:numFmt w:val="bullet"/>
      <w:pStyle w:val="ListBullet2"/>
      <w:lvlText w:val="–"/>
      <w:lvlJc w:val="left"/>
      <w:pPr>
        <w:tabs>
          <w:tab w:val="num" w:pos="1440"/>
        </w:tabs>
        <w:ind w:left="1440" w:hanging="36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8E041AE"/>
    <w:multiLevelType w:val="hybridMultilevel"/>
    <w:tmpl w:val="91481048"/>
    <w:lvl w:ilvl="0" w:tplc="0028533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428B0F10"/>
    <w:multiLevelType w:val="hybridMultilevel"/>
    <w:tmpl w:val="380C9B6E"/>
    <w:lvl w:ilvl="0" w:tplc="5FB29AC2">
      <w:numFmt w:val="bullet"/>
      <w:pStyle w:val="BulletBlue"/>
      <w:lvlText w:val="•"/>
      <w:lvlJc w:val="left"/>
      <w:pPr>
        <w:ind w:left="720" w:hanging="360"/>
      </w:pPr>
      <w:rPr>
        <w:rFonts w:ascii="Gill Sans MT" w:hAnsi="Gill Sans MT" w:cstheme="minorBidi" w:hint="default"/>
        <w:color w:val="909090"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C21957"/>
    <w:multiLevelType w:val="hybridMultilevel"/>
    <w:tmpl w:val="9B988DCE"/>
    <w:lvl w:ilvl="0" w:tplc="77BE39F2">
      <w:start w:val="1"/>
      <w:numFmt w:val="bullet"/>
      <w:lvlText w:val="n"/>
      <w:lvlJc w:val="left"/>
      <w:pPr>
        <w:ind w:left="720" w:hanging="360"/>
      </w:pPr>
      <w:rPr>
        <w:rFonts w:ascii="Wingdings" w:hAnsi="Wingdings" w:hint="default"/>
        <w:color w:val="683493"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1235E3"/>
    <w:multiLevelType w:val="hybridMultilevel"/>
    <w:tmpl w:val="24681440"/>
    <w:lvl w:ilvl="0" w:tplc="08090001">
      <w:start w:val="1"/>
      <w:numFmt w:val="bullet"/>
      <w:lvlText w:val=""/>
      <w:lvlJc w:val="left"/>
      <w:pPr>
        <w:ind w:left="360" w:hanging="360"/>
      </w:pPr>
      <w:rPr>
        <w:rFonts w:ascii="Symbol" w:hAnsi="Symbol" w:hint="default"/>
        <w:color w:val="A6A6A6" w:themeColor="background1" w:themeShade="A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380281"/>
    <w:multiLevelType w:val="hybridMultilevel"/>
    <w:tmpl w:val="A10E0D8A"/>
    <w:lvl w:ilvl="0" w:tplc="33B89060">
      <w:start w:val="1"/>
      <w:numFmt w:val="bullet"/>
      <w:lvlText w:val=""/>
      <w:lvlJc w:val="left"/>
      <w:pPr>
        <w:ind w:left="720" w:hanging="360"/>
      </w:pPr>
      <w:rPr>
        <w:rFonts w:ascii="Symbol" w:hAnsi="Symbol" w:hint="default"/>
        <w:color w:val="A6A6A6" w:themeColor="background1" w:themeShade="A6"/>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5CE17C59"/>
    <w:multiLevelType w:val="hybridMultilevel"/>
    <w:tmpl w:val="4FD4FA9E"/>
    <w:lvl w:ilvl="0" w:tplc="5A38722A">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6040482B"/>
    <w:multiLevelType w:val="hybridMultilevel"/>
    <w:tmpl w:val="C30AD13A"/>
    <w:lvl w:ilvl="0" w:tplc="310A93D2">
      <w:start w:val="1"/>
      <w:numFmt w:val="bullet"/>
      <w:pStyle w:val="Bulletlevel2"/>
      <w:lvlText w:val=""/>
      <w:lvlJc w:val="left"/>
      <w:pPr>
        <w:ind w:left="644" w:hanging="360"/>
      </w:pPr>
      <w:rPr>
        <w:rFonts w:ascii="Wingdings" w:hAnsi="Wingdings" w:hint="default"/>
        <w:color w:val="A6A6A6" w:themeColor="background1" w:themeShade="A6"/>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0" w15:restartNumberingAfterBreak="0">
    <w:nsid w:val="61246BB1"/>
    <w:multiLevelType w:val="hybridMultilevel"/>
    <w:tmpl w:val="5A862F02"/>
    <w:lvl w:ilvl="0" w:tplc="CDFCCCD6">
      <w:start w:val="1"/>
      <w:numFmt w:val="bullet"/>
      <w:pStyle w:val="Bulletlevel3"/>
      <w:lvlText w:val=""/>
      <w:lvlJc w:val="left"/>
      <w:pPr>
        <w:ind w:left="1049" w:hanging="360"/>
      </w:pPr>
      <w:rPr>
        <w:rFonts w:ascii="Symbol" w:hAnsi="Symbol" w:hint="default"/>
        <w:color w:val="A6A6A6" w:themeColor="background1" w:themeShade="A6"/>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1" w15:restartNumberingAfterBreak="0">
    <w:nsid w:val="62261E73"/>
    <w:multiLevelType w:val="hybridMultilevel"/>
    <w:tmpl w:val="8E4CA2FC"/>
    <w:lvl w:ilvl="0" w:tplc="A5FAD5DA">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8A70F24"/>
    <w:multiLevelType w:val="multilevel"/>
    <w:tmpl w:val="2172606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6A4A5ACE"/>
    <w:multiLevelType w:val="singleLevel"/>
    <w:tmpl w:val="CBE24BDC"/>
    <w:lvl w:ilvl="0">
      <w:start w:val="1"/>
      <w:numFmt w:val="decimal"/>
      <w:pStyle w:val="ExecutiveSummary"/>
      <w:lvlText w:val="%1"/>
      <w:lvlJc w:val="left"/>
      <w:pPr>
        <w:tabs>
          <w:tab w:val="num" w:pos="720"/>
        </w:tabs>
        <w:ind w:left="720" w:hanging="720"/>
      </w:pPr>
    </w:lvl>
  </w:abstractNum>
  <w:abstractNum w:abstractNumId="14" w15:restartNumberingAfterBreak="0">
    <w:nsid w:val="70554ECD"/>
    <w:multiLevelType w:val="hybridMultilevel"/>
    <w:tmpl w:val="630AEA88"/>
    <w:lvl w:ilvl="0" w:tplc="290C0EA8">
      <w:start w:val="1"/>
      <w:numFmt w:val="bullet"/>
      <w:pStyle w:val="Bulletlevel1"/>
      <w:lvlText w:val=""/>
      <w:lvlJc w:val="left"/>
      <w:pPr>
        <w:ind w:left="360" w:hanging="360"/>
      </w:pPr>
      <w:rPr>
        <w:rFonts w:ascii="Symbol" w:hAnsi="Symbol" w:hint="default"/>
        <w:color w:val="A6A6A6" w:themeColor="background1" w:themeShade="A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D878D3"/>
    <w:multiLevelType w:val="hybridMultilevel"/>
    <w:tmpl w:val="7F0A2B40"/>
    <w:lvl w:ilvl="0" w:tplc="463CB6FC">
      <w:start w:val="1"/>
      <w:numFmt w:val="decimal"/>
      <w:lvlText w:val="%1"/>
      <w:lvlJc w:val="left"/>
      <w:pPr>
        <w:ind w:left="360" w:hanging="360"/>
      </w:pPr>
      <w:rPr>
        <w:rFonts w:hint="default"/>
        <w:color w:val="A6A6A6" w:themeColor="background1" w:themeShade="A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8530766">
    <w:abstractNumId w:val="4"/>
  </w:num>
  <w:num w:numId="2" w16cid:durableId="1706059798">
    <w:abstractNumId w:val="14"/>
  </w:num>
  <w:num w:numId="3" w16cid:durableId="265894528">
    <w:abstractNumId w:val="9"/>
  </w:num>
  <w:num w:numId="4" w16cid:durableId="1904368384">
    <w:abstractNumId w:val="10"/>
  </w:num>
  <w:num w:numId="5" w16cid:durableId="818765270">
    <w:abstractNumId w:val="12"/>
  </w:num>
  <w:num w:numId="6" w16cid:durableId="1797409896">
    <w:abstractNumId w:val="13"/>
  </w:num>
  <w:num w:numId="7" w16cid:durableId="210775585">
    <w:abstractNumId w:val="2"/>
  </w:num>
  <w:num w:numId="8" w16cid:durableId="5467207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9903066">
    <w:abstractNumId w:val="15"/>
  </w:num>
  <w:num w:numId="10" w16cid:durableId="539437321">
    <w:abstractNumId w:val="7"/>
  </w:num>
  <w:num w:numId="11" w16cid:durableId="814879239">
    <w:abstractNumId w:val="0"/>
  </w:num>
  <w:num w:numId="12" w16cid:durableId="166795804">
    <w:abstractNumId w:val="3"/>
  </w:num>
  <w:num w:numId="13" w16cid:durableId="1757627470">
    <w:abstractNumId w:val="8"/>
  </w:num>
  <w:num w:numId="14" w16cid:durableId="98257077">
    <w:abstractNumId w:val="11"/>
  </w:num>
  <w:num w:numId="15" w16cid:durableId="1114325223">
    <w:abstractNumId w:val="6"/>
  </w:num>
  <w:num w:numId="16" w16cid:durableId="454106709">
    <w:abstractNumId w:val="5"/>
  </w:num>
  <w:num w:numId="17" w16cid:durableId="625622195">
    <w:abstractNumId w:val="12"/>
  </w:num>
  <w:num w:numId="18" w16cid:durableId="42141685">
    <w:abstractNumId w:val="12"/>
  </w:num>
  <w:num w:numId="19" w16cid:durableId="2006275354">
    <w:abstractNumId w:val="12"/>
  </w:num>
  <w:num w:numId="20" w16cid:durableId="4789507">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B2F"/>
    <w:rsid w:val="0000031A"/>
    <w:rsid w:val="00000F93"/>
    <w:rsid w:val="00001117"/>
    <w:rsid w:val="00001348"/>
    <w:rsid w:val="00003D4D"/>
    <w:rsid w:val="00006179"/>
    <w:rsid w:val="000101A8"/>
    <w:rsid w:val="000120C8"/>
    <w:rsid w:val="00012586"/>
    <w:rsid w:val="000130CD"/>
    <w:rsid w:val="0001424B"/>
    <w:rsid w:val="0001726D"/>
    <w:rsid w:val="00024092"/>
    <w:rsid w:val="00025CB7"/>
    <w:rsid w:val="000265B6"/>
    <w:rsid w:val="00033297"/>
    <w:rsid w:val="00033DCC"/>
    <w:rsid w:val="0003566E"/>
    <w:rsid w:val="00041984"/>
    <w:rsid w:val="00042180"/>
    <w:rsid w:val="00043005"/>
    <w:rsid w:val="000433A7"/>
    <w:rsid w:val="0004437A"/>
    <w:rsid w:val="00044C2D"/>
    <w:rsid w:val="00044CE5"/>
    <w:rsid w:val="00051995"/>
    <w:rsid w:val="00051A1E"/>
    <w:rsid w:val="00051BCF"/>
    <w:rsid w:val="00054437"/>
    <w:rsid w:val="00056B4B"/>
    <w:rsid w:val="00056EDC"/>
    <w:rsid w:val="000577D1"/>
    <w:rsid w:val="000601D8"/>
    <w:rsid w:val="000641C1"/>
    <w:rsid w:val="00065893"/>
    <w:rsid w:val="00065BCB"/>
    <w:rsid w:val="000717BA"/>
    <w:rsid w:val="00071B76"/>
    <w:rsid w:val="00073F88"/>
    <w:rsid w:val="000756A1"/>
    <w:rsid w:val="00077A04"/>
    <w:rsid w:val="00082A59"/>
    <w:rsid w:val="00082ACF"/>
    <w:rsid w:val="00082BAE"/>
    <w:rsid w:val="00084B9D"/>
    <w:rsid w:val="00084DF6"/>
    <w:rsid w:val="00085A6E"/>
    <w:rsid w:val="0008719F"/>
    <w:rsid w:val="000921B2"/>
    <w:rsid w:val="00093926"/>
    <w:rsid w:val="000942DF"/>
    <w:rsid w:val="000965C4"/>
    <w:rsid w:val="00096926"/>
    <w:rsid w:val="00097D14"/>
    <w:rsid w:val="000A0E86"/>
    <w:rsid w:val="000A1C0F"/>
    <w:rsid w:val="000A2C65"/>
    <w:rsid w:val="000A5041"/>
    <w:rsid w:val="000B06FE"/>
    <w:rsid w:val="000B0D72"/>
    <w:rsid w:val="000B1663"/>
    <w:rsid w:val="000B427A"/>
    <w:rsid w:val="000B4676"/>
    <w:rsid w:val="000B5C74"/>
    <w:rsid w:val="000B5DB3"/>
    <w:rsid w:val="000C006E"/>
    <w:rsid w:val="000C183B"/>
    <w:rsid w:val="000C1D72"/>
    <w:rsid w:val="000C49AB"/>
    <w:rsid w:val="000C55BB"/>
    <w:rsid w:val="000C5CCA"/>
    <w:rsid w:val="000C5CE2"/>
    <w:rsid w:val="000C77D1"/>
    <w:rsid w:val="000E00DC"/>
    <w:rsid w:val="000E2644"/>
    <w:rsid w:val="000E3F7C"/>
    <w:rsid w:val="000E4358"/>
    <w:rsid w:val="000E6AA5"/>
    <w:rsid w:val="000E6E66"/>
    <w:rsid w:val="000E72E2"/>
    <w:rsid w:val="000E78D4"/>
    <w:rsid w:val="000F19BB"/>
    <w:rsid w:val="000F2D2A"/>
    <w:rsid w:val="000F3843"/>
    <w:rsid w:val="000F3CD4"/>
    <w:rsid w:val="000F633E"/>
    <w:rsid w:val="00102610"/>
    <w:rsid w:val="00102C2F"/>
    <w:rsid w:val="001034D7"/>
    <w:rsid w:val="00103DDF"/>
    <w:rsid w:val="00104C92"/>
    <w:rsid w:val="00106617"/>
    <w:rsid w:val="001075FC"/>
    <w:rsid w:val="00110C33"/>
    <w:rsid w:val="001134AA"/>
    <w:rsid w:val="0011470B"/>
    <w:rsid w:val="00115151"/>
    <w:rsid w:val="00117EE3"/>
    <w:rsid w:val="00121EC6"/>
    <w:rsid w:val="00122039"/>
    <w:rsid w:val="00123E01"/>
    <w:rsid w:val="00124EF5"/>
    <w:rsid w:val="001255F1"/>
    <w:rsid w:val="00125B91"/>
    <w:rsid w:val="00125BB6"/>
    <w:rsid w:val="0012609D"/>
    <w:rsid w:val="00126952"/>
    <w:rsid w:val="00127068"/>
    <w:rsid w:val="00130C12"/>
    <w:rsid w:val="0013262B"/>
    <w:rsid w:val="00133C67"/>
    <w:rsid w:val="00134303"/>
    <w:rsid w:val="0013780B"/>
    <w:rsid w:val="001405AB"/>
    <w:rsid w:val="00142EE4"/>
    <w:rsid w:val="00145115"/>
    <w:rsid w:val="0014602D"/>
    <w:rsid w:val="00147B21"/>
    <w:rsid w:val="001500AA"/>
    <w:rsid w:val="001503A7"/>
    <w:rsid w:val="00151DA2"/>
    <w:rsid w:val="00152212"/>
    <w:rsid w:val="00152548"/>
    <w:rsid w:val="00154A55"/>
    <w:rsid w:val="00156192"/>
    <w:rsid w:val="0016229C"/>
    <w:rsid w:val="001624E6"/>
    <w:rsid w:val="0016370D"/>
    <w:rsid w:val="00163806"/>
    <w:rsid w:val="00173FFE"/>
    <w:rsid w:val="001746D4"/>
    <w:rsid w:val="00175A7A"/>
    <w:rsid w:val="001760D9"/>
    <w:rsid w:val="00176B97"/>
    <w:rsid w:val="00176BA8"/>
    <w:rsid w:val="00177C38"/>
    <w:rsid w:val="001801E0"/>
    <w:rsid w:val="00181E4D"/>
    <w:rsid w:val="00182938"/>
    <w:rsid w:val="0018318D"/>
    <w:rsid w:val="00183EE9"/>
    <w:rsid w:val="00184C96"/>
    <w:rsid w:val="00185DA0"/>
    <w:rsid w:val="00187778"/>
    <w:rsid w:val="00187F0A"/>
    <w:rsid w:val="00192837"/>
    <w:rsid w:val="0019290D"/>
    <w:rsid w:val="001931FB"/>
    <w:rsid w:val="00193A92"/>
    <w:rsid w:val="001967C3"/>
    <w:rsid w:val="001A1515"/>
    <w:rsid w:val="001A163B"/>
    <w:rsid w:val="001A1C7F"/>
    <w:rsid w:val="001A3114"/>
    <w:rsid w:val="001A40BD"/>
    <w:rsid w:val="001A5931"/>
    <w:rsid w:val="001A68EE"/>
    <w:rsid w:val="001B0340"/>
    <w:rsid w:val="001B073F"/>
    <w:rsid w:val="001B1142"/>
    <w:rsid w:val="001B2140"/>
    <w:rsid w:val="001B362C"/>
    <w:rsid w:val="001B61F2"/>
    <w:rsid w:val="001C00D0"/>
    <w:rsid w:val="001C160E"/>
    <w:rsid w:val="001C22CA"/>
    <w:rsid w:val="001C2464"/>
    <w:rsid w:val="001C4348"/>
    <w:rsid w:val="001C4A2E"/>
    <w:rsid w:val="001C4C71"/>
    <w:rsid w:val="001C5A1D"/>
    <w:rsid w:val="001C636F"/>
    <w:rsid w:val="001D3AD6"/>
    <w:rsid w:val="001D4F9B"/>
    <w:rsid w:val="001D6C5D"/>
    <w:rsid w:val="001E3287"/>
    <w:rsid w:val="001E393E"/>
    <w:rsid w:val="001E613A"/>
    <w:rsid w:val="001F0DB7"/>
    <w:rsid w:val="001F1961"/>
    <w:rsid w:val="001F3C88"/>
    <w:rsid w:val="001F4364"/>
    <w:rsid w:val="001F4366"/>
    <w:rsid w:val="001F4C39"/>
    <w:rsid w:val="001F5B33"/>
    <w:rsid w:val="0020091B"/>
    <w:rsid w:val="00201B4A"/>
    <w:rsid w:val="00205199"/>
    <w:rsid w:val="0020525C"/>
    <w:rsid w:val="00205CB5"/>
    <w:rsid w:val="00205DCE"/>
    <w:rsid w:val="0020738E"/>
    <w:rsid w:val="00211DCC"/>
    <w:rsid w:val="00211FA1"/>
    <w:rsid w:val="002121D4"/>
    <w:rsid w:val="00212C2C"/>
    <w:rsid w:val="00213261"/>
    <w:rsid w:val="00213ABA"/>
    <w:rsid w:val="00216CB4"/>
    <w:rsid w:val="00217274"/>
    <w:rsid w:val="00220007"/>
    <w:rsid w:val="0022032E"/>
    <w:rsid w:val="0022033B"/>
    <w:rsid w:val="0022139B"/>
    <w:rsid w:val="00221891"/>
    <w:rsid w:val="00222291"/>
    <w:rsid w:val="002227CB"/>
    <w:rsid w:val="002232AE"/>
    <w:rsid w:val="00223C27"/>
    <w:rsid w:val="002245DE"/>
    <w:rsid w:val="00227DA0"/>
    <w:rsid w:val="00233FBE"/>
    <w:rsid w:val="00234205"/>
    <w:rsid w:val="002348B6"/>
    <w:rsid w:val="00234AE2"/>
    <w:rsid w:val="00234AFB"/>
    <w:rsid w:val="00235427"/>
    <w:rsid w:val="00235838"/>
    <w:rsid w:val="002370A5"/>
    <w:rsid w:val="0023745A"/>
    <w:rsid w:val="002379AA"/>
    <w:rsid w:val="00240201"/>
    <w:rsid w:val="0024126F"/>
    <w:rsid w:val="002412F1"/>
    <w:rsid w:val="0024174E"/>
    <w:rsid w:val="00242BA0"/>
    <w:rsid w:val="00242FDC"/>
    <w:rsid w:val="0024359B"/>
    <w:rsid w:val="00244156"/>
    <w:rsid w:val="00244DC6"/>
    <w:rsid w:val="00244FF6"/>
    <w:rsid w:val="00246CC6"/>
    <w:rsid w:val="002501E1"/>
    <w:rsid w:val="00250715"/>
    <w:rsid w:val="002510A4"/>
    <w:rsid w:val="00252DCF"/>
    <w:rsid w:val="00253186"/>
    <w:rsid w:val="00254048"/>
    <w:rsid w:val="00255B2F"/>
    <w:rsid w:val="00263FB8"/>
    <w:rsid w:val="002659CD"/>
    <w:rsid w:val="002660ED"/>
    <w:rsid w:val="002710B7"/>
    <w:rsid w:val="00271E38"/>
    <w:rsid w:val="002737C7"/>
    <w:rsid w:val="00273896"/>
    <w:rsid w:val="00274401"/>
    <w:rsid w:val="00274925"/>
    <w:rsid w:val="00275B6E"/>
    <w:rsid w:val="00284348"/>
    <w:rsid w:val="0028478B"/>
    <w:rsid w:val="002850B3"/>
    <w:rsid w:val="0028579F"/>
    <w:rsid w:val="00286079"/>
    <w:rsid w:val="00286782"/>
    <w:rsid w:val="0028795E"/>
    <w:rsid w:val="0029012C"/>
    <w:rsid w:val="00290607"/>
    <w:rsid w:val="00291F14"/>
    <w:rsid w:val="00292337"/>
    <w:rsid w:val="002934DD"/>
    <w:rsid w:val="002940FB"/>
    <w:rsid w:val="0029442B"/>
    <w:rsid w:val="0029460E"/>
    <w:rsid w:val="00295334"/>
    <w:rsid w:val="00296E05"/>
    <w:rsid w:val="00297895"/>
    <w:rsid w:val="002A2BC2"/>
    <w:rsid w:val="002A2E1B"/>
    <w:rsid w:val="002A3AE0"/>
    <w:rsid w:val="002A42DC"/>
    <w:rsid w:val="002B062D"/>
    <w:rsid w:val="002B229F"/>
    <w:rsid w:val="002B473B"/>
    <w:rsid w:val="002B7283"/>
    <w:rsid w:val="002C1E37"/>
    <w:rsid w:val="002C1E98"/>
    <w:rsid w:val="002C3066"/>
    <w:rsid w:val="002C30B0"/>
    <w:rsid w:val="002C35D8"/>
    <w:rsid w:val="002C35EB"/>
    <w:rsid w:val="002C4244"/>
    <w:rsid w:val="002C4C1E"/>
    <w:rsid w:val="002C5390"/>
    <w:rsid w:val="002C6528"/>
    <w:rsid w:val="002C65C6"/>
    <w:rsid w:val="002C6D64"/>
    <w:rsid w:val="002C6FC5"/>
    <w:rsid w:val="002C739F"/>
    <w:rsid w:val="002C7CF8"/>
    <w:rsid w:val="002D0CAE"/>
    <w:rsid w:val="002D1FDE"/>
    <w:rsid w:val="002D3681"/>
    <w:rsid w:val="002D4955"/>
    <w:rsid w:val="002D5110"/>
    <w:rsid w:val="002D52C5"/>
    <w:rsid w:val="002D75C5"/>
    <w:rsid w:val="002D7A15"/>
    <w:rsid w:val="002E08EB"/>
    <w:rsid w:val="002E0FD6"/>
    <w:rsid w:val="002E293B"/>
    <w:rsid w:val="002E361B"/>
    <w:rsid w:val="002E57AB"/>
    <w:rsid w:val="002E5F60"/>
    <w:rsid w:val="002E6527"/>
    <w:rsid w:val="002E7C8D"/>
    <w:rsid w:val="002F0379"/>
    <w:rsid w:val="002F228C"/>
    <w:rsid w:val="002F3480"/>
    <w:rsid w:val="002F356D"/>
    <w:rsid w:val="002F55C5"/>
    <w:rsid w:val="002F6A34"/>
    <w:rsid w:val="002F75B4"/>
    <w:rsid w:val="00300867"/>
    <w:rsid w:val="0030094D"/>
    <w:rsid w:val="00300F8F"/>
    <w:rsid w:val="00301059"/>
    <w:rsid w:val="003013D8"/>
    <w:rsid w:val="00301F41"/>
    <w:rsid w:val="003058D0"/>
    <w:rsid w:val="003066DE"/>
    <w:rsid w:val="003071FF"/>
    <w:rsid w:val="0031184B"/>
    <w:rsid w:val="003119C6"/>
    <w:rsid w:val="00312462"/>
    <w:rsid w:val="00312873"/>
    <w:rsid w:val="00313848"/>
    <w:rsid w:val="00313997"/>
    <w:rsid w:val="00314726"/>
    <w:rsid w:val="00315D03"/>
    <w:rsid w:val="0031604F"/>
    <w:rsid w:val="00316220"/>
    <w:rsid w:val="003177A4"/>
    <w:rsid w:val="00317CF4"/>
    <w:rsid w:val="0032137F"/>
    <w:rsid w:val="00321437"/>
    <w:rsid w:val="00322009"/>
    <w:rsid w:val="0032202F"/>
    <w:rsid w:val="0032234F"/>
    <w:rsid w:val="00323444"/>
    <w:rsid w:val="00323866"/>
    <w:rsid w:val="003260B4"/>
    <w:rsid w:val="003264E3"/>
    <w:rsid w:val="0032671F"/>
    <w:rsid w:val="00326FFA"/>
    <w:rsid w:val="00331C30"/>
    <w:rsid w:val="00332416"/>
    <w:rsid w:val="00333519"/>
    <w:rsid w:val="00333A48"/>
    <w:rsid w:val="003344E1"/>
    <w:rsid w:val="00335D9D"/>
    <w:rsid w:val="00336D50"/>
    <w:rsid w:val="003404FE"/>
    <w:rsid w:val="00340C45"/>
    <w:rsid w:val="0034404E"/>
    <w:rsid w:val="003442DB"/>
    <w:rsid w:val="003502DC"/>
    <w:rsid w:val="003508B0"/>
    <w:rsid w:val="00351AC3"/>
    <w:rsid w:val="00352831"/>
    <w:rsid w:val="00352E4F"/>
    <w:rsid w:val="00354425"/>
    <w:rsid w:val="00355804"/>
    <w:rsid w:val="003570E6"/>
    <w:rsid w:val="003604A3"/>
    <w:rsid w:val="00360C2B"/>
    <w:rsid w:val="00364A32"/>
    <w:rsid w:val="00366231"/>
    <w:rsid w:val="003670BB"/>
    <w:rsid w:val="003677AB"/>
    <w:rsid w:val="00367CA1"/>
    <w:rsid w:val="00370371"/>
    <w:rsid w:val="003732A3"/>
    <w:rsid w:val="00373B63"/>
    <w:rsid w:val="00373F18"/>
    <w:rsid w:val="00374D2D"/>
    <w:rsid w:val="0037697D"/>
    <w:rsid w:val="00381DCA"/>
    <w:rsid w:val="00384C31"/>
    <w:rsid w:val="00385337"/>
    <w:rsid w:val="003874E5"/>
    <w:rsid w:val="00387C26"/>
    <w:rsid w:val="00390262"/>
    <w:rsid w:val="0039050A"/>
    <w:rsid w:val="00391000"/>
    <w:rsid w:val="00394CE4"/>
    <w:rsid w:val="0039549A"/>
    <w:rsid w:val="00396113"/>
    <w:rsid w:val="00397FF0"/>
    <w:rsid w:val="003A2C2A"/>
    <w:rsid w:val="003A444F"/>
    <w:rsid w:val="003A469D"/>
    <w:rsid w:val="003A501A"/>
    <w:rsid w:val="003A52C3"/>
    <w:rsid w:val="003A67B1"/>
    <w:rsid w:val="003A6AEC"/>
    <w:rsid w:val="003B092C"/>
    <w:rsid w:val="003B1A40"/>
    <w:rsid w:val="003B1F9B"/>
    <w:rsid w:val="003B20EF"/>
    <w:rsid w:val="003B23CD"/>
    <w:rsid w:val="003B410F"/>
    <w:rsid w:val="003B46CB"/>
    <w:rsid w:val="003B531C"/>
    <w:rsid w:val="003B6369"/>
    <w:rsid w:val="003B6B0F"/>
    <w:rsid w:val="003C051B"/>
    <w:rsid w:val="003C0A4C"/>
    <w:rsid w:val="003C0BA4"/>
    <w:rsid w:val="003C0F44"/>
    <w:rsid w:val="003C3D4D"/>
    <w:rsid w:val="003C3FC1"/>
    <w:rsid w:val="003C67F9"/>
    <w:rsid w:val="003C77DC"/>
    <w:rsid w:val="003D1444"/>
    <w:rsid w:val="003D1E90"/>
    <w:rsid w:val="003D3B07"/>
    <w:rsid w:val="003D58BF"/>
    <w:rsid w:val="003D5CF7"/>
    <w:rsid w:val="003D6138"/>
    <w:rsid w:val="003D7B24"/>
    <w:rsid w:val="003D7F2C"/>
    <w:rsid w:val="003E3849"/>
    <w:rsid w:val="003E432E"/>
    <w:rsid w:val="003E48A6"/>
    <w:rsid w:val="003E4C3D"/>
    <w:rsid w:val="003E5AF7"/>
    <w:rsid w:val="003F01D3"/>
    <w:rsid w:val="003F3330"/>
    <w:rsid w:val="003F4B46"/>
    <w:rsid w:val="003F4BF9"/>
    <w:rsid w:val="003F5AC8"/>
    <w:rsid w:val="003F628E"/>
    <w:rsid w:val="003F63EE"/>
    <w:rsid w:val="00407EE2"/>
    <w:rsid w:val="00410B62"/>
    <w:rsid w:val="004111E2"/>
    <w:rsid w:val="004116D5"/>
    <w:rsid w:val="00412B9F"/>
    <w:rsid w:val="00413A73"/>
    <w:rsid w:val="004143E4"/>
    <w:rsid w:val="004149A5"/>
    <w:rsid w:val="00415407"/>
    <w:rsid w:val="00416690"/>
    <w:rsid w:val="00420BDF"/>
    <w:rsid w:val="00422AB4"/>
    <w:rsid w:val="00423CA4"/>
    <w:rsid w:val="004243CA"/>
    <w:rsid w:val="004249B8"/>
    <w:rsid w:val="00425967"/>
    <w:rsid w:val="00425A38"/>
    <w:rsid w:val="00427854"/>
    <w:rsid w:val="00430275"/>
    <w:rsid w:val="004302D9"/>
    <w:rsid w:val="00430A91"/>
    <w:rsid w:val="0043336A"/>
    <w:rsid w:val="004352D0"/>
    <w:rsid w:val="00436135"/>
    <w:rsid w:val="004372F3"/>
    <w:rsid w:val="00440D74"/>
    <w:rsid w:val="00441235"/>
    <w:rsid w:val="004446AF"/>
    <w:rsid w:val="004448D0"/>
    <w:rsid w:val="00446A3C"/>
    <w:rsid w:val="00447BD7"/>
    <w:rsid w:val="004512BE"/>
    <w:rsid w:val="0045386C"/>
    <w:rsid w:val="004544F9"/>
    <w:rsid w:val="00456F9E"/>
    <w:rsid w:val="00460908"/>
    <w:rsid w:val="00460F51"/>
    <w:rsid w:val="00462C25"/>
    <w:rsid w:val="0046317C"/>
    <w:rsid w:val="004631E9"/>
    <w:rsid w:val="00463C75"/>
    <w:rsid w:val="00465295"/>
    <w:rsid w:val="00465DA7"/>
    <w:rsid w:val="00466452"/>
    <w:rsid w:val="004672A5"/>
    <w:rsid w:val="0047029D"/>
    <w:rsid w:val="00470550"/>
    <w:rsid w:val="004727B9"/>
    <w:rsid w:val="00472BD6"/>
    <w:rsid w:val="00474F65"/>
    <w:rsid w:val="0047730D"/>
    <w:rsid w:val="00477BFC"/>
    <w:rsid w:val="004801CA"/>
    <w:rsid w:val="0048048F"/>
    <w:rsid w:val="004807F1"/>
    <w:rsid w:val="004827EF"/>
    <w:rsid w:val="004835BC"/>
    <w:rsid w:val="0048657C"/>
    <w:rsid w:val="0048757F"/>
    <w:rsid w:val="00490B01"/>
    <w:rsid w:val="00490B78"/>
    <w:rsid w:val="00490E1A"/>
    <w:rsid w:val="00491C20"/>
    <w:rsid w:val="004926C8"/>
    <w:rsid w:val="00492F22"/>
    <w:rsid w:val="00495421"/>
    <w:rsid w:val="00495C05"/>
    <w:rsid w:val="00495FE5"/>
    <w:rsid w:val="00497BFA"/>
    <w:rsid w:val="004A064D"/>
    <w:rsid w:val="004A0F35"/>
    <w:rsid w:val="004A0FEF"/>
    <w:rsid w:val="004A3020"/>
    <w:rsid w:val="004A422F"/>
    <w:rsid w:val="004A42B7"/>
    <w:rsid w:val="004B0037"/>
    <w:rsid w:val="004B067F"/>
    <w:rsid w:val="004B0738"/>
    <w:rsid w:val="004B0870"/>
    <w:rsid w:val="004B140F"/>
    <w:rsid w:val="004B1700"/>
    <w:rsid w:val="004B25D3"/>
    <w:rsid w:val="004B2847"/>
    <w:rsid w:val="004B3055"/>
    <w:rsid w:val="004B4550"/>
    <w:rsid w:val="004B720C"/>
    <w:rsid w:val="004B7771"/>
    <w:rsid w:val="004B7A1D"/>
    <w:rsid w:val="004C00FA"/>
    <w:rsid w:val="004C0685"/>
    <w:rsid w:val="004C2320"/>
    <w:rsid w:val="004C2825"/>
    <w:rsid w:val="004C398F"/>
    <w:rsid w:val="004C57D9"/>
    <w:rsid w:val="004C59E3"/>
    <w:rsid w:val="004C6629"/>
    <w:rsid w:val="004C688B"/>
    <w:rsid w:val="004C7F3F"/>
    <w:rsid w:val="004D1B73"/>
    <w:rsid w:val="004D1FA9"/>
    <w:rsid w:val="004D27FF"/>
    <w:rsid w:val="004D3049"/>
    <w:rsid w:val="004D34F0"/>
    <w:rsid w:val="004D3C7B"/>
    <w:rsid w:val="004D3C90"/>
    <w:rsid w:val="004D421B"/>
    <w:rsid w:val="004D4909"/>
    <w:rsid w:val="004D5388"/>
    <w:rsid w:val="004D5FDC"/>
    <w:rsid w:val="004D6104"/>
    <w:rsid w:val="004D7A2C"/>
    <w:rsid w:val="004E1542"/>
    <w:rsid w:val="004E1803"/>
    <w:rsid w:val="004E1E4C"/>
    <w:rsid w:val="004E1F3E"/>
    <w:rsid w:val="004E3054"/>
    <w:rsid w:val="004E33D1"/>
    <w:rsid w:val="004E3A9E"/>
    <w:rsid w:val="004E7430"/>
    <w:rsid w:val="004F2CAF"/>
    <w:rsid w:val="004F359A"/>
    <w:rsid w:val="004F3FB0"/>
    <w:rsid w:val="004F44A1"/>
    <w:rsid w:val="004F59E7"/>
    <w:rsid w:val="004F64BB"/>
    <w:rsid w:val="004F7B9F"/>
    <w:rsid w:val="0050131B"/>
    <w:rsid w:val="00501441"/>
    <w:rsid w:val="0050174F"/>
    <w:rsid w:val="00503389"/>
    <w:rsid w:val="00503EE9"/>
    <w:rsid w:val="005045E6"/>
    <w:rsid w:val="005047CE"/>
    <w:rsid w:val="005050B3"/>
    <w:rsid w:val="0050554F"/>
    <w:rsid w:val="00505D99"/>
    <w:rsid w:val="0050663D"/>
    <w:rsid w:val="005067B1"/>
    <w:rsid w:val="0050775F"/>
    <w:rsid w:val="005108BD"/>
    <w:rsid w:val="00511DD8"/>
    <w:rsid w:val="0051273F"/>
    <w:rsid w:val="00516ACC"/>
    <w:rsid w:val="00517F81"/>
    <w:rsid w:val="00520176"/>
    <w:rsid w:val="00520D42"/>
    <w:rsid w:val="005219B2"/>
    <w:rsid w:val="00522D76"/>
    <w:rsid w:val="00522E51"/>
    <w:rsid w:val="0052383B"/>
    <w:rsid w:val="00523AAD"/>
    <w:rsid w:val="00523C25"/>
    <w:rsid w:val="00523F5E"/>
    <w:rsid w:val="00524B0E"/>
    <w:rsid w:val="0052554F"/>
    <w:rsid w:val="0052564D"/>
    <w:rsid w:val="00526663"/>
    <w:rsid w:val="005267BF"/>
    <w:rsid w:val="00526E94"/>
    <w:rsid w:val="00530F7D"/>
    <w:rsid w:val="00532BAD"/>
    <w:rsid w:val="0053357F"/>
    <w:rsid w:val="00534ACB"/>
    <w:rsid w:val="005359A4"/>
    <w:rsid w:val="00535A65"/>
    <w:rsid w:val="00536190"/>
    <w:rsid w:val="00541878"/>
    <w:rsid w:val="00543D78"/>
    <w:rsid w:val="00547CDF"/>
    <w:rsid w:val="005502B5"/>
    <w:rsid w:val="00550AE3"/>
    <w:rsid w:val="0055141C"/>
    <w:rsid w:val="00556557"/>
    <w:rsid w:val="00561D7A"/>
    <w:rsid w:val="00561F2F"/>
    <w:rsid w:val="00562155"/>
    <w:rsid w:val="005633C4"/>
    <w:rsid w:val="005637F1"/>
    <w:rsid w:val="005638D6"/>
    <w:rsid w:val="005649CD"/>
    <w:rsid w:val="0056638C"/>
    <w:rsid w:val="00570A59"/>
    <w:rsid w:val="00571207"/>
    <w:rsid w:val="00571D8C"/>
    <w:rsid w:val="0057787D"/>
    <w:rsid w:val="00580EBF"/>
    <w:rsid w:val="005835DB"/>
    <w:rsid w:val="00584C93"/>
    <w:rsid w:val="00585C2B"/>
    <w:rsid w:val="005874F3"/>
    <w:rsid w:val="0059139F"/>
    <w:rsid w:val="00591A3E"/>
    <w:rsid w:val="00591A8E"/>
    <w:rsid w:val="0059229F"/>
    <w:rsid w:val="00592BD0"/>
    <w:rsid w:val="00593E3B"/>
    <w:rsid w:val="00595251"/>
    <w:rsid w:val="005953AF"/>
    <w:rsid w:val="0059653A"/>
    <w:rsid w:val="00596FB3"/>
    <w:rsid w:val="005976D8"/>
    <w:rsid w:val="00597A9B"/>
    <w:rsid w:val="005A0810"/>
    <w:rsid w:val="005A1DA0"/>
    <w:rsid w:val="005A4D97"/>
    <w:rsid w:val="005A4EBD"/>
    <w:rsid w:val="005A5BE5"/>
    <w:rsid w:val="005B0B71"/>
    <w:rsid w:val="005B23EF"/>
    <w:rsid w:val="005B61D7"/>
    <w:rsid w:val="005C2B38"/>
    <w:rsid w:val="005C3C5E"/>
    <w:rsid w:val="005C44D6"/>
    <w:rsid w:val="005C4DBA"/>
    <w:rsid w:val="005C7E0C"/>
    <w:rsid w:val="005C7FE9"/>
    <w:rsid w:val="005D1A78"/>
    <w:rsid w:val="005D340F"/>
    <w:rsid w:val="005D4A8B"/>
    <w:rsid w:val="005D4C8F"/>
    <w:rsid w:val="005D78DF"/>
    <w:rsid w:val="005E2C20"/>
    <w:rsid w:val="005E2D95"/>
    <w:rsid w:val="005E31EE"/>
    <w:rsid w:val="005E32A6"/>
    <w:rsid w:val="005E3396"/>
    <w:rsid w:val="005E4929"/>
    <w:rsid w:val="005E5307"/>
    <w:rsid w:val="005F147D"/>
    <w:rsid w:val="005F1860"/>
    <w:rsid w:val="005F4B2F"/>
    <w:rsid w:val="005F58C2"/>
    <w:rsid w:val="005F630F"/>
    <w:rsid w:val="005F665E"/>
    <w:rsid w:val="005F6E1F"/>
    <w:rsid w:val="005F796C"/>
    <w:rsid w:val="0060026A"/>
    <w:rsid w:val="00601509"/>
    <w:rsid w:val="0060187A"/>
    <w:rsid w:val="0060261E"/>
    <w:rsid w:val="00603D17"/>
    <w:rsid w:val="00604B85"/>
    <w:rsid w:val="0060615C"/>
    <w:rsid w:val="0060618F"/>
    <w:rsid w:val="00606268"/>
    <w:rsid w:val="006071C9"/>
    <w:rsid w:val="00607AFF"/>
    <w:rsid w:val="00610BEE"/>
    <w:rsid w:val="00611E46"/>
    <w:rsid w:val="00612B03"/>
    <w:rsid w:val="00613667"/>
    <w:rsid w:val="00613BF9"/>
    <w:rsid w:val="00613DE5"/>
    <w:rsid w:val="00614415"/>
    <w:rsid w:val="00616460"/>
    <w:rsid w:val="006164E1"/>
    <w:rsid w:val="00617946"/>
    <w:rsid w:val="00617D75"/>
    <w:rsid w:val="00622E43"/>
    <w:rsid w:val="00623593"/>
    <w:rsid w:val="006240CE"/>
    <w:rsid w:val="00625CA6"/>
    <w:rsid w:val="00626914"/>
    <w:rsid w:val="00626A99"/>
    <w:rsid w:val="00626D17"/>
    <w:rsid w:val="00630B5F"/>
    <w:rsid w:val="00631051"/>
    <w:rsid w:val="00631774"/>
    <w:rsid w:val="00631E69"/>
    <w:rsid w:val="006322BB"/>
    <w:rsid w:val="00632828"/>
    <w:rsid w:val="00633167"/>
    <w:rsid w:val="00633201"/>
    <w:rsid w:val="006342F6"/>
    <w:rsid w:val="006345ED"/>
    <w:rsid w:val="00641A96"/>
    <w:rsid w:val="00641C85"/>
    <w:rsid w:val="0064251C"/>
    <w:rsid w:val="00644CAD"/>
    <w:rsid w:val="00650607"/>
    <w:rsid w:val="006508AB"/>
    <w:rsid w:val="00650F2A"/>
    <w:rsid w:val="00651CD1"/>
    <w:rsid w:val="00652667"/>
    <w:rsid w:val="00654B25"/>
    <w:rsid w:val="00655685"/>
    <w:rsid w:val="0066118D"/>
    <w:rsid w:val="0066283D"/>
    <w:rsid w:val="00662967"/>
    <w:rsid w:val="00663E92"/>
    <w:rsid w:val="00664A37"/>
    <w:rsid w:val="0066695A"/>
    <w:rsid w:val="006672B4"/>
    <w:rsid w:val="00672924"/>
    <w:rsid w:val="006733B9"/>
    <w:rsid w:val="00673689"/>
    <w:rsid w:val="00673A3B"/>
    <w:rsid w:val="00676ED4"/>
    <w:rsid w:val="006775FC"/>
    <w:rsid w:val="006802A8"/>
    <w:rsid w:val="006802AA"/>
    <w:rsid w:val="006802E4"/>
    <w:rsid w:val="00680D58"/>
    <w:rsid w:val="0068126C"/>
    <w:rsid w:val="0068143F"/>
    <w:rsid w:val="00682BAE"/>
    <w:rsid w:val="00682DCC"/>
    <w:rsid w:val="006833E5"/>
    <w:rsid w:val="006843AB"/>
    <w:rsid w:val="00685039"/>
    <w:rsid w:val="00685857"/>
    <w:rsid w:val="00685DF1"/>
    <w:rsid w:val="0068656B"/>
    <w:rsid w:val="00687000"/>
    <w:rsid w:val="00687EF4"/>
    <w:rsid w:val="0069043D"/>
    <w:rsid w:val="00690F2D"/>
    <w:rsid w:val="00691385"/>
    <w:rsid w:val="00691B25"/>
    <w:rsid w:val="00692027"/>
    <w:rsid w:val="0069274B"/>
    <w:rsid w:val="00693456"/>
    <w:rsid w:val="00693897"/>
    <w:rsid w:val="006951DB"/>
    <w:rsid w:val="00695D2E"/>
    <w:rsid w:val="00696165"/>
    <w:rsid w:val="006968A2"/>
    <w:rsid w:val="00697056"/>
    <w:rsid w:val="00697F12"/>
    <w:rsid w:val="006A04CD"/>
    <w:rsid w:val="006A0D74"/>
    <w:rsid w:val="006A0DF7"/>
    <w:rsid w:val="006A0FDF"/>
    <w:rsid w:val="006A3600"/>
    <w:rsid w:val="006A4696"/>
    <w:rsid w:val="006A4F5B"/>
    <w:rsid w:val="006A73A9"/>
    <w:rsid w:val="006B11E7"/>
    <w:rsid w:val="006B33BF"/>
    <w:rsid w:val="006B414D"/>
    <w:rsid w:val="006B4222"/>
    <w:rsid w:val="006B5864"/>
    <w:rsid w:val="006B60DB"/>
    <w:rsid w:val="006C0151"/>
    <w:rsid w:val="006C03D3"/>
    <w:rsid w:val="006C1B7C"/>
    <w:rsid w:val="006C2855"/>
    <w:rsid w:val="006C2DF4"/>
    <w:rsid w:val="006C35F0"/>
    <w:rsid w:val="006C3655"/>
    <w:rsid w:val="006C46D4"/>
    <w:rsid w:val="006C4D58"/>
    <w:rsid w:val="006C73E3"/>
    <w:rsid w:val="006C76D7"/>
    <w:rsid w:val="006C7FD8"/>
    <w:rsid w:val="006D0211"/>
    <w:rsid w:val="006D0298"/>
    <w:rsid w:val="006D090C"/>
    <w:rsid w:val="006D09B4"/>
    <w:rsid w:val="006D0A5C"/>
    <w:rsid w:val="006D30AA"/>
    <w:rsid w:val="006D5E80"/>
    <w:rsid w:val="006D67C3"/>
    <w:rsid w:val="006D692F"/>
    <w:rsid w:val="006D7583"/>
    <w:rsid w:val="006D7B0C"/>
    <w:rsid w:val="006E03A3"/>
    <w:rsid w:val="006E0E48"/>
    <w:rsid w:val="006E1B7E"/>
    <w:rsid w:val="006E3055"/>
    <w:rsid w:val="006E5254"/>
    <w:rsid w:val="006E59AD"/>
    <w:rsid w:val="006E63EA"/>
    <w:rsid w:val="006E666C"/>
    <w:rsid w:val="006F003A"/>
    <w:rsid w:val="006F103E"/>
    <w:rsid w:val="006F14D2"/>
    <w:rsid w:val="006F5CB4"/>
    <w:rsid w:val="006F5CF4"/>
    <w:rsid w:val="006F6D0E"/>
    <w:rsid w:val="006F7453"/>
    <w:rsid w:val="006F7E72"/>
    <w:rsid w:val="00701D75"/>
    <w:rsid w:val="00702826"/>
    <w:rsid w:val="00705EBB"/>
    <w:rsid w:val="00706EED"/>
    <w:rsid w:val="00707D95"/>
    <w:rsid w:val="00710ADF"/>
    <w:rsid w:val="00711A02"/>
    <w:rsid w:val="00712299"/>
    <w:rsid w:val="00715636"/>
    <w:rsid w:val="00715D9E"/>
    <w:rsid w:val="0071777C"/>
    <w:rsid w:val="007210E2"/>
    <w:rsid w:val="00721F0E"/>
    <w:rsid w:val="007222DA"/>
    <w:rsid w:val="007231C1"/>
    <w:rsid w:val="007248CA"/>
    <w:rsid w:val="0072545D"/>
    <w:rsid w:val="00726EA6"/>
    <w:rsid w:val="00731270"/>
    <w:rsid w:val="00732137"/>
    <w:rsid w:val="00732ADE"/>
    <w:rsid w:val="00732E97"/>
    <w:rsid w:val="007357AA"/>
    <w:rsid w:val="007367C4"/>
    <w:rsid w:val="007372B4"/>
    <w:rsid w:val="00741EB1"/>
    <w:rsid w:val="00742BD8"/>
    <w:rsid w:val="007434EB"/>
    <w:rsid w:val="00743BDC"/>
    <w:rsid w:val="00744D8A"/>
    <w:rsid w:val="0074570C"/>
    <w:rsid w:val="0074796C"/>
    <w:rsid w:val="00747CD9"/>
    <w:rsid w:val="00751251"/>
    <w:rsid w:val="00751EE6"/>
    <w:rsid w:val="00752F5F"/>
    <w:rsid w:val="00755AA1"/>
    <w:rsid w:val="00755AB2"/>
    <w:rsid w:val="00757972"/>
    <w:rsid w:val="00760CD1"/>
    <w:rsid w:val="00761479"/>
    <w:rsid w:val="007615DF"/>
    <w:rsid w:val="00761636"/>
    <w:rsid w:val="00761CE5"/>
    <w:rsid w:val="00761E6E"/>
    <w:rsid w:val="00762BA9"/>
    <w:rsid w:val="0076453D"/>
    <w:rsid w:val="007646C2"/>
    <w:rsid w:val="00764F37"/>
    <w:rsid w:val="007652AF"/>
    <w:rsid w:val="00771C21"/>
    <w:rsid w:val="00772735"/>
    <w:rsid w:val="00774763"/>
    <w:rsid w:val="00774D61"/>
    <w:rsid w:val="00775F06"/>
    <w:rsid w:val="00776AC6"/>
    <w:rsid w:val="00776E89"/>
    <w:rsid w:val="00780CF9"/>
    <w:rsid w:val="0078104B"/>
    <w:rsid w:val="00781AAE"/>
    <w:rsid w:val="00783C41"/>
    <w:rsid w:val="00785015"/>
    <w:rsid w:val="00785DE2"/>
    <w:rsid w:val="00785E44"/>
    <w:rsid w:val="00787101"/>
    <w:rsid w:val="0078741A"/>
    <w:rsid w:val="00787788"/>
    <w:rsid w:val="00787E41"/>
    <w:rsid w:val="00793B3F"/>
    <w:rsid w:val="00793F6B"/>
    <w:rsid w:val="00794528"/>
    <w:rsid w:val="00796390"/>
    <w:rsid w:val="007971E8"/>
    <w:rsid w:val="00797626"/>
    <w:rsid w:val="007A0087"/>
    <w:rsid w:val="007A4312"/>
    <w:rsid w:val="007A4CF4"/>
    <w:rsid w:val="007A67AB"/>
    <w:rsid w:val="007A6933"/>
    <w:rsid w:val="007A6DC3"/>
    <w:rsid w:val="007A7563"/>
    <w:rsid w:val="007B029D"/>
    <w:rsid w:val="007B0D92"/>
    <w:rsid w:val="007B19A6"/>
    <w:rsid w:val="007B3374"/>
    <w:rsid w:val="007B37F5"/>
    <w:rsid w:val="007B3CDA"/>
    <w:rsid w:val="007B3F9C"/>
    <w:rsid w:val="007B40C1"/>
    <w:rsid w:val="007B6B59"/>
    <w:rsid w:val="007B7D00"/>
    <w:rsid w:val="007C1AA3"/>
    <w:rsid w:val="007C3053"/>
    <w:rsid w:val="007C31C9"/>
    <w:rsid w:val="007C42E2"/>
    <w:rsid w:val="007C5620"/>
    <w:rsid w:val="007C7C15"/>
    <w:rsid w:val="007C7CED"/>
    <w:rsid w:val="007D0AA9"/>
    <w:rsid w:val="007D41CD"/>
    <w:rsid w:val="007D472E"/>
    <w:rsid w:val="007D6BFD"/>
    <w:rsid w:val="007E04D4"/>
    <w:rsid w:val="007E49A1"/>
    <w:rsid w:val="007F0972"/>
    <w:rsid w:val="007F1E26"/>
    <w:rsid w:val="007F3169"/>
    <w:rsid w:val="007F4117"/>
    <w:rsid w:val="007F5D66"/>
    <w:rsid w:val="007F76C8"/>
    <w:rsid w:val="008014EA"/>
    <w:rsid w:val="00801952"/>
    <w:rsid w:val="00801995"/>
    <w:rsid w:val="008027DC"/>
    <w:rsid w:val="00802966"/>
    <w:rsid w:val="00803728"/>
    <w:rsid w:val="008038F7"/>
    <w:rsid w:val="00804578"/>
    <w:rsid w:val="00804693"/>
    <w:rsid w:val="00806A55"/>
    <w:rsid w:val="008079C0"/>
    <w:rsid w:val="00811D13"/>
    <w:rsid w:val="00812DF2"/>
    <w:rsid w:val="00814E7F"/>
    <w:rsid w:val="00820985"/>
    <w:rsid w:val="00820D81"/>
    <w:rsid w:val="0082175F"/>
    <w:rsid w:val="00823DA4"/>
    <w:rsid w:val="00824A6E"/>
    <w:rsid w:val="008301C7"/>
    <w:rsid w:val="0083038C"/>
    <w:rsid w:val="00832EC3"/>
    <w:rsid w:val="008333CC"/>
    <w:rsid w:val="00837ACD"/>
    <w:rsid w:val="00844E29"/>
    <w:rsid w:val="00844F14"/>
    <w:rsid w:val="00844F73"/>
    <w:rsid w:val="0084500C"/>
    <w:rsid w:val="00845444"/>
    <w:rsid w:val="008454F1"/>
    <w:rsid w:val="008459D3"/>
    <w:rsid w:val="00845FDC"/>
    <w:rsid w:val="00846907"/>
    <w:rsid w:val="008515C1"/>
    <w:rsid w:val="0085232E"/>
    <w:rsid w:val="00853AD2"/>
    <w:rsid w:val="00853B95"/>
    <w:rsid w:val="008546BD"/>
    <w:rsid w:val="00855CF5"/>
    <w:rsid w:val="00856DFA"/>
    <w:rsid w:val="00856E6F"/>
    <w:rsid w:val="00857705"/>
    <w:rsid w:val="00860E28"/>
    <w:rsid w:val="0086298C"/>
    <w:rsid w:val="008643B7"/>
    <w:rsid w:val="00865A49"/>
    <w:rsid w:val="00866398"/>
    <w:rsid w:val="00870231"/>
    <w:rsid w:val="00870712"/>
    <w:rsid w:val="0087298F"/>
    <w:rsid w:val="008734D1"/>
    <w:rsid w:val="00873551"/>
    <w:rsid w:val="008739CA"/>
    <w:rsid w:val="00874A37"/>
    <w:rsid w:val="008755B9"/>
    <w:rsid w:val="0087766E"/>
    <w:rsid w:val="00877C44"/>
    <w:rsid w:val="008806E5"/>
    <w:rsid w:val="00881F2C"/>
    <w:rsid w:val="00882E23"/>
    <w:rsid w:val="00886FB3"/>
    <w:rsid w:val="008874A5"/>
    <w:rsid w:val="00887AC9"/>
    <w:rsid w:val="00890624"/>
    <w:rsid w:val="00890AD1"/>
    <w:rsid w:val="00890DE5"/>
    <w:rsid w:val="008913C8"/>
    <w:rsid w:val="008938A2"/>
    <w:rsid w:val="00893CC0"/>
    <w:rsid w:val="00893F97"/>
    <w:rsid w:val="00894E82"/>
    <w:rsid w:val="00895384"/>
    <w:rsid w:val="008972FE"/>
    <w:rsid w:val="008A0165"/>
    <w:rsid w:val="008A0531"/>
    <w:rsid w:val="008A2B74"/>
    <w:rsid w:val="008A3C01"/>
    <w:rsid w:val="008A4C0B"/>
    <w:rsid w:val="008A6841"/>
    <w:rsid w:val="008A7251"/>
    <w:rsid w:val="008A7C78"/>
    <w:rsid w:val="008A7E23"/>
    <w:rsid w:val="008B27D5"/>
    <w:rsid w:val="008B345B"/>
    <w:rsid w:val="008B7576"/>
    <w:rsid w:val="008C0591"/>
    <w:rsid w:val="008C0FFA"/>
    <w:rsid w:val="008C1F2E"/>
    <w:rsid w:val="008C244C"/>
    <w:rsid w:val="008C3659"/>
    <w:rsid w:val="008C3723"/>
    <w:rsid w:val="008C3909"/>
    <w:rsid w:val="008C425C"/>
    <w:rsid w:val="008C4BAA"/>
    <w:rsid w:val="008C4FD6"/>
    <w:rsid w:val="008C553C"/>
    <w:rsid w:val="008C6D90"/>
    <w:rsid w:val="008C75DF"/>
    <w:rsid w:val="008D05F4"/>
    <w:rsid w:val="008D4D3E"/>
    <w:rsid w:val="008D5F90"/>
    <w:rsid w:val="008D622A"/>
    <w:rsid w:val="008D630A"/>
    <w:rsid w:val="008D71CB"/>
    <w:rsid w:val="008D786D"/>
    <w:rsid w:val="008E0121"/>
    <w:rsid w:val="008E1A13"/>
    <w:rsid w:val="008E1B0B"/>
    <w:rsid w:val="008E27EE"/>
    <w:rsid w:val="008E31A8"/>
    <w:rsid w:val="008E34B4"/>
    <w:rsid w:val="008E350B"/>
    <w:rsid w:val="008E3841"/>
    <w:rsid w:val="008E6D0B"/>
    <w:rsid w:val="008F0517"/>
    <w:rsid w:val="008F2BFB"/>
    <w:rsid w:val="008F50E7"/>
    <w:rsid w:val="008F5D93"/>
    <w:rsid w:val="008F693C"/>
    <w:rsid w:val="008F74BE"/>
    <w:rsid w:val="00902419"/>
    <w:rsid w:val="0090319B"/>
    <w:rsid w:val="009109AE"/>
    <w:rsid w:val="009142D4"/>
    <w:rsid w:val="00916A9F"/>
    <w:rsid w:val="00917DBF"/>
    <w:rsid w:val="00920D2F"/>
    <w:rsid w:val="009210FC"/>
    <w:rsid w:val="00921B1F"/>
    <w:rsid w:val="00922BF0"/>
    <w:rsid w:val="0092362A"/>
    <w:rsid w:val="009240ED"/>
    <w:rsid w:val="00924276"/>
    <w:rsid w:val="00924E75"/>
    <w:rsid w:val="0092520D"/>
    <w:rsid w:val="00925E93"/>
    <w:rsid w:val="0092632F"/>
    <w:rsid w:val="0092666C"/>
    <w:rsid w:val="00927DF1"/>
    <w:rsid w:val="00930937"/>
    <w:rsid w:val="00930FA9"/>
    <w:rsid w:val="009336A2"/>
    <w:rsid w:val="00935745"/>
    <w:rsid w:val="00940563"/>
    <w:rsid w:val="00943DE8"/>
    <w:rsid w:val="009465C9"/>
    <w:rsid w:val="00946D0D"/>
    <w:rsid w:val="009474A5"/>
    <w:rsid w:val="0095185C"/>
    <w:rsid w:val="00952534"/>
    <w:rsid w:val="00953934"/>
    <w:rsid w:val="00955573"/>
    <w:rsid w:val="00955B60"/>
    <w:rsid w:val="009605DA"/>
    <w:rsid w:val="00960A9E"/>
    <w:rsid w:val="00960D6D"/>
    <w:rsid w:val="009622C8"/>
    <w:rsid w:val="00963EEC"/>
    <w:rsid w:val="009640B6"/>
    <w:rsid w:val="009642A8"/>
    <w:rsid w:val="00964F23"/>
    <w:rsid w:val="0096535B"/>
    <w:rsid w:val="00965CF0"/>
    <w:rsid w:val="00966F1D"/>
    <w:rsid w:val="0096737C"/>
    <w:rsid w:val="00970998"/>
    <w:rsid w:val="00970F3F"/>
    <w:rsid w:val="00972C51"/>
    <w:rsid w:val="009735A4"/>
    <w:rsid w:val="009738CD"/>
    <w:rsid w:val="00974260"/>
    <w:rsid w:val="00974747"/>
    <w:rsid w:val="00975BC5"/>
    <w:rsid w:val="0097686A"/>
    <w:rsid w:val="00977468"/>
    <w:rsid w:val="00977C32"/>
    <w:rsid w:val="00977DE8"/>
    <w:rsid w:val="00982311"/>
    <w:rsid w:val="00983FD9"/>
    <w:rsid w:val="0098593D"/>
    <w:rsid w:val="00991438"/>
    <w:rsid w:val="009920BA"/>
    <w:rsid w:val="009924F3"/>
    <w:rsid w:val="00993258"/>
    <w:rsid w:val="00993CBE"/>
    <w:rsid w:val="00994C8F"/>
    <w:rsid w:val="00996726"/>
    <w:rsid w:val="00996DDF"/>
    <w:rsid w:val="009A04B2"/>
    <w:rsid w:val="009A1683"/>
    <w:rsid w:val="009A1913"/>
    <w:rsid w:val="009A1B32"/>
    <w:rsid w:val="009A264C"/>
    <w:rsid w:val="009A3FC5"/>
    <w:rsid w:val="009A44A7"/>
    <w:rsid w:val="009A6060"/>
    <w:rsid w:val="009B55A6"/>
    <w:rsid w:val="009B5966"/>
    <w:rsid w:val="009B63C5"/>
    <w:rsid w:val="009C05BA"/>
    <w:rsid w:val="009C0CFF"/>
    <w:rsid w:val="009C136F"/>
    <w:rsid w:val="009C36F2"/>
    <w:rsid w:val="009C4009"/>
    <w:rsid w:val="009C722A"/>
    <w:rsid w:val="009C7C5D"/>
    <w:rsid w:val="009D11B3"/>
    <w:rsid w:val="009D1B31"/>
    <w:rsid w:val="009D1F12"/>
    <w:rsid w:val="009D27B4"/>
    <w:rsid w:val="009D3324"/>
    <w:rsid w:val="009D3D64"/>
    <w:rsid w:val="009D4DC7"/>
    <w:rsid w:val="009D4E9D"/>
    <w:rsid w:val="009D5FE5"/>
    <w:rsid w:val="009D62F2"/>
    <w:rsid w:val="009D63CE"/>
    <w:rsid w:val="009D6A03"/>
    <w:rsid w:val="009D6A45"/>
    <w:rsid w:val="009D6D21"/>
    <w:rsid w:val="009D6FA7"/>
    <w:rsid w:val="009D706A"/>
    <w:rsid w:val="009D70D6"/>
    <w:rsid w:val="009E13EE"/>
    <w:rsid w:val="009E1D51"/>
    <w:rsid w:val="009E2669"/>
    <w:rsid w:val="009E3814"/>
    <w:rsid w:val="009E3D7E"/>
    <w:rsid w:val="009E4D8D"/>
    <w:rsid w:val="009E656E"/>
    <w:rsid w:val="009F021E"/>
    <w:rsid w:val="009F06AA"/>
    <w:rsid w:val="009F09A6"/>
    <w:rsid w:val="009F2B11"/>
    <w:rsid w:val="009F2FB3"/>
    <w:rsid w:val="009F42E9"/>
    <w:rsid w:val="009F453E"/>
    <w:rsid w:val="009F4ACF"/>
    <w:rsid w:val="009F4CF7"/>
    <w:rsid w:val="00A00603"/>
    <w:rsid w:val="00A01515"/>
    <w:rsid w:val="00A0177C"/>
    <w:rsid w:val="00A02A67"/>
    <w:rsid w:val="00A046DF"/>
    <w:rsid w:val="00A0508A"/>
    <w:rsid w:val="00A0539D"/>
    <w:rsid w:val="00A05ED5"/>
    <w:rsid w:val="00A07CB3"/>
    <w:rsid w:val="00A10C8A"/>
    <w:rsid w:val="00A11BCF"/>
    <w:rsid w:val="00A120F7"/>
    <w:rsid w:val="00A1571E"/>
    <w:rsid w:val="00A16F0C"/>
    <w:rsid w:val="00A2208A"/>
    <w:rsid w:val="00A22289"/>
    <w:rsid w:val="00A22F94"/>
    <w:rsid w:val="00A23332"/>
    <w:rsid w:val="00A27363"/>
    <w:rsid w:val="00A2787F"/>
    <w:rsid w:val="00A310FF"/>
    <w:rsid w:val="00A33654"/>
    <w:rsid w:val="00A35B8C"/>
    <w:rsid w:val="00A36AB0"/>
    <w:rsid w:val="00A37FA1"/>
    <w:rsid w:val="00A4074E"/>
    <w:rsid w:val="00A41906"/>
    <w:rsid w:val="00A4281F"/>
    <w:rsid w:val="00A44677"/>
    <w:rsid w:val="00A44F2F"/>
    <w:rsid w:val="00A45A2D"/>
    <w:rsid w:val="00A45DE8"/>
    <w:rsid w:val="00A468F7"/>
    <w:rsid w:val="00A4774B"/>
    <w:rsid w:val="00A502B4"/>
    <w:rsid w:val="00A5119B"/>
    <w:rsid w:val="00A51ACB"/>
    <w:rsid w:val="00A555E8"/>
    <w:rsid w:val="00A556E5"/>
    <w:rsid w:val="00A601B7"/>
    <w:rsid w:val="00A60454"/>
    <w:rsid w:val="00A61E98"/>
    <w:rsid w:val="00A64529"/>
    <w:rsid w:val="00A65CAA"/>
    <w:rsid w:val="00A663A9"/>
    <w:rsid w:val="00A668BA"/>
    <w:rsid w:val="00A70152"/>
    <w:rsid w:val="00A732DD"/>
    <w:rsid w:val="00A7330B"/>
    <w:rsid w:val="00A80AEB"/>
    <w:rsid w:val="00A828DB"/>
    <w:rsid w:val="00A8425D"/>
    <w:rsid w:val="00A865E6"/>
    <w:rsid w:val="00A870AF"/>
    <w:rsid w:val="00A87220"/>
    <w:rsid w:val="00A940D9"/>
    <w:rsid w:val="00A9559F"/>
    <w:rsid w:val="00AA0B47"/>
    <w:rsid w:val="00AA17E3"/>
    <w:rsid w:val="00AA1AFD"/>
    <w:rsid w:val="00AA2091"/>
    <w:rsid w:val="00AA37A2"/>
    <w:rsid w:val="00AA68CD"/>
    <w:rsid w:val="00AA6D5F"/>
    <w:rsid w:val="00AB089B"/>
    <w:rsid w:val="00AB1BCC"/>
    <w:rsid w:val="00AB53E6"/>
    <w:rsid w:val="00AB5402"/>
    <w:rsid w:val="00AC07CF"/>
    <w:rsid w:val="00AC0CDC"/>
    <w:rsid w:val="00AC15D1"/>
    <w:rsid w:val="00AC1E61"/>
    <w:rsid w:val="00AC24F1"/>
    <w:rsid w:val="00AC2872"/>
    <w:rsid w:val="00AC4D58"/>
    <w:rsid w:val="00AD0D10"/>
    <w:rsid w:val="00AD171F"/>
    <w:rsid w:val="00AD2633"/>
    <w:rsid w:val="00AD3F1C"/>
    <w:rsid w:val="00AD4CAF"/>
    <w:rsid w:val="00AD5883"/>
    <w:rsid w:val="00AD5EA6"/>
    <w:rsid w:val="00AD690E"/>
    <w:rsid w:val="00AD6A77"/>
    <w:rsid w:val="00AE0AAE"/>
    <w:rsid w:val="00AE219D"/>
    <w:rsid w:val="00AE467F"/>
    <w:rsid w:val="00AE5251"/>
    <w:rsid w:val="00AE581F"/>
    <w:rsid w:val="00AE59F9"/>
    <w:rsid w:val="00AE6351"/>
    <w:rsid w:val="00AE653B"/>
    <w:rsid w:val="00AE6DD8"/>
    <w:rsid w:val="00AE7024"/>
    <w:rsid w:val="00AE776F"/>
    <w:rsid w:val="00AF0642"/>
    <w:rsid w:val="00AF0A43"/>
    <w:rsid w:val="00AF0C0C"/>
    <w:rsid w:val="00AF3068"/>
    <w:rsid w:val="00AF42B9"/>
    <w:rsid w:val="00AF4DD9"/>
    <w:rsid w:val="00AF5137"/>
    <w:rsid w:val="00AF67DA"/>
    <w:rsid w:val="00B00EE0"/>
    <w:rsid w:val="00B00F26"/>
    <w:rsid w:val="00B04E59"/>
    <w:rsid w:val="00B07305"/>
    <w:rsid w:val="00B110A8"/>
    <w:rsid w:val="00B130BF"/>
    <w:rsid w:val="00B13DF5"/>
    <w:rsid w:val="00B14719"/>
    <w:rsid w:val="00B17348"/>
    <w:rsid w:val="00B23324"/>
    <w:rsid w:val="00B2455E"/>
    <w:rsid w:val="00B250D7"/>
    <w:rsid w:val="00B251A7"/>
    <w:rsid w:val="00B2726D"/>
    <w:rsid w:val="00B279E1"/>
    <w:rsid w:val="00B35AD2"/>
    <w:rsid w:val="00B41AF6"/>
    <w:rsid w:val="00B44428"/>
    <w:rsid w:val="00B463B4"/>
    <w:rsid w:val="00B463F5"/>
    <w:rsid w:val="00B47998"/>
    <w:rsid w:val="00B50D9A"/>
    <w:rsid w:val="00B51130"/>
    <w:rsid w:val="00B516CA"/>
    <w:rsid w:val="00B5403D"/>
    <w:rsid w:val="00B553BB"/>
    <w:rsid w:val="00B558C3"/>
    <w:rsid w:val="00B56103"/>
    <w:rsid w:val="00B62C60"/>
    <w:rsid w:val="00B65F49"/>
    <w:rsid w:val="00B663D8"/>
    <w:rsid w:val="00B66827"/>
    <w:rsid w:val="00B67BFC"/>
    <w:rsid w:val="00B70F13"/>
    <w:rsid w:val="00B715AA"/>
    <w:rsid w:val="00B720DF"/>
    <w:rsid w:val="00B72953"/>
    <w:rsid w:val="00B73B68"/>
    <w:rsid w:val="00B75FCF"/>
    <w:rsid w:val="00B76285"/>
    <w:rsid w:val="00B77ED4"/>
    <w:rsid w:val="00B80E37"/>
    <w:rsid w:val="00B818CC"/>
    <w:rsid w:val="00B81FDA"/>
    <w:rsid w:val="00B82C0F"/>
    <w:rsid w:val="00B832DC"/>
    <w:rsid w:val="00B8383E"/>
    <w:rsid w:val="00B84CE3"/>
    <w:rsid w:val="00B85F76"/>
    <w:rsid w:val="00B913E2"/>
    <w:rsid w:val="00B935FE"/>
    <w:rsid w:val="00B940FA"/>
    <w:rsid w:val="00B94CD3"/>
    <w:rsid w:val="00BA2FF2"/>
    <w:rsid w:val="00BA39B5"/>
    <w:rsid w:val="00BA54FF"/>
    <w:rsid w:val="00BA57E9"/>
    <w:rsid w:val="00BA5A5D"/>
    <w:rsid w:val="00BA61B3"/>
    <w:rsid w:val="00BA6744"/>
    <w:rsid w:val="00BB0201"/>
    <w:rsid w:val="00BB13A2"/>
    <w:rsid w:val="00BB2351"/>
    <w:rsid w:val="00BB38F6"/>
    <w:rsid w:val="00BB3AAE"/>
    <w:rsid w:val="00BB4FA6"/>
    <w:rsid w:val="00BB5F9D"/>
    <w:rsid w:val="00BB76A6"/>
    <w:rsid w:val="00BB7826"/>
    <w:rsid w:val="00BB7A64"/>
    <w:rsid w:val="00BC0CCE"/>
    <w:rsid w:val="00BC317A"/>
    <w:rsid w:val="00BC6046"/>
    <w:rsid w:val="00BC6738"/>
    <w:rsid w:val="00BD5A7A"/>
    <w:rsid w:val="00BD5C73"/>
    <w:rsid w:val="00BD68A1"/>
    <w:rsid w:val="00BD77E3"/>
    <w:rsid w:val="00BE09B5"/>
    <w:rsid w:val="00BE0EA2"/>
    <w:rsid w:val="00BE2648"/>
    <w:rsid w:val="00BE2803"/>
    <w:rsid w:val="00BE3FF8"/>
    <w:rsid w:val="00BE4231"/>
    <w:rsid w:val="00BE4C18"/>
    <w:rsid w:val="00BE4CD5"/>
    <w:rsid w:val="00BE6235"/>
    <w:rsid w:val="00BF0FD6"/>
    <w:rsid w:val="00BF2E10"/>
    <w:rsid w:val="00BF346C"/>
    <w:rsid w:val="00BF4980"/>
    <w:rsid w:val="00BF5BD7"/>
    <w:rsid w:val="00BF6CB5"/>
    <w:rsid w:val="00BF758D"/>
    <w:rsid w:val="00C02FAC"/>
    <w:rsid w:val="00C03272"/>
    <w:rsid w:val="00C06E1B"/>
    <w:rsid w:val="00C126C5"/>
    <w:rsid w:val="00C129F8"/>
    <w:rsid w:val="00C173B8"/>
    <w:rsid w:val="00C17FD6"/>
    <w:rsid w:val="00C202E2"/>
    <w:rsid w:val="00C20CF6"/>
    <w:rsid w:val="00C22BC8"/>
    <w:rsid w:val="00C2373D"/>
    <w:rsid w:val="00C23B21"/>
    <w:rsid w:val="00C26C02"/>
    <w:rsid w:val="00C32158"/>
    <w:rsid w:val="00C326C1"/>
    <w:rsid w:val="00C349B6"/>
    <w:rsid w:val="00C34C38"/>
    <w:rsid w:val="00C34CFE"/>
    <w:rsid w:val="00C36DE9"/>
    <w:rsid w:val="00C4003A"/>
    <w:rsid w:val="00C404F4"/>
    <w:rsid w:val="00C41F94"/>
    <w:rsid w:val="00C4205B"/>
    <w:rsid w:val="00C428FB"/>
    <w:rsid w:val="00C42E66"/>
    <w:rsid w:val="00C43D5E"/>
    <w:rsid w:val="00C46F7C"/>
    <w:rsid w:val="00C471EA"/>
    <w:rsid w:val="00C50A96"/>
    <w:rsid w:val="00C511F0"/>
    <w:rsid w:val="00C52BA2"/>
    <w:rsid w:val="00C52F8D"/>
    <w:rsid w:val="00C53A72"/>
    <w:rsid w:val="00C5567F"/>
    <w:rsid w:val="00C572E2"/>
    <w:rsid w:val="00C604E3"/>
    <w:rsid w:val="00C62D3F"/>
    <w:rsid w:val="00C62F40"/>
    <w:rsid w:val="00C647F9"/>
    <w:rsid w:val="00C66662"/>
    <w:rsid w:val="00C66B38"/>
    <w:rsid w:val="00C707AC"/>
    <w:rsid w:val="00C714B8"/>
    <w:rsid w:val="00C747A3"/>
    <w:rsid w:val="00C77B38"/>
    <w:rsid w:val="00C803A5"/>
    <w:rsid w:val="00C8120E"/>
    <w:rsid w:val="00C81678"/>
    <w:rsid w:val="00C81E82"/>
    <w:rsid w:val="00C8204B"/>
    <w:rsid w:val="00C82898"/>
    <w:rsid w:val="00C8304C"/>
    <w:rsid w:val="00C84D88"/>
    <w:rsid w:val="00C91752"/>
    <w:rsid w:val="00C91D7C"/>
    <w:rsid w:val="00C942C8"/>
    <w:rsid w:val="00C95007"/>
    <w:rsid w:val="00C95026"/>
    <w:rsid w:val="00CA0699"/>
    <w:rsid w:val="00CA0A8B"/>
    <w:rsid w:val="00CA2083"/>
    <w:rsid w:val="00CA21A8"/>
    <w:rsid w:val="00CA2B56"/>
    <w:rsid w:val="00CA31B6"/>
    <w:rsid w:val="00CA3C7A"/>
    <w:rsid w:val="00CA459F"/>
    <w:rsid w:val="00CB0863"/>
    <w:rsid w:val="00CB27A5"/>
    <w:rsid w:val="00CB6F3C"/>
    <w:rsid w:val="00CC035D"/>
    <w:rsid w:val="00CC110B"/>
    <w:rsid w:val="00CC1A02"/>
    <w:rsid w:val="00CC21D5"/>
    <w:rsid w:val="00CC30BC"/>
    <w:rsid w:val="00CC313D"/>
    <w:rsid w:val="00CC35EC"/>
    <w:rsid w:val="00CC3B34"/>
    <w:rsid w:val="00CC5835"/>
    <w:rsid w:val="00CC6454"/>
    <w:rsid w:val="00CC7382"/>
    <w:rsid w:val="00CC769E"/>
    <w:rsid w:val="00CD0A69"/>
    <w:rsid w:val="00CD21AB"/>
    <w:rsid w:val="00CD2396"/>
    <w:rsid w:val="00CD429D"/>
    <w:rsid w:val="00CD43B7"/>
    <w:rsid w:val="00CD595D"/>
    <w:rsid w:val="00CD62E0"/>
    <w:rsid w:val="00CD73D8"/>
    <w:rsid w:val="00CE1C15"/>
    <w:rsid w:val="00CE2002"/>
    <w:rsid w:val="00CE2DDD"/>
    <w:rsid w:val="00CE4766"/>
    <w:rsid w:val="00CE5649"/>
    <w:rsid w:val="00CE60E6"/>
    <w:rsid w:val="00CE7FDD"/>
    <w:rsid w:val="00CF1454"/>
    <w:rsid w:val="00CF3242"/>
    <w:rsid w:val="00CF353C"/>
    <w:rsid w:val="00CF4701"/>
    <w:rsid w:val="00CF4FB8"/>
    <w:rsid w:val="00CF63E3"/>
    <w:rsid w:val="00CF69F4"/>
    <w:rsid w:val="00CF72EA"/>
    <w:rsid w:val="00D0075F"/>
    <w:rsid w:val="00D00858"/>
    <w:rsid w:val="00D00AF1"/>
    <w:rsid w:val="00D01CDE"/>
    <w:rsid w:val="00D02020"/>
    <w:rsid w:val="00D02A23"/>
    <w:rsid w:val="00D03ECF"/>
    <w:rsid w:val="00D0462D"/>
    <w:rsid w:val="00D04FDE"/>
    <w:rsid w:val="00D053C2"/>
    <w:rsid w:val="00D064D4"/>
    <w:rsid w:val="00D06F8A"/>
    <w:rsid w:val="00D13AF1"/>
    <w:rsid w:val="00D14FF5"/>
    <w:rsid w:val="00D1631F"/>
    <w:rsid w:val="00D1664D"/>
    <w:rsid w:val="00D20E6C"/>
    <w:rsid w:val="00D21381"/>
    <w:rsid w:val="00D2198E"/>
    <w:rsid w:val="00D21B2F"/>
    <w:rsid w:val="00D2262E"/>
    <w:rsid w:val="00D22CE0"/>
    <w:rsid w:val="00D23C43"/>
    <w:rsid w:val="00D2458E"/>
    <w:rsid w:val="00D24915"/>
    <w:rsid w:val="00D24D43"/>
    <w:rsid w:val="00D2526A"/>
    <w:rsid w:val="00D27023"/>
    <w:rsid w:val="00D30BB8"/>
    <w:rsid w:val="00D31341"/>
    <w:rsid w:val="00D31800"/>
    <w:rsid w:val="00D32365"/>
    <w:rsid w:val="00D33298"/>
    <w:rsid w:val="00D3334B"/>
    <w:rsid w:val="00D3381E"/>
    <w:rsid w:val="00D3442B"/>
    <w:rsid w:val="00D35FFB"/>
    <w:rsid w:val="00D36093"/>
    <w:rsid w:val="00D36136"/>
    <w:rsid w:val="00D36A16"/>
    <w:rsid w:val="00D3711B"/>
    <w:rsid w:val="00D372F4"/>
    <w:rsid w:val="00D3794F"/>
    <w:rsid w:val="00D37982"/>
    <w:rsid w:val="00D4069D"/>
    <w:rsid w:val="00D42C9A"/>
    <w:rsid w:val="00D44EA3"/>
    <w:rsid w:val="00D45B8A"/>
    <w:rsid w:val="00D51187"/>
    <w:rsid w:val="00D52B4B"/>
    <w:rsid w:val="00D54F00"/>
    <w:rsid w:val="00D5659C"/>
    <w:rsid w:val="00D60111"/>
    <w:rsid w:val="00D60B9C"/>
    <w:rsid w:val="00D6122C"/>
    <w:rsid w:val="00D6156D"/>
    <w:rsid w:val="00D61813"/>
    <w:rsid w:val="00D61F47"/>
    <w:rsid w:val="00D64DDC"/>
    <w:rsid w:val="00D66167"/>
    <w:rsid w:val="00D66D23"/>
    <w:rsid w:val="00D67EF8"/>
    <w:rsid w:val="00D700BC"/>
    <w:rsid w:val="00D70D9D"/>
    <w:rsid w:val="00D723A5"/>
    <w:rsid w:val="00D73DEB"/>
    <w:rsid w:val="00D7488E"/>
    <w:rsid w:val="00D74CA9"/>
    <w:rsid w:val="00D757F7"/>
    <w:rsid w:val="00D76944"/>
    <w:rsid w:val="00D76C9C"/>
    <w:rsid w:val="00D808E2"/>
    <w:rsid w:val="00D829C1"/>
    <w:rsid w:val="00D82C48"/>
    <w:rsid w:val="00D907A8"/>
    <w:rsid w:val="00D932D6"/>
    <w:rsid w:val="00D93C32"/>
    <w:rsid w:val="00D945A9"/>
    <w:rsid w:val="00D958F4"/>
    <w:rsid w:val="00D95910"/>
    <w:rsid w:val="00D96A1C"/>
    <w:rsid w:val="00D96AB4"/>
    <w:rsid w:val="00DA0A52"/>
    <w:rsid w:val="00DA0B42"/>
    <w:rsid w:val="00DA16E5"/>
    <w:rsid w:val="00DA3093"/>
    <w:rsid w:val="00DA3F2A"/>
    <w:rsid w:val="00DA4E78"/>
    <w:rsid w:val="00DB2B1E"/>
    <w:rsid w:val="00DB2B6F"/>
    <w:rsid w:val="00DB3FA3"/>
    <w:rsid w:val="00DB47DB"/>
    <w:rsid w:val="00DB5759"/>
    <w:rsid w:val="00DB5B60"/>
    <w:rsid w:val="00DB6B5B"/>
    <w:rsid w:val="00DB7AC0"/>
    <w:rsid w:val="00DC019B"/>
    <w:rsid w:val="00DC2F08"/>
    <w:rsid w:val="00DC5B2A"/>
    <w:rsid w:val="00DC5DE4"/>
    <w:rsid w:val="00DC67F5"/>
    <w:rsid w:val="00DC7615"/>
    <w:rsid w:val="00DC773A"/>
    <w:rsid w:val="00DD11FA"/>
    <w:rsid w:val="00DD1202"/>
    <w:rsid w:val="00DD290D"/>
    <w:rsid w:val="00DD2B84"/>
    <w:rsid w:val="00DD3E9F"/>
    <w:rsid w:val="00DD4BB1"/>
    <w:rsid w:val="00DD5966"/>
    <w:rsid w:val="00DD7273"/>
    <w:rsid w:val="00DE0E9C"/>
    <w:rsid w:val="00DE1C27"/>
    <w:rsid w:val="00DE38CB"/>
    <w:rsid w:val="00DE6E3A"/>
    <w:rsid w:val="00DE74E8"/>
    <w:rsid w:val="00DE756D"/>
    <w:rsid w:val="00DE7593"/>
    <w:rsid w:val="00DF1769"/>
    <w:rsid w:val="00DF1A58"/>
    <w:rsid w:val="00DF39F7"/>
    <w:rsid w:val="00E048FE"/>
    <w:rsid w:val="00E049ED"/>
    <w:rsid w:val="00E04F11"/>
    <w:rsid w:val="00E04F91"/>
    <w:rsid w:val="00E055ED"/>
    <w:rsid w:val="00E0589F"/>
    <w:rsid w:val="00E075D7"/>
    <w:rsid w:val="00E0775A"/>
    <w:rsid w:val="00E0777B"/>
    <w:rsid w:val="00E078EA"/>
    <w:rsid w:val="00E128FB"/>
    <w:rsid w:val="00E1564E"/>
    <w:rsid w:val="00E17550"/>
    <w:rsid w:val="00E21996"/>
    <w:rsid w:val="00E21F66"/>
    <w:rsid w:val="00E23B86"/>
    <w:rsid w:val="00E23D56"/>
    <w:rsid w:val="00E242B0"/>
    <w:rsid w:val="00E249EB"/>
    <w:rsid w:val="00E24DEF"/>
    <w:rsid w:val="00E2629B"/>
    <w:rsid w:val="00E315ED"/>
    <w:rsid w:val="00E31BEA"/>
    <w:rsid w:val="00E3233F"/>
    <w:rsid w:val="00E33E4B"/>
    <w:rsid w:val="00E34A94"/>
    <w:rsid w:val="00E367AD"/>
    <w:rsid w:val="00E36B0E"/>
    <w:rsid w:val="00E40398"/>
    <w:rsid w:val="00E407F4"/>
    <w:rsid w:val="00E416A8"/>
    <w:rsid w:val="00E41B1E"/>
    <w:rsid w:val="00E42192"/>
    <w:rsid w:val="00E4306F"/>
    <w:rsid w:val="00E43651"/>
    <w:rsid w:val="00E45813"/>
    <w:rsid w:val="00E47143"/>
    <w:rsid w:val="00E47466"/>
    <w:rsid w:val="00E47FA5"/>
    <w:rsid w:val="00E50723"/>
    <w:rsid w:val="00E516C9"/>
    <w:rsid w:val="00E5185A"/>
    <w:rsid w:val="00E51BCC"/>
    <w:rsid w:val="00E5275B"/>
    <w:rsid w:val="00E56F0C"/>
    <w:rsid w:val="00E6002E"/>
    <w:rsid w:val="00E60165"/>
    <w:rsid w:val="00E60E43"/>
    <w:rsid w:val="00E61297"/>
    <w:rsid w:val="00E62983"/>
    <w:rsid w:val="00E64A05"/>
    <w:rsid w:val="00E6613B"/>
    <w:rsid w:val="00E66D16"/>
    <w:rsid w:val="00E67766"/>
    <w:rsid w:val="00E67856"/>
    <w:rsid w:val="00E7036E"/>
    <w:rsid w:val="00E7038C"/>
    <w:rsid w:val="00E7079A"/>
    <w:rsid w:val="00E70846"/>
    <w:rsid w:val="00E71997"/>
    <w:rsid w:val="00E7301E"/>
    <w:rsid w:val="00E73248"/>
    <w:rsid w:val="00E73E70"/>
    <w:rsid w:val="00E7662C"/>
    <w:rsid w:val="00E80349"/>
    <w:rsid w:val="00E80529"/>
    <w:rsid w:val="00E817FB"/>
    <w:rsid w:val="00E90631"/>
    <w:rsid w:val="00E93866"/>
    <w:rsid w:val="00E93FD0"/>
    <w:rsid w:val="00E94BFA"/>
    <w:rsid w:val="00E9603E"/>
    <w:rsid w:val="00EA0F4D"/>
    <w:rsid w:val="00EA159B"/>
    <w:rsid w:val="00EA1DBD"/>
    <w:rsid w:val="00EA2DDB"/>
    <w:rsid w:val="00EA4154"/>
    <w:rsid w:val="00EA6050"/>
    <w:rsid w:val="00EB1AF3"/>
    <w:rsid w:val="00EB3833"/>
    <w:rsid w:val="00EB3F6F"/>
    <w:rsid w:val="00EB5272"/>
    <w:rsid w:val="00EC1CA3"/>
    <w:rsid w:val="00EC2067"/>
    <w:rsid w:val="00EC3A11"/>
    <w:rsid w:val="00EC6E99"/>
    <w:rsid w:val="00EC7154"/>
    <w:rsid w:val="00EC7985"/>
    <w:rsid w:val="00EC7E67"/>
    <w:rsid w:val="00ED01ED"/>
    <w:rsid w:val="00ED13FF"/>
    <w:rsid w:val="00ED219E"/>
    <w:rsid w:val="00ED232D"/>
    <w:rsid w:val="00ED2A41"/>
    <w:rsid w:val="00ED302C"/>
    <w:rsid w:val="00ED4458"/>
    <w:rsid w:val="00ED56F9"/>
    <w:rsid w:val="00ED7034"/>
    <w:rsid w:val="00ED7387"/>
    <w:rsid w:val="00ED7B6C"/>
    <w:rsid w:val="00EE195B"/>
    <w:rsid w:val="00EE1BC9"/>
    <w:rsid w:val="00EE3901"/>
    <w:rsid w:val="00EE49F3"/>
    <w:rsid w:val="00EE553F"/>
    <w:rsid w:val="00EE5E55"/>
    <w:rsid w:val="00EE5E82"/>
    <w:rsid w:val="00EE6098"/>
    <w:rsid w:val="00EE711E"/>
    <w:rsid w:val="00EE7BAE"/>
    <w:rsid w:val="00EF1F76"/>
    <w:rsid w:val="00EF2E3D"/>
    <w:rsid w:val="00EF3B15"/>
    <w:rsid w:val="00EF44C2"/>
    <w:rsid w:val="00EF4EA8"/>
    <w:rsid w:val="00EF54C6"/>
    <w:rsid w:val="00EF6132"/>
    <w:rsid w:val="00EF67D2"/>
    <w:rsid w:val="00EF77E4"/>
    <w:rsid w:val="00F004CD"/>
    <w:rsid w:val="00F01920"/>
    <w:rsid w:val="00F01992"/>
    <w:rsid w:val="00F02143"/>
    <w:rsid w:val="00F02E4B"/>
    <w:rsid w:val="00F04170"/>
    <w:rsid w:val="00F04696"/>
    <w:rsid w:val="00F05DC8"/>
    <w:rsid w:val="00F065D3"/>
    <w:rsid w:val="00F06F16"/>
    <w:rsid w:val="00F078B1"/>
    <w:rsid w:val="00F10B3B"/>
    <w:rsid w:val="00F10DB3"/>
    <w:rsid w:val="00F11BEB"/>
    <w:rsid w:val="00F13412"/>
    <w:rsid w:val="00F17760"/>
    <w:rsid w:val="00F21563"/>
    <w:rsid w:val="00F23769"/>
    <w:rsid w:val="00F23AC3"/>
    <w:rsid w:val="00F23BF2"/>
    <w:rsid w:val="00F25876"/>
    <w:rsid w:val="00F27409"/>
    <w:rsid w:val="00F27D98"/>
    <w:rsid w:val="00F30E86"/>
    <w:rsid w:val="00F31045"/>
    <w:rsid w:val="00F3160A"/>
    <w:rsid w:val="00F322DC"/>
    <w:rsid w:val="00F324DF"/>
    <w:rsid w:val="00F33DCC"/>
    <w:rsid w:val="00F341B4"/>
    <w:rsid w:val="00F34289"/>
    <w:rsid w:val="00F34325"/>
    <w:rsid w:val="00F3707E"/>
    <w:rsid w:val="00F37E42"/>
    <w:rsid w:val="00F44AE2"/>
    <w:rsid w:val="00F4567D"/>
    <w:rsid w:val="00F46E1A"/>
    <w:rsid w:val="00F53C35"/>
    <w:rsid w:val="00F54789"/>
    <w:rsid w:val="00F55172"/>
    <w:rsid w:val="00F56CC1"/>
    <w:rsid w:val="00F61546"/>
    <w:rsid w:val="00F65B3F"/>
    <w:rsid w:val="00F65BE9"/>
    <w:rsid w:val="00F65F3A"/>
    <w:rsid w:val="00F70549"/>
    <w:rsid w:val="00F71628"/>
    <w:rsid w:val="00F721DC"/>
    <w:rsid w:val="00F7317F"/>
    <w:rsid w:val="00F73647"/>
    <w:rsid w:val="00F73CF9"/>
    <w:rsid w:val="00F73DE5"/>
    <w:rsid w:val="00F76524"/>
    <w:rsid w:val="00F7708C"/>
    <w:rsid w:val="00F82EDE"/>
    <w:rsid w:val="00F85BCA"/>
    <w:rsid w:val="00F862F4"/>
    <w:rsid w:val="00F91076"/>
    <w:rsid w:val="00F918C9"/>
    <w:rsid w:val="00F9200C"/>
    <w:rsid w:val="00F93F2E"/>
    <w:rsid w:val="00F9434F"/>
    <w:rsid w:val="00F95B83"/>
    <w:rsid w:val="00F9664A"/>
    <w:rsid w:val="00F96DF9"/>
    <w:rsid w:val="00F9701A"/>
    <w:rsid w:val="00FA0CC4"/>
    <w:rsid w:val="00FA14C5"/>
    <w:rsid w:val="00FA3F5A"/>
    <w:rsid w:val="00FA4E73"/>
    <w:rsid w:val="00FA5555"/>
    <w:rsid w:val="00FA60A9"/>
    <w:rsid w:val="00FA60B8"/>
    <w:rsid w:val="00FA73E3"/>
    <w:rsid w:val="00FA756C"/>
    <w:rsid w:val="00FA7A22"/>
    <w:rsid w:val="00FA7A52"/>
    <w:rsid w:val="00FB07F5"/>
    <w:rsid w:val="00FB1463"/>
    <w:rsid w:val="00FB24F1"/>
    <w:rsid w:val="00FB484A"/>
    <w:rsid w:val="00FB4C59"/>
    <w:rsid w:val="00FB72A6"/>
    <w:rsid w:val="00FB7A29"/>
    <w:rsid w:val="00FC2FF9"/>
    <w:rsid w:val="00FC318C"/>
    <w:rsid w:val="00FC3849"/>
    <w:rsid w:val="00FC4AC0"/>
    <w:rsid w:val="00FC4E9D"/>
    <w:rsid w:val="00FC517F"/>
    <w:rsid w:val="00FC5521"/>
    <w:rsid w:val="00FC62B7"/>
    <w:rsid w:val="00FD0D41"/>
    <w:rsid w:val="00FD1714"/>
    <w:rsid w:val="00FD3ADF"/>
    <w:rsid w:val="00FD6039"/>
    <w:rsid w:val="00FD60BF"/>
    <w:rsid w:val="00FE076E"/>
    <w:rsid w:val="00FE179F"/>
    <w:rsid w:val="00FE20DF"/>
    <w:rsid w:val="00FE2ABB"/>
    <w:rsid w:val="00FE3455"/>
    <w:rsid w:val="00FE3668"/>
    <w:rsid w:val="00FE4519"/>
    <w:rsid w:val="00FE6E05"/>
    <w:rsid w:val="00FE7BD3"/>
    <w:rsid w:val="00FE7C7A"/>
    <w:rsid w:val="00FF10AF"/>
    <w:rsid w:val="00FF15E4"/>
    <w:rsid w:val="00FF276D"/>
    <w:rsid w:val="00FF2B14"/>
    <w:rsid w:val="00FF44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22F54"/>
  <w15:docId w15:val="{E3FABA0C-DCDA-460C-8C0D-01D7781E8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8048F"/>
    <w:pPr>
      <w:tabs>
        <w:tab w:val="left" w:pos="280"/>
        <w:tab w:val="right" w:pos="4800"/>
        <w:tab w:val="right" w:pos="5780"/>
      </w:tabs>
      <w:suppressAutoHyphens/>
      <w:autoSpaceDE w:val="0"/>
      <w:autoSpaceDN w:val="0"/>
      <w:adjustRightInd w:val="0"/>
      <w:spacing w:after="0" w:line="240" w:lineRule="atLeast"/>
      <w:jc w:val="both"/>
      <w:textAlignment w:val="center"/>
    </w:pPr>
    <w:rPr>
      <w:rFonts w:cs="Calibri"/>
      <w:color w:val="38383A" w:themeColor="text2"/>
      <w:szCs w:val="18"/>
    </w:rPr>
  </w:style>
  <w:style w:type="paragraph" w:styleId="Heading1">
    <w:name w:val="heading 1"/>
    <w:basedOn w:val="Normal"/>
    <w:next w:val="BodyEE"/>
    <w:link w:val="Heading1Char"/>
    <w:uiPriority w:val="9"/>
    <w:qFormat/>
    <w:rsid w:val="00B41AF6"/>
    <w:pPr>
      <w:pageBreakBefore/>
      <w:numPr>
        <w:numId w:val="5"/>
      </w:numPr>
      <w:tabs>
        <w:tab w:val="clear" w:pos="280"/>
        <w:tab w:val="clear" w:pos="4800"/>
        <w:tab w:val="clear" w:pos="5780"/>
      </w:tabs>
      <w:suppressAutoHyphens w:val="0"/>
      <w:autoSpaceDE/>
      <w:autoSpaceDN/>
      <w:adjustRightInd/>
      <w:spacing w:before="200" w:after="640" w:line="276" w:lineRule="auto"/>
      <w:textAlignment w:val="auto"/>
      <w:outlineLvl w:val="0"/>
    </w:pPr>
    <w:rPr>
      <w:rFonts w:ascii="Garamond" w:eastAsia="Gill Sans MT" w:hAnsi="Garamond" w:cs="Times New Roman"/>
      <w:color w:val="683493"/>
      <w:sz w:val="60"/>
      <w:szCs w:val="60"/>
    </w:rPr>
  </w:style>
  <w:style w:type="paragraph" w:styleId="Heading2">
    <w:name w:val="heading 2"/>
    <w:basedOn w:val="Heading1"/>
    <w:next w:val="BodyEE"/>
    <w:link w:val="Heading2Char"/>
    <w:uiPriority w:val="9"/>
    <w:unhideWhenUsed/>
    <w:qFormat/>
    <w:rsid w:val="00CD429D"/>
    <w:pPr>
      <w:keepNext/>
      <w:keepLines/>
      <w:pageBreakBefore w:val="0"/>
      <w:numPr>
        <w:ilvl w:val="1"/>
      </w:numPr>
      <w:tabs>
        <w:tab w:val="left" w:pos="851"/>
      </w:tabs>
      <w:spacing w:before="360" w:after="120" w:line="264" w:lineRule="auto"/>
      <w:outlineLvl w:val="1"/>
    </w:pPr>
    <w:rPr>
      <w:rFonts w:asciiTheme="majorHAnsi" w:hAnsiTheme="majorHAnsi"/>
      <w:sz w:val="32"/>
      <w:szCs w:val="32"/>
    </w:rPr>
  </w:style>
  <w:style w:type="paragraph" w:styleId="Heading3">
    <w:name w:val="heading 3"/>
    <w:basedOn w:val="Normal"/>
    <w:next w:val="BodyEE"/>
    <w:link w:val="Heading3Char"/>
    <w:uiPriority w:val="9"/>
    <w:unhideWhenUsed/>
    <w:qFormat/>
    <w:rsid w:val="00CD429D"/>
    <w:pPr>
      <w:keepNext/>
      <w:keepLines/>
      <w:numPr>
        <w:ilvl w:val="2"/>
        <w:numId w:val="5"/>
      </w:numPr>
      <w:tabs>
        <w:tab w:val="clear" w:pos="280"/>
        <w:tab w:val="clear" w:pos="4800"/>
        <w:tab w:val="clear" w:pos="5780"/>
      </w:tabs>
      <w:suppressAutoHyphens w:val="0"/>
      <w:autoSpaceDE/>
      <w:autoSpaceDN/>
      <w:adjustRightInd/>
      <w:spacing w:before="360" w:after="120" w:line="264" w:lineRule="auto"/>
      <w:textAlignment w:val="auto"/>
      <w:outlineLvl w:val="2"/>
    </w:pPr>
    <w:rPr>
      <w:rFonts w:asciiTheme="majorHAnsi" w:eastAsia="Gill Sans MT" w:hAnsiTheme="majorHAnsi" w:cs="Times New Roman"/>
      <w:color w:val="683493"/>
      <w:sz w:val="28"/>
      <w:szCs w:val="24"/>
    </w:rPr>
  </w:style>
  <w:style w:type="paragraph" w:styleId="Heading4">
    <w:name w:val="heading 4"/>
    <w:basedOn w:val="Normal"/>
    <w:next w:val="Normal"/>
    <w:link w:val="Heading4Char"/>
    <w:uiPriority w:val="9"/>
    <w:unhideWhenUsed/>
    <w:rsid w:val="00E93FD0"/>
    <w:pPr>
      <w:keepNext/>
      <w:keepLines/>
      <w:numPr>
        <w:ilvl w:val="3"/>
        <w:numId w:val="5"/>
      </w:numPr>
      <w:spacing w:before="200"/>
      <w:outlineLvl w:val="3"/>
    </w:pPr>
    <w:rPr>
      <w:rFonts w:asciiTheme="majorHAnsi" w:eastAsiaTheme="majorEastAsia" w:hAnsiTheme="majorHAnsi" w:cstheme="majorBidi"/>
      <w:b/>
      <w:bCs/>
      <w:i/>
      <w:iCs/>
      <w:color w:val="683493" w:themeColor="accent1"/>
    </w:rPr>
  </w:style>
  <w:style w:type="paragraph" w:styleId="Heading5">
    <w:name w:val="heading 5"/>
    <w:basedOn w:val="Normal"/>
    <w:next w:val="Normal"/>
    <w:link w:val="Heading5Char"/>
    <w:uiPriority w:val="9"/>
    <w:unhideWhenUsed/>
    <w:rsid w:val="002B229F"/>
    <w:pPr>
      <w:keepNext/>
      <w:keepLines/>
      <w:numPr>
        <w:ilvl w:val="4"/>
        <w:numId w:val="5"/>
      </w:numPr>
      <w:spacing w:before="200"/>
      <w:outlineLvl w:val="4"/>
    </w:pPr>
    <w:rPr>
      <w:rFonts w:asciiTheme="majorHAnsi" w:eastAsiaTheme="majorEastAsia" w:hAnsiTheme="majorHAnsi" w:cstheme="majorBidi"/>
      <w:color w:val="331A49" w:themeColor="accent1" w:themeShade="7F"/>
    </w:rPr>
  </w:style>
  <w:style w:type="paragraph" w:styleId="Heading6">
    <w:name w:val="heading 6"/>
    <w:basedOn w:val="Normal"/>
    <w:next w:val="Normal"/>
    <w:link w:val="Heading6Char"/>
    <w:uiPriority w:val="9"/>
    <w:unhideWhenUsed/>
    <w:rsid w:val="006D09B4"/>
    <w:pPr>
      <w:keepNext/>
      <w:keepLines/>
      <w:numPr>
        <w:ilvl w:val="5"/>
        <w:numId w:val="5"/>
      </w:numPr>
      <w:spacing w:before="200"/>
      <w:outlineLvl w:val="5"/>
    </w:pPr>
    <w:rPr>
      <w:rFonts w:asciiTheme="majorHAnsi" w:eastAsiaTheme="majorEastAsia" w:hAnsiTheme="majorHAnsi" w:cstheme="majorBidi"/>
      <w:i/>
      <w:iCs/>
      <w:color w:val="331A49" w:themeColor="accent1" w:themeShade="7F"/>
    </w:rPr>
  </w:style>
  <w:style w:type="paragraph" w:styleId="Heading7">
    <w:name w:val="heading 7"/>
    <w:basedOn w:val="Normal"/>
    <w:next w:val="Normal"/>
    <w:link w:val="Heading7Char"/>
    <w:uiPriority w:val="9"/>
    <w:unhideWhenUsed/>
    <w:qFormat/>
    <w:rsid w:val="006D09B4"/>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D09B4"/>
    <w:pPr>
      <w:keepNext/>
      <w:keepLines/>
      <w:numPr>
        <w:ilvl w:val="7"/>
        <w:numId w:val="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D09B4"/>
    <w:pPr>
      <w:keepNext/>
      <w:keepLines/>
      <w:numPr>
        <w:ilvl w:val="8"/>
        <w:numId w:val="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EE">
    <w:name w:val="Body EE"/>
    <w:basedOn w:val="Normal"/>
    <w:link w:val="BodyEEChar"/>
    <w:qFormat/>
    <w:rsid w:val="00254048"/>
    <w:pPr>
      <w:tabs>
        <w:tab w:val="clear" w:pos="280"/>
        <w:tab w:val="clear" w:pos="4800"/>
        <w:tab w:val="clear" w:pos="5780"/>
      </w:tabs>
      <w:suppressAutoHyphens w:val="0"/>
      <w:autoSpaceDE/>
      <w:autoSpaceDN/>
      <w:adjustRightInd/>
      <w:spacing w:after="120" w:line="264" w:lineRule="auto"/>
      <w:textAlignment w:val="auto"/>
    </w:pPr>
    <w:rPr>
      <w:rFonts w:ascii="Gill Sans MT" w:eastAsia="Gill Sans MT" w:hAnsi="Gill Sans MT" w:cs="Times New Roman"/>
      <w:color w:val="38383A"/>
      <w:szCs w:val="60"/>
    </w:rPr>
  </w:style>
  <w:style w:type="character" w:customStyle="1" w:styleId="BodyEEChar">
    <w:name w:val="Body EE Char"/>
    <w:basedOn w:val="DefaultParagraphFont"/>
    <w:link w:val="BodyEE"/>
    <w:qFormat/>
    <w:rsid w:val="00254048"/>
    <w:rPr>
      <w:rFonts w:ascii="Gill Sans MT" w:eastAsia="Gill Sans MT" w:hAnsi="Gill Sans MT" w:cs="Times New Roman"/>
      <w:color w:val="38383A"/>
      <w:szCs w:val="60"/>
    </w:rPr>
  </w:style>
  <w:style w:type="character" w:customStyle="1" w:styleId="Heading1Char">
    <w:name w:val="Heading 1 Char"/>
    <w:basedOn w:val="DefaultParagraphFont"/>
    <w:link w:val="Heading1"/>
    <w:uiPriority w:val="9"/>
    <w:rsid w:val="00B41AF6"/>
    <w:rPr>
      <w:rFonts w:ascii="Garamond" w:eastAsia="Gill Sans MT" w:hAnsi="Garamond" w:cs="Times New Roman"/>
      <w:color w:val="683493"/>
      <w:sz w:val="60"/>
      <w:szCs w:val="60"/>
    </w:rPr>
  </w:style>
  <w:style w:type="character" w:customStyle="1" w:styleId="Heading2Char">
    <w:name w:val="Heading 2 Char"/>
    <w:basedOn w:val="DefaultParagraphFont"/>
    <w:link w:val="Heading2"/>
    <w:uiPriority w:val="9"/>
    <w:rsid w:val="00CD429D"/>
    <w:rPr>
      <w:rFonts w:asciiTheme="majorHAnsi" w:eastAsia="Gill Sans MT" w:hAnsiTheme="majorHAnsi" w:cs="Times New Roman"/>
      <w:color w:val="683493"/>
      <w:sz w:val="32"/>
      <w:szCs w:val="32"/>
    </w:rPr>
  </w:style>
  <w:style w:type="character" w:customStyle="1" w:styleId="Heading3Char">
    <w:name w:val="Heading 3 Char"/>
    <w:basedOn w:val="DefaultParagraphFont"/>
    <w:link w:val="Heading3"/>
    <w:uiPriority w:val="9"/>
    <w:rsid w:val="00CD429D"/>
    <w:rPr>
      <w:rFonts w:asciiTheme="majorHAnsi" w:eastAsia="Gill Sans MT" w:hAnsiTheme="majorHAnsi" w:cs="Times New Roman"/>
      <w:color w:val="683493"/>
      <w:sz w:val="28"/>
      <w:szCs w:val="24"/>
    </w:rPr>
  </w:style>
  <w:style w:type="character" w:customStyle="1" w:styleId="Heading4Char">
    <w:name w:val="Heading 4 Char"/>
    <w:basedOn w:val="DefaultParagraphFont"/>
    <w:link w:val="Heading4"/>
    <w:uiPriority w:val="9"/>
    <w:rsid w:val="00E93FD0"/>
    <w:rPr>
      <w:rFonts w:asciiTheme="majorHAnsi" w:eastAsiaTheme="majorEastAsia" w:hAnsiTheme="majorHAnsi" w:cstheme="majorBidi"/>
      <w:b/>
      <w:bCs/>
      <w:i/>
      <w:iCs/>
      <w:color w:val="683493" w:themeColor="accent1"/>
      <w:szCs w:val="18"/>
    </w:rPr>
  </w:style>
  <w:style w:type="character" w:customStyle="1" w:styleId="Heading5Char">
    <w:name w:val="Heading 5 Char"/>
    <w:basedOn w:val="DefaultParagraphFont"/>
    <w:link w:val="Heading5"/>
    <w:uiPriority w:val="9"/>
    <w:rsid w:val="002B229F"/>
    <w:rPr>
      <w:rFonts w:asciiTheme="majorHAnsi" w:eastAsiaTheme="majorEastAsia" w:hAnsiTheme="majorHAnsi" w:cstheme="majorBidi"/>
      <w:color w:val="331A49" w:themeColor="accent1" w:themeShade="7F"/>
      <w:szCs w:val="18"/>
    </w:rPr>
  </w:style>
  <w:style w:type="character" w:customStyle="1" w:styleId="Heading6Char">
    <w:name w:val="Heading 6 Char"/>
    <w:basedOn w:val="DefaultParagraphFont"/>
    <w:link w:val="Heading6"/>
    <w:uiPriority w:val="9"/>
    <w:rsid w:val="006D09B4"/>
    <w:rPr>
      <w:rFonts w:asciiTheme="majorHAnsi" w:eastAsiaTheme="majorEastAsia" w:hAnsiTheme="majorHAnsi" w:cstheme="majorBidi"/>
      <w:i/>
      <w:iCs/>
      <w:color w:val="331A49" w:themeColor="accent1" w:themeShade="7F"/>
      <w:szCs w:val="18"/>
    </w:rPr>
  </w:style>
  <w:style w:type="character" w:customStyle="1" w:styleId="Heading7Char">
    <w:name w:val="Heading 7 Char"/>
    <w:basedOn w:val="DefaultParagraphFont"/>
    <w:link w:val="Heading7"/>
    <w:uiPriority w:val="9"/>
    <w:rsid w:val="006D09B4"/>
    <w:rPr>
      <w:rFonts w:asciiTheme="majorHAnsi" w:eastAsiaTheme="majorEastAsia" w:hAnsiTheme="majorHAnsi" w:cstheme="majorBidi"/>
      <w:i/>
      <w:iCs/>
      <w:color w:val="404040" w:themeColor="text1" w:themeTint="BF"/>
      <w:szCs w:val="18"/>
    </w:rPr>
  </w:style>
  <w:style w:type="character" w:customStyle="1" w:styleId="Heading8Char">
    <w:name w:val="Heading 8 Char"/>
    <w:basedOn w:val="DefaultParagraphFont"/>
    <w:link w:val="Heading8"/>
    <w:uiPriority w:val="9"/>
    <w:semiHidden/>
    <w:rsid w:val="006D09B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D09B4"/>
    <w:rPr>
      <w:rFonts w:asciiTheme="majorHAnsi" w:eastAsiaTheme="majorEastAsia" w:hAnsiTheme="majorHAnsi" w:cstheme="majorBidi"/>
      <w:i/>
      <w:iCs/>
      <w:color w:val="404040" w:themeColor="text1" w:themeTint="BF"/>
      <w:sz w:val="20"/>
      <w:szCs w:val="20"/>
    </w:rPr>
  </w:style>
  <w:style w:type="table" w:styleId="LightList-Accent2">
    <w:name w:val="Light List Accent 2"/>
    <w:aliases w:val="SMR"/>
    <w:basedOn w:val="TableNormal"/>
    <w:uiPriority w:val="61"/>
    <w:rsid w:val="00291F14"/>
    <w:pPr>
      <w:spacing w:after="0" w:line="240" w:lineRule="auto"/>
    </w:pPr>
    <w:tblPr>
      <w:tblStyleRowBandSize w:val="1"/>
      <w:tblStyleColBandSize w:val="1"/>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blStylePr w:type="firstRow">
      <w:pPr>
        <w:spacing w:before="0" w:after="0" w:line="240" w:lineRule="auto"/>
      </w:pPr>
      <w:rPr>
        <w:b/>
        <w:bCs/>
        <w:color w:val="FFFFFF" w:themeColor="background1"/>
      </w:rPr>
      <w:tblPr/>
      <w:tcPr>
        <w:shd w:val="clear" w:color="auto" w:fill="C64187" w:themeFill="accent2"/>
      </w:tcPr>
    </w:tblStylePr>
    <w:tblStylePr w:type="lastRow">
      <w:pPr>
        <w:spacing w:before="0" w:after="0" w:line="240" w:lineRule="auto"/>
      </w:pPr>
      <w:rPr>
        <w:b/>
        <w:bCs/>
      </w:rPr>
      <w:tblPr/>
      <w:tcPr>
        <w:tcBorders>
          <w:top w:val="double" w:sz="6" w:space="0" w:color="C64187" w:themeColor="accent2"/>
          <w:left w:val="single" w:sz="8" w:space="0" w:color="C64187" w:themeColor="accent2"/>
          <w:bottom w:val="single" w:sz="8" w:space="0" w:color="C64187" w:themeColor="accent2"/>
          <w:right w:val="single" w:sz="8" w:space="0" w:color="C64187" w:themeColor="accent2"/>
        </w:tcBorders>
      </w:tcPr>
    </w:tblStylePr>
    <w:tblStylePr w:type="firstCol">
      <w:rPr>
        <w:b/>
        <w:bCs/>
      </w:rPr>
    </w:tblStylePr>
    <w:tblStylePr w:type="lastCol">
      <w:rPr>
        <w:b/>
        <w:bCs/>
      </w:rPr>
    </w:tblStylePr>
    <w:tblStylePr w:type="band1Vert">
      <w:tblPr/>
      <w:tcPr>
        <w:tcBorders>
          <w:top w:val="single" w:sz="8" w:space="0" w:color="C64187" w:themeColor="accent2"/>
          <w:left w:val="single" w:sz="8" w:space="0" w:color="C64187" w:themeColor="accent2"/>
          <w:bottom w:val="single" w:sz="8" w:space="0" w:color="C64187" w:themeColor="accent2"/>
          <w:right w:val="single" w:sz="8" w:space="0" w:color="C64187" w:themeColor="accent2"/>
        </w:tcBorders>
      </w:tcPr>
    </w:tblStylePr>
    <w:tblStylePr w:type="band1Horz">
      <w:tblPr/>
      <w:tcPr>
        <w:tcBorders>
          <w:top w:val="single" w:sz="8" w:space="0" w:color="C64187" w:themeColor="accent2"/>
          <w:left w:val="single" w:sz="8" w:space="0" w:color="C64187" w:themeColor="accent2"/>
          <w:bottom w:val="single" w:sz="8" w:space="0" w:color="C64187" w:themeColor="accent2"/>
          <w:right w:val="single" w:sz="8" w:space="0" w:color="C64187" w:themeColor="accent2"/>
        </w:tcBorders>
      </w:tcPr>
    </w:tblStylePr>
  </w:style>
  <w:style w:type="paragraph" w:styleId="Header">
    <w:name w:val="header"/>
    <w:basedOn w:val="Normal"/>
    <w:link w:val="HeaderChar"/>
    <w:uiPriority w:val="99"/>
    <w:unhideWhenUsed/>
    <w:rsid w:val="00FF276D"/>
    <w:pPr>
      <w:tabs>
        <w:tab w:val="clear" w:pos="280"/>
        <w:tab w:val="clear" w:pos="4800"/>
        <w:tab w:val="clear" w:pos="5780"/>
        <w:tab w:val="center" w:pos="4513"/>
        <w:tab w:val="right" w:pos="9026"/>
      </w:tabs>
      <w:spacing w:line="240" w:lineRule="auto"/>
    </w:pPr>
  </w:style>
  <w:style w:type="character" w:customStyle="1" w:styleId="HeaderChar">
    <w:name w:val="Header Char"/>
    <w:basedOn w:val="DefaultParagraphFont"/>
    <w:link w:val="Header"/>
    <w:uiPriority w:val="99"/>
    <w:rsid w:val="00FF276D"/>
    <w:rPr>
      <w:rFonts w:ascii="Calibri" w:hAnsi="Calibri" w:cs="Calibri"/>
      <w:color w:val="000000"/>
      <w:sz w:val="18"/>
      <w:szCs w:val="18"/>
    </w:rPr>
  </w:style>
  <w:style w:type="paragraph" w:styleId="Footer">
    <w:name w:val="footer"/>
    <w:basedOn w:val="Normal"/>
    <w:link w:val="FooterChar"/>
    <w:uiPriority w:val="99"/>
    <w:unhideWhenUsed/>
    <w:rsid w:val="00FF276D"/>
    <w:pPr>
      <w:tabs>
        <w:tab w:val="clear" w:pos="280"/>
        <w:tab w:val="clear" w:pos="4800"/>
        <w:tab w:val="clear" w:pos="5780"/>
        <w:tab w:val="center" w:pos="4513"/>
        <w:tab w:val="right" w:pos="9026"/>
      </w:tabs>
      <w:spacing w:line="240" w:lineRule="auto"/>
    </w:pPr>
  </w:style>
  <w:style w:type="character" w:customStyle="1" w:styleId="FooterChar">
    <w:name w:val="Footer Char"/>
    <w:basedOn w:val="DefaultParagraphFont"/>
    <w:link w:val="Footer"/>
    <w:uiPriority w:val="99"/>
    <w:rsid w:val="00FF276D"/>
    <w:rPr>
      <w:rFonts w:ascii="Calibri" w:hAnsi="Calibri" w:cs="Calibri"/>
      <w:color w:val="000000"/>
      <w:sz w:val="18"/>
      <w:szCs w:val="18"/>
    </w:rPr>
  </w:style>
  <w:style w:type="table" w:styleId="TableGrid">
    <w:name w:val="Table Grid"/>
    <w:basedOn w:val="TableNormal"/>
    <w:uiPriority w:val="59"/>
    <w:rsid w:val="003139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uiPriority w:val="60"/>
    <w:rsid w:val="00591A3E"/>
    <w:pPr>
      <w:suppressLineNumbers/>
      <w:spacing w:after="0" w:line="240" w:lineRule="atLeast"/>
    </w:pPr>
    <w:rPr>
      <w:color w:val="4D276E"/>
    </w:rPr>
    <w:tblPr>
      <w:tblStyleRowBandSize w:val="1"/>
      <w:tblStyleColBandSize w:val="1"/>
      <w:tblBorders>
        <w:top w:val="single" w:sz="8" w:space="0" w:color="683493"/>
        <w:bottom w:val="single" w:sz="8" w:space="0" w:color="683493"/>
      </w:tblBorders>
    </w:tblPr>
    <w:tcPr>
      <w:vAlign w:val="center"/>
    </w:tcPr>
    <w:tblStylePr w:type="firstRow">
      <w:pPr>
        <w:spacing w:before="0" w:after="0" w:line="240" w:lineRule="auto"/>
      </w:pPr>
      <w:rPr>
        <w:b/>
        <w:bCs/>
      </w:rPr>
      <w:tblPr/>
      <w:tcPr>
        <w:tcBorders>
          <w:top w:val="single" w:sz="8" w:space="0" w:color="683493"/>
          <w:left w:val="nil"/>
          <w:bottom w:val="single" w:sz="8" w:space="0" w:color="683493"/>
          <w:right w:val="nil"/>
          <w:insideH w:val="nil"/>
          <w:insideV w:val="nil"/>
        </w:tcBorders>
      </w:tcPr>
    </w:tblStylePr>
    <w:tblStylePr w:type="lastRow">
      <w:pPr>
        <w:wordWrap/>
        <w:spacing w:before="0" w:beforeAutospacing="0" w:after="0" w:afterAutospacing="0" w:line="240" w:lineRule="atLeast"/>
        <w:ind w:rightChars="0" w:right="0"/>
        <w:contextualSpacing w:val="0"/>
        <w:mirrorIndents w:val="0"/>
      </w:pPr>
      <w:rPr>
        <w:b/>
        <w:bCs/>
      </w:rPr>
      <w:tblPr/>
      <w:tcPr>
        <w:tcBorders>
          <w:top w:val="single" w:sz="8" w:space="0" w:color="683493"/>
          <w:left w:val="nil"/>
          <w:bottom w:val="single" w:sz="8" w:space="0" w:color="68349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C6EB"/>
      </w:tcPr>
    </w:tblStylePr>
    <w:tblStylePr w:type="band1Horz">
      <w:tblPr/>
      <w:tcPr>
        <w:tcBorders>
          <w:left w:val="nil"/>
          <w:right w:val="nil"/>
          <w:insideH w:val="nil"/>
          <w:insideV w:val="nil"/>
        </w:tcBorders>
        <w:shd w:val="clear" w:color="auto" w:fill="DAC6EB"/>
      </w:tcPr>
    </w:tblStylePr>
    <w:tblStylePr w:type="band2Horz">
      <w:pPr>
        <w:wordWrap/>
        <w:spacing w:beforeLines="0" w:before="0" w:beforeAutospacing="0" w:afterLines="0" w:after="0" w:afterAutospacing="0" w:line="240" w:lineRule="atLeast"/>
      </w:pPr>
      <w:tblPr>
        <w:tblCellMar>
          <w:top w:w="0" w:type="dxa"/>
          <w:left w:w="85" w:type="dxa"/>
          <w:bottom w:w="0" w:type="dxa"/>
          <w:right w:w="85" w:type="dxa"/>
        </w:tblCellMar>
      </w:tblPr>
    </w:tblStylePr>
  </w:style>
  <w:style w:type="table" w:styleId="LightShading-Accent1">
    <w:name w:val="Light Shading Accent 1"/>
    <w:basedOn w:val="TableNormal"/>
    <w:uiPriority w:val="60"/>
    <w:rsid w:val="00591A3E"/>
    <w:pPr>
      <w:spacing w:after="0" w:line="240" w:lineRule="auto"/>
    </w:pPr>
    <w:rPr>
      <w:color w:val="4D276E" w:themeColor="accent1" w:themeShade="BF"/>
    </w:rPr>
    <w:tblPr>
      <w:tblStyleRowBandSize w:val="1"/>
      <w:tblStyleColBandSize w:val="1"/>
      <w:tblBorders>
        <w:top w:val="single" w:sz="8" w:space="0" w:color="683493" w:themeColor="accent1"/>
        <w:bottom w:val="single" w:sz="8" w:space="0" w:color="683493" w:themeColor="accent1"/>
      </w:tblBorders>
    </w:tblPr>
    <w:tcPr>
      <w:vAlign w:val="center"/>
    </w:tcPr>
    <w:tblStylePr w:type="firstRow">
      <w:pPr>
        <w:spacing w:before="0" w:after="0" w:line="240" w:lineRule="auto"/>
      </w:pPr>
      <w:rPr>
        <w:b/>
        <w:bCs/>
      </w:rPr>
      <w:tblPr/>
      <w:tcPr>
        <w:tcBorders>
          <w:top w:val="single" w:sz="8" w:space="0" w:color="683493" w:themeColor="accent1"/>
          <w:left w:val="nil"/>
          <w:bottom w:val="single" w:sz="8" w:space="0" w:color="683493" w:themeColor="accent1"/>
          <w:right w:val="nil"/>
          <w:insideH w:val="nil"/>
          <w:insideV w:val="nil"/>
        </w:tcBorders>
      </w:tcPr>
    </w:tblStylePr>
    <w:tblStylePr w:type="lastRow">
      <w:pPr>
        <w:spacing w:before="0" w:after="0" w:line="240" w:lineRule="auto"/>
      </w:pPr>
      <w:rPr>
        <w:b/>
        <w:bCs/>
      </w:rPr>
      <w:tblPr/>
      <w:tcPr>
        <w:tcBorders>
          <w:top w:val="single" w:sz="8" w:space="0" w:color="683493" w:themeColor="accent1"/>
          <w:left w:val="nil"/>
          <w:bottom w:val="single" w:sz="8" w:space="0" w:color="68349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C6EB" w:themeFill="accent1" w:themeFillTint="3F"/>
      </w:tcPr>
    </w:tblStylePr>
    <w:tblStylePr w:type="band1Horz">
      <w:tblPr/>
      <w:tcPr>
        <w:tcBorders>
          <w:left w:val="nil"/>
          <w:right w:val="nil"/>
          <w:insideH w:val="nil"/>
          <w:insideV w:val="nil"/>
        </w:tcBorders>
        <w:shd w:val="clear" w:color="auto" w:fill="DAC6EB" w:themeFill="accent1" w:themeFillTint="3F"/>
      </w:tcPr>
    </w:tblStylePr>
  </w:style>
  <w:style w:type="paragraph" w:styleId="ListParagraph">
    <w:name w:val="List Paragraph"/>
    <w:basedOn w:val="Normal"/>
    <w:uiPriority w:val="34"/>
    <w:qFormat/>
    <w:rsid w:val="00E93FD0"/>
    <w:pPr>
      <w:ind w:left="720"/>
      <w:contextualSpacing/>
    </w:pPr>
  </w:style>
  <w:style w:type="paragraph" w:customStyle="1" w:styleId="BulletBlue">
    <w:name w:val="Bullet Blue"/>
    <w:basedOn w:val="Normal"/>
    <w:link w:val="BulletBlueChar"/>
    <w:rsid w:val="00E93FD0"/>
    <w:pPr>
      <w:numPr>
        <w:numId w:val="1"/>
      </w:numPr>
    </w:pPr>
  </w:style>
  <w:style w:type="character" w:customStyle="1" w:styleId="BulletBlueChar">
    <w:name w:val="Bullet Blue Char"/>
    <w:basedOn w:val="DefaultParagraphFont"/>
    <w:link w:val="BulletBlue"/>
    <w:rsid w:val="00E93FD0"/>
    <w:rPr>
      <w:rFonts w:cs="Calibri"/>
      <w:color w:val="38383A" w:themeColor="text2"/>
      <w:szCs w:val="18"/>
    </w:rPr>
  </w:style>
  <w:style w:type="paragraph" w:customStyle="1" w:styleId="Bulletlevel1">
    <w:name w:val="Bullet level 1"/>
    <w:basedOn w:val="BulletBlue"/>
    <w:link w:val="Bulletlevel1Char"/>
    <w:qFormat/>
    <w:rsid w:val="00702826"/>
    <w:pPr>
      <w:numPr>
        <w:numId w:val="2"/>
      </w:numPr>
      <w:tabs>
        <w:tab w:val="clear" w:pos="280"/>
        <w:tab w:val="clear" w:pos="4800"/>
        <w:tab w:val="clear" w:pos="5780"/>
      </w:tabs>
      <w:spacing w:after="120" w:line="264" w:lineRule="auto"/>
      <w:contextualSpacing/>
    </w:pPr>
  </w:style>
  <w:style w:type="character" w:customStyle="1" w:styleId="Bulletlevel1Char">
    <w:name w:val="Bullet level 1 Char"/>
    <w:basedOn w:val="BulletBlueChar"/>
    <w:link w:val="Bulletlevel1"/>
    <w:rsid w:val="00702826"/>
    <w:rPr>
      <w:rFonts w:cs="Calibri"/>
      <w:color w:val="38383A" w:themeColor="text2"/>
      <w:szCs w:val="18"/>
    </w:rPr>
  </w:style>
  <w:style w:type="paragraph" w:customStyle="1" w:styleId="Bulletlevel2">
    <w:name w:val="Bullet level 2"/>
    <w:basedOn w:val="Bulletlevel1"/>
    <w:link w:val="Bulletlevel2Char"/>
    <w:qFormat/>
    <w:rsid w:val="00A0177C"/>
    <w:pPr>
      <w:numPr>
        <w:numId w:val="3"/>
      </w:numPr>
    </w:pPr>
  </w:style>
  <w:style w:type="character" w:customStyle="1" w:styleId="Bulletlevel2Char">
    <w:name w:val="Bullet level 2 Char"/>
    <w:basedOn w:val="Bulletlevel1Char"/>
    <w:link w:val="Bulletlevel2"/>
    <w:rsid w:val="00A0177C"/>
    <w:rPr>
      <w:rFonts w:cs="Calibri"/>
      <w:color w:val="38383A" w:themeColor="text2"/>
      <w:szCs w:val="18"/>
    </w:rPr>
  </w:style>
  <w:style w:type="paragraph" w:customStyle="1" w:styleId="Bulletlevel3">
    <w:name w:val="Bullet level 3"/>
    <w:basedOn w:val="Bulletlevel2"/>
    <w:link w:val="Bulletlevel3Char"/>
    <w:qFormat/>
    <w:rsid w:val="00A0177C"/>
    <w:pPr>
      <w:numPr>
        <w:numId w:val="4"/>
      </w:numPr>
      <w:ind w:hanging="357"/>
    </w:pPr>
  </w:style>
  <w:style w:type="character" w:customStyle="1" w:styleId="Bulletlevel3Char">
    <w:name w:val="Bullet level 3 Char"/>
    <w:basedOn w:val="Bulletlevel2Char"/>
    <w:link w:val="Bulletlevel3"/>
    <w:rsid w:val="00A0177C"/>
    <w:rPr>
      <w:rFonts w:cs="Calibri"/>
      <w:color w:val="38383A" w:themeColor="text2"/>
      <w:szCs w:val="18"/>
    </w:rPr>
  </w:style>
  <w:style w:type="paragraph" w:customStyle="1" w:styleId="EmphasisPurple">
    <w:name w:val="Emphasis Purple"/>
    <w:basedOn w:val="BodyEE"/>
    <w:link w:val="EmphasisPurpleChar"/>
    <w:qFormat/>
    <w:rsid w:val="00463C75"/>
    <w:rPr>
      <w:color w:val="683493" w:themeColor="accent1"/>
    </w:rPr>
  </w:style>
  <w:style w:type="character" w:customStyle="1" w:styleId="EmphasisPurpleChar">
    <w:name w:val="Emphasis Purple Char"/>
    <w:basedOn w:val="BodyEEChar"/>
    <w:link w:val="EmphasisPurple"/>
    <w:rsid w:val="00463C75"/>
    <w:rPr>
      <w:rFonts w:ascii="Gill Sans MT" w:eastAsia="Gill Sans MT" w:hAnsi="Gill Sans MT" w:cs="Times New Roman"/>
      <w:color w:val="683493" w:themeColor="accent1"/>
      <w:szCs w:val="60"/>
    </w:rPr>
  </w:style>
  <w:style w:type="table" w:customStyle="1" w:styleId="Style1">
    <w:name w:val="Style1"/>
    <w:basedOn w:val="TableNormal"/>
    <w:uiPriority w:val="99"/>
    <w:rsid w:val="00AC07CF"/>
    <w:pPr>
      <w:spacing w:after="0" w:line="240" w:lineRule="auto"/>
    </w:pPr>
    <w:tblPr>
      <w:tblBorders>
        <w:insideH w:val="single" w:sz="4" w:space="0" w:color="683493" w:themeColor="accent1"/>
        <w:insideV w:val="single" w:sz="4" w:space="0" w:color="683493" w:themeColor="accent1"/>
      </w:tblBorders>
    </w:tblPr>
    <w:tblStylePr w:type="firstRow">
      <w:rPr>
        <w:rFonts w:ascii="Wingdings 2" w:hAnsi="Wingdings 2"/>
        <w:color w:val="FFFFFF" w:themeColor="background1"/>
        <w:sz w:val="18"/>
      </w:rPr>
      <w:tblPr/>
      <w:tcPr>
        <w:tcBorders>
          <w:top w:val="nil"/>
          <w:left w:val="nil"/>
          <w:bottom w:val="nil"/>
          <w:right w:val="nil"/>
          <w:insideH w:val="nil"/>
          <w:insideV w:val="single" w:sz="4" w:space="0" w:color="FFFFFF" w:themeColor="background1"/>
        </w:tcBorders>
        <w:shd w:val="clear" w:color="auto" w:fill="683493" w:themeFill="accent1"/>
      </w:tcPr>
    </w:tblStylePr>
    <w:tblStylePr w:type="firstCol">
      <w:tblPr/>
      <w:tcPr>
        <w:tcBorders>
          <w:insideH w:val="single" w:sz="4" w:space="0" w:color="FFFFFF" w:themeColor="background1"/>
        </w:tcBorders>
        <w:shd w:val="clear" w:color="auto" w:fill="683493" w:themeFill="accent1"/>
      </w:tcPr>
    </w:tblStylePr>
  </w:style>
  <w:style w:type="paragraph" w:styleId="BalloonText">
    <w:name w:val="Balloon Text"/>
    <w:basedOn w:val="Normal"/>
    <w:link w:val="BalloonTextChar"/>
    <w:uiPriority w:val="99"/>
    <w:semiHidden/>
    <w:unhideWhenUsed/>
    <w:rsid w:val="00AC07C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07CF"/>
    <w:rPr>
      <w:rFonts w:ascii="Tahoma" w:hAnsi="Tahoma" w:cs="Tahoma"/>
      <w:color w:val="000000"/>
      <w:sz w:val="16"/>
      <w:szCs w:val="16"/>
    </w:rPr>
  </w:style>
  <w:style w:type="paragraph" w:styleId="Title">
    <w:name w:val="Title"/>
    <w:basedOn w:val="BodyEE"/>
    <w:next w:val="BodyEE"/>
    <w:link w:val="TitleChar"/>
    <w:uiPriority w:val="10"/>
    <w:qFormat/>
    <w:rsid w:val="00296E05"/>
    <w:pPr>
      <w:spacing w:after="300" w:line="240" w:lineRule="auto"/>
      <w:ind w:left="-602"/>
      <w:contextualSpacing/>
      <w:jc w:val="left"/>
    </w:pPr>
    <w:rPr>
      <w:rFonts w:eastAsiaTheme="majorEastAsia" w:cstheme="majorBidi"/>
      <w:color w:val="683493" w:themeColor="accent1"/>
      <w:spacing w:val="5"/>
      <w:kern w:val="28"/>
      <w:sz w:val="52"/>
      <w:szCs w:val="52"/>
    </w:rPr>
  </w:style>
  <w:style w:type="character" w:customStyle="1" w:styleId="TitleChar">
    <w:name w:val="Title Char"/>
    <w:basedOn w:val="DefaultParagraphFont"/>
    <w:link w:val="Title"/>
    <w:uiPriority w:val="10"/>
    <w:rsid w:val="00296E05"/>
    <w:rPr>
      <w:rFonts w:ascii="Gill Sans MT" w:eastAsiaTheme="majorEastAsia" w:hAnsi="Gill Sans MT" w:cstheme="majorBidi"/>
      <w:color w:val="683493" w:themeColor="accent1"/>
      <w:spacing w:val="5"/>
      <w:kern w:val="28"/>
      <w:sz w:val="52"/>
      <w:szCs w:val="52"/>
    </w:rPr>
  </w:style>
  <w:style w:type="paragraph" w:customStyle="1" w:styleId="Coverdate">
    <w:name w:val="Cover date"/>
    <w:basedOn w:val="Title"/>
    <w:link w:val="CoverdateChar"/>
    <w:qFormat/>
    <w:rsid w:val="002B229F"/>
    <w:pPr>
      <w:tabs>
        <w:tab w:val="right" w:pos="4800"/>
        <w:tab w:val="right" w:pos="5780"/>
      </w:tabs>
      <w:suppressAutoHyphens/>
      <w:autoSpaceDE w:val="0"/>
      <w:autoSpaceDN w:val="0"/>
      <w:adjustRightInd w:val="0"/>
      <w:textAlignment w:val="center"/>
    </w:pPr>
    <w:rPr>
      <w:rFonts w:asciiTheme="minorHAnsi" w:hAnsiTheme="minorHAnsi"/>
      <w:color w:val="38383A" w:themeColor="text2"/>
      <w:sz w:val="36"/>
      <w:szCs w:val="36"/>
    </w:rPr>
  </w:style>
  <w:style w:type="character" w:customStyle="1" w:styleId="CoverdateChar">
    <w:name w:val="Cover date Char"/>
    <w:basedOn w:val="TitleChar"/>
    <w:link w:val="Coverdate"/>
    <w:rsid w:val="002B229F"/>
    <w:rPr>
      <w:rFonts w:ascii="Gill Sans MT" w:eastAsiaTheme="majorEastAsia" w:hAnsi="Gill Sans MT" w:cstheme="majorBidi"/>
      <w:color w:val="38383A" w:themeColor="text2"/>
      <w:spacing w:val="5"/>
      <w:kern w:val="28"/>
      <w:sz w:val="36"/>
      <w:szCs w:val="36"/>
    </w:rPr>
  </w:style>
  <w:style w:type="paragraph" w:styleId="FootnoteText">
    <w:name w:val="footnote text"/>
    <w:basedOn w:val="Normal"/>
    <w:link w:val="FootnoteTextChar"/>
    <w:uiPriority w:val="99"/>
    <w:unhideWhenUsed/>
    <w:rsid w:val="00BF5BD7"/>
    <w:pPr>
      <w:spacing w:line="240" w:lineRule="auto"/>
      <w:ind w:left="278" w:hanging="278"/>
    </w:pPr>
    <w:rPr>
      <w:sz w:val="20"/>
      <w:szCs w:val="20"/>
    </w:rPr>
  </w:style>
  <w:style w:type="character" w:customStyle="1" w:styleId="FootnoteTextChar">
    <w:name w:val="Footnote Text Char"/>
    <w:basedOn w:val="DefaultParagraphFont"/>
    <w:link w:val="FootnoteText"/>
    <w:uiPriority w:val="99"/>
    <w:rsid w:val="00BF5BD7"/>
    <w:rPr>
      <w:rFonts w:cs="Calibri"/>
      <w:color w:val="38383A" w:themeColor="text2"/>
      <w:sz w:val="20"/>
      <w:szCs w:val="20"/>
    </w:rPr>
  </w:style>
  <w:style w:type="character" w:styleId="FootnoteReference">
    <w:name w:val="footnote reference"/>
    <w:semiHidden/>
    <w:rsid w:val="006C7FD8"/>
    <w:rPr>
      <w:rFonts w:cs="Times New Roman"/>
      <w:vertAlign w:val="superscript"/>
    </w:rPr>
  </w:style>
  <w:style w:type="paragraph" w:styleId="TOC1">
    <w:name w:val="toc 1"/>
    <w:basedOn w:val="Normal"/>
    <w:next w:val="Normal"/>
    <w:autoRedefine/>
    <w:uiPriority w:val="39"/>
    <w:unhideWhenUsed/>
    <w:rsid w:val="006C7FD8"/>
    <w:pPr>
      <w:tabs>
        <w:tab w:val="clear" w:pos="280"/>
        <w:tab w:val="clear" w:pos="4800"/>
        <w:tab w:val="clear" w:pos="5780"/>
      </w:tabs>
      <w:spacing w:after="100"/>
    </w:pPr>
  </w:style>
  <w:style w:type="paragraph" w:styleId="TOC2">
    <w:name w:val="toc 2"/>
    <w:basedOn w:val="Normal"/>
    <w:next w:val="Normal"/>
    <w:autoRedefine/>
    <w:uiPriority w:val="39"/>
    <w:unhideWhenUsed/>
    <w:rsid w:val="00721F0E"/>
    <w:pPr>
      <w:tabs>
        <w:tab w:val="clear" w:pos="280"/>
        <w:tab w:val="clear" w:pos="4800"/>
        <w:tab w:val="clear" w:pos="5780"/>
        <w:tab w:val="left" w:pos="880"/>
        <w:tab w:val="right" w:leader="dot" w:pos="9628"/>
      </w:tabs>
      <w:spacing w:after="100"/>
      <w:ind w:left="240" w:firstLine="250"/>
    </w:pPr>
  </w:style>
  <w:style w:type="paragraph" w:styleId="TOC3">
    <w:name w:val="toc 3"/>
    <w:basedOn w:val="Normal"/>
    <w:next w:val="Normal"/>
    <w:autoRedefine/>
    <w:uiPriority w:val="39"/>
    <w:unhideWhenUsed/>
    <w:rsid w:val="006C7FD8"/>
    <w:pPr>
      <w:tabs>
        <w:tab w:val="clear" w:pos="280"/>
        <w:tab w:val="clear" w:pos="4800"/>
        <w:tab w:val="clear" w:pos="5780"/>
      </w:tabs>
      <w:spacing w:after="100"/>
      <w:ind w:left="480"/>
    </w:pPr>
  </w:style>
  <w:style w:type="character" w:styleId="Hyperlink">
    <w:name w:val="Hyperlink"/>
    <w:basedOn w:val="DefaultParagraphFont"/>
    <w:uiPriority w:val="99"/>
    <w:unhideWhenUsed/>
    <w:rsid w:val="006C7FD8"/>
    <w:rPr>
      <w:color w:val="C64187" w:themeColor="hyperlink"/>
      <w:u w:val="single"/>
    </w:rPr>
  </w:style>
  <w:style w:type="paragraph" w:customStyle="1" w:styleId="SectioninHeader">
    <w:name w:val="Section in Header"/>
    <w:basedOn w:val="Header"/>
    <w:link w:val="SectioninHeaderChar"/>
    <w:qFormat/>
    <w:rsid w:val="006672B4"/>
    <w:pPr>
      <w:pBdr>
        <w:bottom w:val="single" w:sz="6" w:space="3" w:color="909090" w:themeColor="accent4"/>
      </w:pBdr>
      <w:tabs>
        <w:tab w:val="left" w:pos="284"/>
      </w:tabs>
    </w:pPr>
    <w:rPr>
      <w:rFonts w:asciiTheme="majorHAnsi" w:hAnsiTheme="majorHAnsi"/>
      <w:noProof/>
      <w:sz w:val="20"/>
      <w:szCs w:val="20"/>
      <w:lang w:eastAsia="en-GB"/>
    </w:rPr>
  </w:style>
  <w:style w:type="character" w:customStyle="1" w:styleId="SectioninHeaderChar">
    <w:name w:val="Section in Header Char"/>
    <w:basedOn w:val="HeaderChar"/>
    <w:link w:val="SectioninHeader"/>
    <w:rsid w:val="006672B4"/>
    <w:rPr>
      <w:rFonts w:asciiTheme="majorHAnsi" w:hAnsiTheme="majorHAnsi" w:cs="Calibri"/>
      <w:noProof/>
      <w:color w:val="38383A" w:themeColor="text2"/>
      <w:sz w:val="20"/>
      <w:szCs w:val="20"/>
      <w:lang w:eastAsia="en-GB"/>
    </w:rPr>
  </w:style>
  <w:style w:type="paragraph" w:customStyle="1" w:styleId="Tabletext">
    <w:name w:val="Table text"/>
    <w:basedOn w:val="Normal"/>
    <w:link w:val="TabletextChar"/>
    <w:qFormat/>
    <w:rsid w:val="00F93F2E"/>
    <w:pPr>
      <w:keepNext/>
      <w:keepLines/>
      <w:suppressLineNumbers/>
      <w:tabs>
        <w:tab w:val="right" w:pos="9400"/>
      </w:tabs>
    </w:pPr>
    <w:rPr>
      <w:rFonts w:ascii="Gill Sans MT" w:eastAsia="Times Regular" w:hAnsi="Gill Sans MT" w:cs="Gill Sans MT"/>
      <w:bCs/>
      <w:color w:val="38383A"/>
      <w:sz w:val="20"/>
      <w:szCs w:val="20"/>
      <w:lang w:val="en-US"/>
    </w:rPr>
  </w:style>
  <w:style w:type="character" w:customStyle="1" w:styleId="TabletextChar">
    <w:name w:val="Table text Char"/>
    <w:basedOn w:val="DefaultParagraphFont"/>
    <w:link w:val="Tabletext"/>
    <w:rsid w:val="00F93F2E"/>
    <w:rPr>
      <w:rFonts w:ascii="Gill Sans MT" w:eastAsia="Times Regular" w:hAnsi="Gill Sans MT" w:cs="Gill Sans MT"/>
      <w:bCs/>
      <w:color w:val="38383A"/>
      <w:sz w:val="20"/>
      <w:szCs w:val="20"/>
      <w:lang w:val="en-US"/>
    </w:rPr>
  </w:style>
  <w:style w:type="paragraph" w:customStyle="1" w:styleId="SectionDivider">
    <w:name w:val="Section Divider"/>
    <w:basedOn w:val="Title"/>
    <w:link w:val="SectionDividerChar"/>
    <w:qFormat/>
    <w:rsid w:val="00C349B6"/>
    <w:pPr>
      <w:ind w:left="0"/>
    </w:pPr>
    <w:rPr>
      <w:rFonts w:asciiTheme="majorHAnsi" w:hAnsiTheme="majorHAnsi"/>
    </w:rPr>
  </w:style>
  <w:style w:type="character" w:customStyle="1" w:styleId="SectionDividerChar">
    <w:name w:val="Section Divider Char"/>
    <w:basedOn w:val="TitleChar"/>
    <w:link w:val="SectionDivider"/>
    <w:rsid w:val="00C349B6"/>
    <w:rPr>
      <w:rFonts w:asciiTheme="majorHAnsi" w:eastAsiaTheme="majorEastAsia" w:hAnsiTheme="majorHAnsi" w:cstheme="majorBidi"/>
      <w:color w:val="683493" w:themeColor="accent1"/>
      <w:spacing w:val="5"/>
      <w:kern w:val="28"/>
      <w:sz w:val="52"/>
      <w:szCs w:val="52"/>
    </w:rPr>
  </w:style>
  <w:style w:type="paragraph" w:customStyle="1" w:styleId="Heading1Blue">
    <w:name w:val="Heading 1 Blue"/>
    <w:basedOn w:val="Heading1"/>
    <w:next w:val="Heading2Blue"/>
    <w:link w:val="Heading1BlueChar"/>
    <w:qFormat/>
    <w:rsid w:val="00145115"/>
    <w:rPr>
      <w:color w:val="18416A" w:themeColor="accent5"/>
    </w:rPr>
  </w:style>
  <w:style w:type="paragraph" w:customStyle="1" w:styleId="Heading2Blue">
    <w:name w:val="Heading 2 Blue"/>
    <w:basedOn w:val="Heading2"/>
    <w:next w:val="BodyEE"/>
    <w:link w:val="Heading2BlueChar"/>
    <w:qFormat/>
    <w:rsid w:val="00145115"/>
    <w:rPr>
      <w:color w:val="18416A" w:themeColor="accent5"/>
    </w:rPr>
  </w:style>
  <w:style w:type="character" w:customStyle="1" w:styleId="Heading2BlueChar">
    <w:name w:val="Heading 2 Blue Char"/>
    <w:basedOn w:val="Heading2Char"/>
    <w:link w:val="Heading2Blue"/>
    <w:rsid w:val="00145115"/>
    <w:rPr>
      <w:rFonts w:asciiTheme="majorHAnsi" w:eastAsia="Gill Sans MT" w:hAnsiTheme="majorHAnsi" w:cs="Times New Roman"/>
      <w:color w:val="18416A" w:themeColor="accent5"/>
      <w:sz w:val="32"/>
      <w:szCs w:val="32"/>
    </w:rPr>
  </w:style>
  <w:style w:type="character" w:customStyle="1" w:styleId="Heading1BlueChar">
    <w:name w:val="Heading 1 Blue Char"/>
    <w:basedOn w:val="Heading1Char"/>
    <w:link w:val="Heading1Blue"/>
    <w:rsid w:val="00145115"/>
    <w:rPr>
      <w:rFonts w:ascii="Garamond" w:eastAsia="Gill Sans MT" w:hAnsi="Garamond" w:cs="Times New Roman"/>
      <w:color w:val="18416A" w:themeColor="accent5"/>
      <w:sz w:val="60"/>
      <w:szCs w:val="60"/>
    </w:rPr>
  </w:style>
  <w:style w:type="paragraph" w:customStyle="1" w:styleId="Heading3Blue">
    <w:name w:val="Heading 3 Blue"/>
    <w:basedOn w:val="Heading3"/>
    <w:next w:val="BodyEE"/>
    <w:link w:val="Heading3BlueChar"/>
    <w:qFormat/>
    <w:rsid w:val="00145115"/>
    <w:rPr>
      <w:color w:val="18416A" w:themeColor="accent5"/>
    </w:rPr>
  </w:style>
  <w:style w:type="character" w:customStyle="1" w:styleId="Heading3BlueChar">
    <w:name w:val="Heading 3 Blue Char"/>
    <w:basedOn w:val="Heading3Char"/>
    <w:link w:val="Heading3Blue"/>
    <w:rsid w:val="00145115"/>
    <w:rPr>
      <w:rFonts w:asciiTheme="majorHAnsi" w:eastAsia="Gill Sans MT" w:hAnsiTheme="majorHAnsi" w:cs="Times New Roman"/>
      <w:color w:val="18416A" w:themeColor="accent5"/>
      <w:sz w:val="28"/>
      <w:szCs w:val="24"/>
    </w:rPr>
  </w:style>
  <w:style w:type="paragraph" w:customStyle="1" w:styleId="QuoteBluebox">
    <w:name w:val="Quote Blue box"/>
    <w:basedOn w:val="Normal"/>
    <w:link w:val="QuoteBlueboxChar"/>
    <w:qFormat/>
    <w:rsid w:val="00145115"/>
    <w:pPr>
      <w:shd w:val="clear" w:color="auto" w:fill="E8E8E8" w:themeFill="accent4" w:themeFillTint="33"/>
      <w:tabs>
        <w:tab w:val="clear" w:pos="280"/>
        <w:tab w:val="clear" w:pos="4800"/>
        <w:tab w:val="clear" w:pos="5780"/>
      </w:tabs>
      <w:suppressAutoHyphens w:val="0"/>
      <w:autoSpaceDE/>
      <w:autoSpaceDN/>
      <w:adjustRightInd/>
      <w:spacing w:after="200" w:line="276" w:lineRule="auto"/>
      <w:ind w:right="1416"/>
      <w:jc w:val="left"/>
      <w:textAlignment w:val="auto"/>
    </w:pPr>
    <w:rPr>
      <w:rFonts w:asciiTheme="majorHAnsi" w:hAnsiTheme="majorHAnsi" w:cstheme="minorBidi"/>
      <w:color w:val="18416A" w:themeColor="accent5"/>
      <w:sz w:val="44"/>
      <w:szCs w:val="60"/>
    </w:rPr>
  </w:style>
  <w:style w:type="character" w:customStyle="1" w:styleId="QuoteBlueboxChar">
    <w:name w:val="Quote Blue box Char"/>
    <w:basedOn w:val="DefaultParagraphFont"/>
    <w:link w:val="QuoteBluebox"/>
    <w:rsid w:val="00145115"/>
    <w:rPr>
      <w:rFonts w:asciiTheme="majorHAnsi" w:hAnsiTheme="majorHAnsi"/>
      <w:color w:val="18416A" w:themeColor="accent5"/>
      <w:sz w:val="44"/>
      <w:szCs w:val="60"/>
      <w:shd w:val="clear" w:color="auto" w:fill="E8E8E8" w:themeFill="accent4" w:themeFillTint="33"/>
    </w:rPr>
  </w:style>
  <w:style w:type="table" w:styleId="LightShading-Accent4">
    <w:name w:val="Light Shading Accent 4"/>
    <w:basedOn w:val="TableNormal"/>
    <w:uiPriority w:val="60"/>
    <w:rsid w:val="00BC6046"/>
    <w:pPr>
      <w:spacing w:after="0" w:line="240" w:lineRule="auto"/>
    </w:pPr>
    <w:rPr>
      <w:color w:val="6B6B6B" w:themeColor="accent4" w:themeShade="BF"/>
    </w:rPr>
    <w:tblPr>
      <w:tblStyleRowBandSize w:val="1"/>
      <w:tblStyleColBandSize w:val="1"/>
      <w:tblBorders>
        <w:top w:val="single" w:sz="8" w:space="0" w:color="909090" w:themeColor="accent4"/>
        <w:bottom w:val="single" w:sz="8" w:space="0" w:color="909090" w:themeColor="accent4"/>
      </w:tblBorders>
    </w:tblPr>
    <w:tcPr>
      <w:vAlign w:val="center"/>
    </w:tcPr>
    <w:tblStylePr w:type="firstRow">
      <w:pPr>
        <w:spacing w:before="0" w:after="0" w:line="240" w:lineRule="auto"/>
      </w:pPr>
      <w:rPr>
        <w:b/>
        <w:bCs/>
      </w:rPr>
      <w:tblPr/>
      <w:tcPr>
        <w:tcBorders>
          <w:top w:val="single" w:sz="8" w:space="0" w:color="909090" w:themeColor="accent4"/>
          <w:left w:val="nil"/>
          <w:bottom w:val="single" w:sz="8" w:space="0" w:color="909090" w:themeColor="accent4"/>
          <w:right w:val="nil"/>
          <w:insideH w:val="nil"/>
          <w:insideV w:val="nil"/>
        </w:tcBorders>
      </w:tcPr>
    </w:tblStylePr>
    <w:tblStylePr w:type="lastRow">
      <w:pPr>
        <w:spacing w:before="0" w:after="0" w:line="240" w:lineRule="auto"/>
      </w:pPr>
      <w:rPr>
        <w:b/>
        <w:bCs/>
      </w:rPr>
      <w:tblPr/>
      <w:tcPr>
        <w:tcBorders>
          <w:top w:val="single" w:sz="8" w:space="0" w:color="909090" w:themeColor="accent4"/>
          <w:left w:val="nil"/>
          <w:bottom w:val="single" w:sz="8" w:space="0" w:color="90909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3E3" w:themeFill="accent4" w:themeFillTint="3F"/>
      </w:tcPr>
    </w:tblStylePr>
    <w:tblStylePr w:type="band1Horz">
      <w:tblPr/>
      <w:tcPr>
        <w:tcBorders>
          <w:left w:val="nil"/>
          <w:right w:val="nil"/>
          <w:insideH w:val="nil"/>
          <w:insideV w:val="nil"/>
        </w:tcBorders>
        <w:shd w:val="clear" w:color="auto" w:fill="E3E3E3" w:themeFill="accent4" w:themeFillTint="3F"/>
      </w:tcPr>
    </w:tblStylePr>
  </w:style>
  <w:style w:type="paragraph" w:customStyle="1" w:styleId="EmphasisBlue">
    <w:name w:val="Emphasis Blue"/>
    <w:basedOn w:val="Normal"/>
    <w:link w:val="EmphasisBlueChar"/>
    <w:qFormat/>
    <w:rsid w:val="002C6528"/>
    <w:pPr>
      <w:tabs>
        <w:tab w:val="clear" w:pos="280"/>
        <w:tab w:val="clear" w:pos="4800"/>
        <w:tab w:val="clear" w:pos="5780"/>
      </w:tabs>
      <w:suppressAutoHyphens w:val="0"/>
      <w:autoSpaceDE/>
      <w:autoSpaceDN/>
      <w:adjustRightInd/>
      <w:spacing w:after="120" w:line="264" w:lineRule="auto"/>
      <w:textAlignment w:val="auto"/>
    </w:pPr>
    <w:rPr>
      <w:color w:val="18416A" w:themeColor="accent5"/>
    </w:rPr>
  </w:style>
  <w:style w:type="character" w:customStyle="1" w:styleId="EmphasisBlueChar">
    <w:name w:val="Emphasis Blue Char"/>
    <w:basedOn w:val="DefaultParagraphFont"/>
    <w:link w:val="EmphasisBlue"/>
    <w:rsid w:val="002C6528"/>
    <w:rPr>
      <w:rFonts w:cs="Calibri"/>
      <w:color w:val="18416A" w:themeColor="accent5"/>
      <w:szCs w:val="18"/>
    </w:rPr>
  </w:style>
  <w:style w:type="paragraph" w:customStyle="1" w:styleId="SectionDividerBlue">
    <w:name w:val="Section Divider Blue"/>
    <w:basedOn w:val="SectionDivider"/>
    <w:link w:val="SectionDividerBlueChar"/>
    <w:qFormat/>
    <w:rsid w:val="00073F88"/>
    <w:rPr>
      <w:noProof/>
      <w:color w:val="18416A" w:themeColor="accent5"/>
      <w:lang w:eastAsia="en-GB"/>
    </w:rPr>
  </w:style>
  <w:style w:type="character" w:customStyle="1" w:styleId="SectionDividerBlueChar">
    <w:name w:val="Section Divider Blue Char"/>
    <w:basedOn w:val="SectionDividerChar"/>
    <w:link w:val="SectionDividerBlue"/>
    <w:rsid w:val="00073F88"/>
    <w:rPr>
      <w:rFonts w:asciiTheme="majorHAnsi" w:eastAsiaTheme="majorEastAsia" w:hAnsiTheme="majorHAnsi" w:cstheme="majorBidi"/>
      <w:noProof/>
      <w:color w:val="18416A" w:themeColor="accent5"/>
      <w:spacing w:val="5"/>
      <w:kern w:val="28"/>
      <w:sz w:val="52"/>
      <w:szCs w:val="52"/>
      <w:lang w:eastAsia="en-GB"/>
    </w:rPr>
  </w:style>
  <w:style w:type="paragraph" w:customStyle="1" w:styleId="QuotePurplebox">
    <w:name w:val="Quote Purple box"/>
    <w:basedOn w:val="Normal"/>
    <w:next w:val="BodyEE"/>
    <w:link w:val="QuotePurpleboxChar"/>
    <w:qFormat/>
    <w:rsid w:val="00DC5DE4"/>
    <w:pPr>
      <w:shd w:val="clear" w:color="auto" w:fill="E8E8E8" w:themeFill="accent4" w:themeFillTint="33"/>
      <w:tabs>
        <w:tab w:val="clear" w:pos="280"/>
        <w:tab w:val="clear" w:pos="4800"/>
        <w:tab w:val="clear" w:pos="5780"/>
      </w:tabs>
      <w:suppressAutoHyphens w:val="0"/>
      <w:autoSpaceDE/>
      <w:autoSpaceDN/>
      <w:adjustRightInd/>
      <w:spacing w:after="200" w:line="276" w:lineRule="auto"/>
      <w:ind w:right="1416"/>
      <w:jc w:val="left"/>
      <w:textAlignment w:val="auto"/>
    </w:pPr>
    <w:rPr>
      <w:rFonts w:asciiTheme="majorHAnsi" w:hAnsiTheme="majorHAnsi" w:cstheme="minorBidi"/>
      <w:color w:val="683493" w:themeColor="accent1"/>
      <w:sz w:val="44"/>
      <w:szCs w:val="60"/>
    </w:rPr>
  </w:style>
  <w:style w:type="character" w:customStyle="1" w:styleId="QuotePurpleboxChar">
    <w:name w:val="Quote Purple box Char"/>
    <w:basedOn w:val="DefaultParagraphFont"/>
    <w:link w:val="QuotePurplebox"/>
    <w:rsid w:val="00DC5DE4"/>
    <w:rPr>
      <w:rFonts w:asciiTheme="majorHAnsi" w:hAnsiTheme="majorHAnsi"/>
      <w:color w:val="683493" w:themeColor="accent1"/>
      <w:sz w:val="44"/>
      <w:szCs w:val="60"/>
      <w:shd w:val="clear" w:color="auto" w:fill="E8E8E8" w:themeFill="accent4" w:themeFillTint="33"/>
    </w:rPr>
  </w:style>
  <w:style w:type="paragraph" w:customStyle="1" w:styleId="Tablenote">
    <w:name w:val="Table note"/>
    <w:basedOn w:val="Normal"/>
    <w:link w:val="TablenoteChar"/>
    <w:qFormat/>
    <w:rsid w:val="00290607"/>
    <w:pPr>
      <w:keepNext/>
      <w:tabs>
        <w:tab w:val="clear" w:pos="280"/>
        <w:tab w:val="clear" w:pos="4800"/>
        <w:tab w:val="clear" w:pos="5780"/>
      </w:tabs>
      <w:suppressAutoHyphens w:val="0"/>
      <w:autoSpaceDE/>
      <w:autoSpaceDN/>
      <w:adjustRightInd/>
      <w:spacing w:line="264" w:lineRule="auto"/>
      <w:textAlignment w:val="auto"/>
    </w:pPr>
    <w:rPr>
      <w:sz w:val="16"/>
      <w:szCs w:val="16"/>
    </w:rPr>
  </w:style>
  <w:style w:type="character" w:customStyle="1" w:styleId="TablenoteChar">
    <w:name w:val="Table note Char"/>
    <w:basedOn w:val="DefaultParagraphFont"/>
    <w:link w:val="Tablenote"/>
    <w:rsid w:val="00290607"/>
    <w:rPr>
      <w:rFonts w:cs="Calibri"/>
      <w:color w:val="38383A" w:themeColor="text2"/>
      <w:sz w:val="16"/>
      <w:szCs w:val="16"/>
    </w:rPr>
  </w:style>
  <w:style w:type="paragraph" w:customStyle="1" w:styleId="Margintext">
    <w:name w:val="Margin text"/>
    <w:basedOn w:val="Normal"/>
    <w:link w:val="MargintextChar"/>
    <w:qFormat/>
    <w:rsid w:val="00DE756D"/>
    <w:pPr>
      <w:spacing w:before="120"/>
    </w:pPr>
  </w:style>
  <w:style w:type="character" w:customStyle="1" w:styleId="MargintextChar">
    <w:name w:val="Margin text Char"/>
    <w:basedOn w:val="DefaultParagraphFont"/>
    <w:link w:val="Margintext"/>
    <w:rsid w:val="00DE756D"/>
    <w:rPr>
      <w:rFonts w:cs="Calibri"/>
      <w:color w:val="38383A" w:themeColor="text2"/>
      <w:szCs w:val="18"/>
    </w:rPr>
  </w:style>
  <w:style w:type="table" w:styleId="LightShading-Accent3">
    <w:name w:val="Light Shading Accent 3"/>
    <w:basedOn w:val="TableNormal"/>
    <w:uiPriority w:val="60"/>
    <w:rsid w:val="00BC6046"/>
    <w:pPr>
      <w:spacing w:after="0" w:line="240" w:lineRule="auto"/>
    </w:pPr>
    <w:rPr>
      <w:color w:val="D0639C" w:themeColor="accent3" w:themeShade="BF"/>
    </w:rPr>
    <w:tblPr>
      <w:tblStyleRowBandSize w:val="1"/>
      <w:tblStyleColBandSize w:val="1"/>
      <w:tblBorders>
        <w:top w:val="single" w:sz="8" w:space="0" w:color="E8B3CF" w:themeColor="accent3"/>
        <w:bottom w:val="single" w:sz="8" w:space="0" w:color="E8B3CF" w:themeColor="accent3"/>
      </w:tblBorders>
    </w:tblPr>
    <w:tcPr>
      <w:vAlign w:val="center"/>
    </w:tcPr>
    <w:tblStylePr w:type="firstRow">
      <w:pPr>
        <w:spacing w:before="0" w:after="0" w:line="240" w:lineRule="auto"/>
      </w:pPr>
      <w:rPr>
        <w:b/>
        <w:bCs/>
      </w:rPr>
      <w:tblPr/>
      <w:tcPr>
        <w:tcBorders>
          <w:top w:val="single" w:sz="8" w:space="0" w:color="E8B3CF" w:themeColor="accent3"/>
          <w:left w:val="nil"/>
          <w:bottom w:val="single" w:sz="8" w:space="0" w:color="E8B3CF" w:themeColor="accent3"/>
          <w:right w:val="nil"/>
          <w:insideH w:val="nil"/>
          <w:insideV w:val="nil"/>
        </w:tcBorders>
      </w:tcPr>
    </w:tblStylePr>
    <w:tblStylePr w:type="lastRow">
      <w:pPr>
        <w:spacing w:before="0" w:after="0" w:line="240" w:lineRule="auto"/>
      </w:pPr>
      <w:rPr>
        <w:b/>
        <w:bCs/>
      </w:rPr>
      <w:tblPr/>
      <w:tcPr>
        <w:tcBorders>
          <w:top w:val="single" w:sz="8" w:space="0" w:color="E8B3CF" w:themeColor="accent3"/>
          <w:left w:val="nil"/>
          <w:bottom w:val="single" w:sz="8" w:space="0" w:color="E8B3C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ECF3" w:themeFill="accent3" w:themeFillTint="3F"/>
      </w:tcPr>
    </w:tblStylePr>
    <w:tblStylePr w:type="band1Horz">
      <w:tblPr/>
      <w:tcPr>
        <w:tcBorders>
          <w:left w:val="nil"/>
          <w:right w:val="nil"/>
          <w:insideH w:val="nil"/>
          <w:insideV w:val="nil"/>
        </w:tcBorders>
        <w:shd w:val="clear" w:color="auto" w:fill="F9ECF3" w:themeFill="accent3" w:themeFillTint="3F"/>
      </w:tcPr>
    </w:tblStylePr>
  </w:style>
  <w:style w:type="table" w:styleId="LightShading-Accent5">
    <w:name w:val="Light Shading Accent 5"/>
    <w:basedOn w:val="TableNormal"/>
    <w:uiPriority w:val="60"/>
    <w:rsid w:val="00BC6046"/>
    <w:pPr>
      <w:spacing w:after="0" w:line="240" w:lineRule="auto"/>
    </w:pPr>
    <w:rPr>
      <w:color w:val="12304F" w:themeColor="accent5" w:themeShade="BF"/>
    </w:rPr>
    <w:tblPr>
      <w:tblStyleRowBandSize w:val="1"/>
      <w:tblStyleColBandSize w:val="1"/>
      <w:tblBorders>
        <w:top w:val="single" w:sz="8" w:space="0" w:color="18416A" w:themeColor="accent5"/>
        <w:bottom w:val="single" w:sz="8" w:space="0" w:color="18416A" w:themeColor="accent5"/>
      </w:tblBorders>
    </w:tblPr>
    <w:tcPr>
      <w:vAlign w:val="center"/>
    </w:tcPr>
    <w:tblStylePr w:type="firstRow">
      <w:pPr>
        <w:spacing w:before="0" w:after="0" w:line="240" w:lineRule="auto"/>
      </w:pPr>
      <w:rPr>
        <w:b/>
        <w:bCs/>
      </w:rPr>
      <w:tblPr/>
      <w:tcPr>
        <w:tcBorders>
          <w:top w:val="single" w:sz="8" w:space="0" w:color="18416A" w:themeColor="accent5"/>
          <w:left w:val="nil"/>
          <w:bottom w:val="single" w:sz="8" w:space="0" w:color="18416A" w:themeColor="accent5"/>
          <w:right w:val="nil"/>
          <w:insideH w:val="nil"/>
          <w:insideV w:val="nil"/>
        </w:tcBorders>
      </w:tcPr>
    </w:tblStylePr>
    <w:tblStylePr w:type="lastRow">
      <w:pPr>
        <w:spacing w:before="0" w:after="0" w:line="240" w:lineRule="auto"/>
      </w:pPr>
      <w:rPr>
        <w:b/>
        <w:bCs/>
      </w:rPr>
      <w:tblPr/>
      <w:tcPr>
        <w:tcBorders>
          <w:top w:val="single" w:sz="8" w:space="0" w:color="18416A" w:themeColor="accent5"/>
          <w:left w:val="nil"/>
          <w:bottom w:val="single" w:sz="8" w:space="0" w:color="18416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CFED" w:themeFill="accent5" w:themeFillTint="3F"/>
      </w:tcPr>
    </w:tblStylePr>
    <w:tblStylePr w:type="band1Horz">
      <w:tblPr/>
      <w:tcPr>
        <w:tcBorders>
          <w:left w:val="nil"/>
          <w:right w:val="nil"/>
          <w:insideH w:val="nil"/>
          <w:insideV w:val="nil"/>
        </w:tcBorders>
        <w:shd w:val="clear" w:color="auto" w:fill="B2CFED" w:themeFill="accent5" w:themeFillTint="3F"/>
      </w:tcPr>
    </w:tblStylePr>
  </w:style>
  <w:style w:type="paragraph" w:customStyle="1" w:styleId="Heading1Grey">
    <w:name w:val="Heading 1 Grey"/>
    <w:basedOn w:val="Heading1Blue"/>
    <w:link w:val="Heading1GreyChar"/>
    <w:qFormat/>
    <w:rsid w:val="00D21B2F"/>
    <w:rPr>
      <w:color w:val="86868A"/>
    </w:rPr>
  </w:style>
  <w:style w:type="character" w:customStyle="1" w:styleId="Heading1GreyChar">
    <w:name w:val="Heading 1 Grey Char"/>
    <w:basedOn w:val="Heading1BlueChar"/>
    <w:link w:val="Heading1Grey"/>
    <w:rsid w:val="00D21B2F"/>
    <w:rPr>
      <w:rFonts w:ascii="Garamond" w:eastAsia="Gill Sans MT" w:hAnsi="Garamond" w:cs="Times New Roman"/>
      <w:color w:val="86868A"/>
      <w:sz w:val="60"/>
      <w:szCs w:val="60"/>
    </w:rPr>
  </w:style>
  <w:style w:type="paragraph" w:customStyle="1" w:styleId="Heading2Grey">
    <w:name w:val="Heading 2 Grey"/>
    <w:basedOn w:val="Heading2Blue"/>
    <w:link w:val="Heading2GreyChar"/>
    <w:qFormat/>
    <w:rsid w:val="00D21B2F"/>
    <w:rPr>
      <w:color w:val="86868A"/>
    </w:rPr>
  </w:style>
  <w:style w:type="character" w:customStyle="1" w:styleId="Heading2GreyChar">
    <w:name w:val="Heading 2 Grey Char"/>
    <w:basedOn w:val="Heading2BlueChar"/>
    <w:link w:val="Heading2Grey"/>
    <w:rsid w:val="00D21B2F"/>
    <w:rPr>
      <w:rFonts w:asciiTheme="majorHAnsi" w:eastAsia="Gill Sans MT" w:hAnsiTheme="majorHAnsi" w:cs="Times New Roman"/>
      <w:color w:val="86868A"/>
      <w:sz w:val="32"/>
      <w:szCs w:val="32"/>
    </w:rPr>
  </w:style>
  <w:style w:type="paragraph" w:customStyle="1" w:styleId="Heading3Grey">
    <w:name w:val="Heading 3 Grey"/>
    <w:basedOn w:val="Heading3Blue"/>
    <w:link w:val="Heading3GreyChar"/>
    <w:qFormat/>
    <w:rsid w:val="00D21B2F"/>
    <w:rPr>
      <w:color w:val="86868A"/>
    </w:rPr>
  </w:style>
  <w:style w:type="character" w:customStyle="1" w:styleId="Heading3GreyChar">
    <w:name w:val="Heading 3 Grey Char"/>
    <w:basedOn w:val="Heading3BlueChar"/>
    <w:link w:val="Heading3Grey"/>
    <w:rsid w:val="00D21B2F"/>
    <w:rPr>
      <w:rFonts w:asciiTheme="majorHAnsi" w:eastAsia="Gill Sans MT" w:hAnsiTheme="majorHAnsi" w:cs="Times New Roman"/>
      <w:color w:val="86868A"/>
      <w:sz w:val="28"/>
      <w:szCs w:val="24"/>
    </w:rPr>
  </w:style>
  <w:style w:type="paragraph" w:customStyle="1" w:styleId="QuoteGreybox">
    <w:name w:val="Quote Grey box"/>
    <w:basedOn w:val="QuoteBluebox"/>
    <w:link w:val="QuoteGreyboxChar"/>
    <w:qFormat/>
    <w:rsid w:val="00073F88"/>
    <w:rPr>
      <w:color w:val="9C9E9C" w:themeColor="accent6" w:themeShade="BF"/>
    </w:rPr>
  </w:style>
  <w:style w:type="character" w:customStyle="1" w:styleId="QuoteGreyboxChar">
    <w:name w:val="Quote Grey box Char"/>
    <w:basedOn w:val="QuoteBlueboxChar"/>
    <w:link w:val="QuoteGreybox"/>
    <w:rsid w:val="00073F88"/>
    <w:rPr>
      <w:rFonts w:asciiTheme="majorHAnsi" w:hAnsiTheme="majorHAnsi"/>
      <w:color w:val="9C9E9C" w:themeColor="accent6" w:themeShade="BF"/>
      <w:sz w:val="44"/>
      <w:szCs w:val="60"/>
      <w:shd w:val="clear" w:color="auto" w:fill="E8E8E8" w:themeFill="accent4" w:themeFillTint="33"/>
    </w:rPr>
  </w:style>
  <w:style w:type="paragraph" w:customStyle="1" w:styleId="SectionDividerDarkGrey">
    <w:name w:val="Section Divider Dark Grey"/>
    <w:basedOn w:val="SectionDividerBlue"/>
    <w:link w:val="SectionDividerDarkGreyChar"/>
    <w:qFormat/>
    <w:rsid w:val="00073F88"/>
    <w:pPr>
      <w:tabs>
        <w:tab w:val="left" w:pos="142"/>
      </w:tabs>
    </w:pPr>
    <w:rPr>
      <w:color w:val="909090" w:themeColor="accent4"/>
    </w:rPr>
  </w:style>
  <w:style w:type="character" w:customStyle="1" w:styleId="SectionDividerDarkGreyChar">
    <w:name w:val="Section Divider Dark Grey Char"/>
    <w:basedOn w:val="SectionDividerBlueChar"/>
    <w:link w:val="SectionDividerDarkGrey"/>
    <w:rsid w:val="00073F88"/>
    <w:rPr>
      <w:rFonts w:asciiTheme="majorHAnsi" w:eastAsiaTheme="majorEastAsia" w:hAnsiTheme="majorHAnsi" w:cstheme="majorBidi"/>
      <w:noProof/>
      <w:color w:val="909090" w:themeColor="accent4"/>
      <w:spacing w:val="5"/>
      <w:kern w:val="28"/>
      <w:sz w:val="52"/>
      <w:szCs w:val="52"/>
      <w:lang w:eastAsia="en-GB"/>
    </w:rPr>
  </w:style>
  <w:style w:type="paragraph" w:customStyle="1" w:styleId="Heading1Pink">
    <w:name w:val="Heading 1 Pink"/>
    <w:basedOn w:val="Heading1Grey"/>
    <w:link w:val="Heading1PinkChar"/>
    <w:qFormat/>
    <w:rsid w:val="00772735"/>
    <w:rPr>
      <w:color w:val="C64187" w:themeColor="accent2"/>
    </w:rPr>
  </w:style>
  <w:style w:type="character" w:customStyle="1" w:styleId="Heading1PinkChar">
    <w:name w:val="Heading 1 Pink Char"/>
    <w:basedOn w:val="Heading1GreyChar"/>
    <w:link w:val="Heading1Pink"/>
    <w:rsid w:val="00772735"/>
    <w:rPr>
      <w:rFonts w:ascii="Garamond" w:eastAsia="Gill Sans MT" w:hAnsi="Garamond" w:cs="Times New Roman"/>
      <w:color w:val="C64187" w:themeColor="accent2"/>
      <w:sz w:val="60"/>
      <w:szCs w:val="60"/>
    </w:rPr>
  </w:style>
  <w:style w:type="paragraph" w:customStyle="1" w:styleId="Heading2Pink">
    <w:name w:val="Heading 2 Pink"/>
    <w:basedOn w:val="Heading2Grey"/>
    <w:link w:val="Heading2PinkChar"/>
    <w:qFormat/>
    <w:rsid w:val="00772735"/>
    <w:rPr>
      <w:color w:val="C64187" w:themeColor="accent2"/>
    </w:rPr>
  </w:style>
  <w:style w:type="character" w:customStyle="1" w:styleId="Heading2PinkChar">
    <w:name w:val="Heading 2 Pink Char"/>
    <w:basedOn w:val="Heading2GreyChar"/>
    <w:link w:val="Heading2Pink"/>
    <w:rsid w:val="00772735"/>
    <w:rPr>
      <w:rFonts w:asciiTheme="majorHAnsi" w:eastAsia="Gill Sans MT" w:hAnsiTheme="majorHAnsi" w:cs="Times New Roman"/>
      <w:color w:val="C64187" w:themeColor="accent2"/>
      <w:sz w:val="32"/>
      <w:szCs w:val="32"/>
    </w:rPr>
  </w:style>
  <w:style w:type="paragraph" w:customStyle="1" w:styleId="Heading3Pink">
    <w:name w:val="Heading 3 Pink"/>
    <w:basedOn w:val="Heading3Grey"/>
    <w:link w:val="Heading3PinkChar"/>
    <w:qFormat/>
    <w:rsid w:val="00772735"/>
    <w:rPr>
      <w:color w:val="C64187" w:themeColor="accent2"/>
    </w:rPr>
  </w:style>
  <w:style w:type="character" w:customStyle="1" w:styleId="Heading3PinkChar">
    <w:name w:val="Heading 3 Pink Char"/>
    <w:basedOn w:val="Heading3GreyChar"/>
    <w:link w:val="Heading3Pink"/>
    <w:rsid w:val="00772735"/>
    <w:rPr>
      <w:rFonts w:asciiTheme="majorHAnsi" w:eastAsia="Gill Sans MT" w:hAnsiTheme="majorHAnsi" w:cs="Times New Roman"/>
      <w:color w:val="C64187" w:themeColor="accent2"/>
      <w:sz w:val="28"/>
      <w:szCs w:val="24"/>
    </w:rPr>
  </w:style>
  <w:style w:type="paragraph" w:customStyle="1" w:styleId="QuotePinkbox">
    <w:name w:val="Quote Pink box"/>
    <w:basedOn w:val="QuoteGreybox"/>
    <w:link w:val="QuotePinkboxChar"/>
    <w:qFormat/>
    <w:rsid w:val="00772735"/>
    <w:rPr>
      <w:color w:val="C64187" w:themeColor="accent2"/>
    </w:rPr>
  </w:style>
  <w:style w:type="character" w:customStyle="1" w:styleId="QuotePinkboxChar">
    <w:name w:val="Quote Pink box Char"/>
    <w:basedOn w:val="QuoteGreyboxChar"/>
    <w:link w:val="QuotePinkbox"/>
    <w:rsid w:val="00772735"/>
    <w:rPr>
      <w:rFonts w:asciiTheme="majorHAnsi" w:hAnsiTheme="majorHAnsi"/>
      <w:color w:val="C64187" w:themeColor="accent2"/>
      <w:sz w:val="44"/>
      <w:szCs w:val="60"/>
      <w:shd w:val="clear" w:color="auto" w:fill="E8E8E8" w:themeFill="accent4" w:themeFillTint="33"/>
    </w:rPr>
  </w:style>
  <w:style w:type="table" w:styleId="LightShading-Accent2">
    <w:name w:val="Light Shading Accent 2"/>
    <w:basedOn w:val="TableNormal"/>
    <w:uiPriority w:val="60"/>
    <w:rsid w:val="00BC6046"/>
    <w:pPr>
      <w:spacing w:after="0" w:line="240" w:lineRule="auto"/>
    </w:pPr>
    <w:rPr>
      <w:color w:val="972D65" w:themeColor="accent2" w:themeShade="BF"/>
    </w:rPr>
    <w:tblPr>
      <w:tblStyleRowBandSize w:val="1"/>
      <w:tblStyleColBandSize w:val="1"/>
      <w:tblBorders>
        <w:top w:val="single" w:sz="8" w:space="0" w:color="C64187" w:themeColor="accent2"/>
        <w:bottom w:val="single" w:sz="8" w:space="0" w:color="C64187" w:themeColor="accent2"/>
      </w:tblBorders>
    </w:tblPr>
    <w:tcPr>
      <w:vAlign w:val="center"/>
    </w:tcPr>
    <w:tblStylePr w:type="firstRow">
      <w:pPr>
        <w:spacing w:before="0" w:after="0" w:line="240" w:lineRule="auto"/>
      </w:pPr>
      <w:rPr>
        <w:b/>
        <w:bCs/>
      </w:rPr>
      <w:tblPr/>
      <w:tcPr>
        <w:tcBorders>
          <w:top w:val="single" w:sz="8" w:space="0" w:color="C64187" w:themeColor="accent2"/>
          <w:left w:val="nil"/>
          <w:bottom w:val="single" w:sz="8" w:space="0" w:color="C64187" w:themeColor="accent2"/>
          <w:right w:val="nil"/>
          <w:insideH w:val="nil"/>
          <w:insideV w:val="nil"/>
        </w:tcBorders>
      </w:tcPr>
    </w:tblStylePr>
    <w:tblStylePr w:type="lastRow">
      <w:pPr>
        <w:spacing w:before="0" w:after="0" w:line="240" w:lineRule="auto"/>
      </w:pPr>
      <w:rPr>
        <w:b/>
        <w:bCs/>
      </w:rPr>
      <w:tblPr/>
      <w:tcPr>
        <w:tcBorders>
          <w:top w:val="single" w:sz="8" w:space="0" w:color="C64187" w:themeColor="accent2"/>
          <w:left w:val="nil"/>
          <w:bottom w:val="single" w:sz="8" w:space="0" w:color="C6418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CFE1" w:themeFill="accent2" w:themeFillTint="3F"/>
      </w:tcPr>
    </w:tblStylePr>
    <w:tblStylePr w:type="band1Horz">
      <w:tblPr/>
      <w:tcPr>
        <w:tcBorders>
          <w:left w:val="nil"/>
          <w:right w:val="nil"/>
          <w:insideH w:val="nil"/>
          <w:insideV w:val="nil"/>
        </w:tcBorders>
        <w:shd w:val="clear" w:color="auto" w:fill="F0CFE1" w:themeFill="accent2" w:themeFillTint="3F"/>
      </w:tcPr>
    </w:tblStylePr>
  </w:style>
  <w:style w:type="paragraph" w:customStyle="1" w:styleId="EmphasisPink">
    <w:name w:val="Emphasis Pink"/>
    <w:basedOn w:val="Normal"/>
    <w:link w:val="EmphasisPinkChar"/>
    <w:qFormat/>
    <w:rsid w:val="002C6528"/>
    <w:pPr>
      <w:tabs>
        <w:tab w:val="clear" w:pos="280"/>
        <w:tab w:val="clear" w:pos="4800"/>
        <w:tab w:val="clear" w:pos="5780"/>
      </w:tabs>
      <w:suppressAutoHyphens w:val="0"/>
      <w:autoSpaceDE/>
      <w:autoSpaceDN/>
      <w:adjustRightInd/>
      <w:spacing w:after="120" w:line="264" w:lineRule="auto"/>
      <w:textAlignment w:val="auto"/>
    </w:pPr>
    <w:rPr>
      <w:color w:val="C64187" w:themeColor="accent2"/>
    </w:rPr>
  </w:style>
  <w:style w:type="character" w:customStyle="1" w:styleId="EmphasisPinkChar">
    <w:name w:val="Emphasis Pink Char"/>
    <w:basedOn w:val="DefaultParagraphFont"/>
    <w:link w:val="EmphasisPink"/>
    <w:rsid w:val="002C6528"/>
    <w:rPr>
      <w:rFonts w:cs="Calibri"/>
      <w:color w:val="C64187" w:themeColor="accent2"/>
      <w:szCs w:val="18"/>
    </w:rPr>
  </w:style>
  <w:style w:type="paragraph" w:customStyle="1" w:styleId="Heading1DarkPink">
    <w:name w:val="Heading 1 Dark Pink"/>
    <w:basedOn w:val="Heading1Grey"/>
    <w:next w:val="Heading2DarkPink"/>
    <w:link w:val="Heading1DarkPinkChar"/>
    <w:qFormat/>
    <w:rsid w:val="00145115"/>
    <w:rPr>
      <w:color w:val="972D65" w:themeColor="accent2" w:themeShade="BF"/>
    </w:rPr>
  </w:style>
  <w:style w:type="paragraph" w:customStyle="1" w:styleId="Heading2DarkPink">
    <w:name w:val="Heading 2 Dark Pink"/>
    <w:basedOn w:val="Heading2Grey"/>
    <w:link w:val="Heading2DarkPinkChar"/>
    <w:qFormat/>
    <w:rsid w:val="00145115"/>
    <w:rPr>
      <w:color w:val="972D65" w:themeColor="accent2" w:themeShade="BF"/>
    </w:rPr>
  </w:style>
  <w:style w:type="character" w:customStyle="1" w:styleId="Heading2DarkPinkChar">
    <w:name w:val="Heading 2 Dark Pink Char"/>
    <w:basedOn w:val="Heading2GreyChar"/>
    <w:link w:val="Heading2DarkPink"/>
    <w:rsid w:val="00145115"/>
    <w:rPr>
      <w:rFonts w:asciiTheme="majorHAnsi" w:eastAsia="Gill Sans MT" w:hAnsiTheme="majorHAnsi" w:cs="Times New Roman"/>
      <w:color w:val="972D65" w:themeColor="accent2" w:themeShade="BF"/>
      <w:sz w:val="32"/>
      <w:szCs w:val="32"/>
    </w:rPr>
  </w:style>
  <w:style w:type="character" w:customStyle="1" w:styleId="Heading1DarkPinkChar">
    <w:name w:val="Heading 1 Dark Pink Char"/>
    <w:basedOn w:val="Heading1GreyChar"/>
    <w:link w:val="Heading1DarkPink"/>
    <w:rsid w:val="00145115"/>
    <w:rPr>
      <w:rFonts w:ascii="Garamond" w:eastAsia="Gill Sans MT" w:hAnsi="Garamond" w:cs="Times New Roman"/>
      <w:color w:val="972D65" w:themeColor="accent2" w:themeShade="BF"/>
      <w:sz w:val="60"/>
      <w:szCs w:val="60"/>
    </w:rPr>
  </w:style>
  <w:style w:type="paragraph" w:customStyle="1" w:styleId="QuoteIndigobox">
    <w:name w:val="Quote Indigo box"/>
    <w:basedOn w:val="QuoteGreybox"/>
    <w:link w:val="QuoteIndigoboxChar"/>
    <w:rsid w:val="00706EED"/>
    <w:rPr>
      <w:color w:val="7071A8"/>
    </w:rPr>
  </w:style>
  <w:style w:type="character" w:customStyle="1" w:styleId="QuoteIndigoboxChar">
    <w:name w:val="Quote Indigo box Char"/>
    <w:basedOn w:val="QuoteGreyboxChar"/>
    <w:link w:val="QuoteIndigobox"/>
    <w:rsid w:val="00706EED"/>
    <w:rPr>
      <w:rFonts w:asciiTheme="majorHAnsi" w:hAnsiTheme="majorHAnsi"/>
      <w:color w:val="7071A8"/>
      <w:sz w:val="44"/>
      <w:szCs w:val="60"/>
      <w:shd w:val="clear" w:color="auto" w:fill="E8E8E8" w:themeFill="accent4" w:themeFillTint="33"/>
    </w:rPr>
  </w:style>
  <w:style w:type="paragraph" w:customStyle="1" w:styleId="Heading1DarkGrey">
    <w:name w:val="Heading 1 Dark Grey"/>
    <w:basedOn w:val="Heading1DarkPink"/>
    <w:link w:val="Heading1DarkGreyChar"/>
    <w:qFormat/>
    <w:rsid w:val="00706EED"/>
    <w:rPr>
      <w:color w:val="4D4D4D"/>
    </w:rPr>
  </w:style>
  <w:style w:type="character" w:customStyle="1" w:styleId="Heading1DarkGreyChar">
    <w:name w:val="Heading 1 Dark Grey Char"/>
    <w:basedOn w:val="Heading1DarkPinkChar"/>
    <w:link w:val="Heading1DarkGrey"/>
    <w:rsid w:val="00706EED"/>
    <w:rPr>
      <w:rFonts w:ascii="Garamond" w:eastAsia="Gill Sans MT" w:hAnsi="Garamond" w:cs="Times New Roman"/>
      <w:color w:val="4D4D4D"/>
      <w:sz w:val="60"/>
      <w:szCs w:val="60"/>
    </w:rPr>
  </w:style>
  <w:style w:type="table" w:styleId="LightShading-Accent6">
    <w:name w:val="Light Shading Accent 6"/>
    <w:basedOn w:val="TableNormal"/>
    <w:uiPriority w:val="60"/>
    <w:rsid w:val="00706EED"/>
    <w:pPr>
      <w:spacing w:after="0" w:line="240" w:lineRule="auto"/>
    </w:pPr>
    <w:rPr>
      <w:color w:val="9C9E9C" w:themeColor="accent6" w:themeShade="BF"/>
    </w:rPr>
    <w:tblPr>
      <w:tblStyleRowBandSize w:val="1"/>
      <w:tblStyleColBandSize w:val="1"/>
      <w:tblBorders>
        <w:top w:val="single" w:sz="8" w:space="0" w:color="D2D3D2" w:themeColor="accent6"/>
        <w:bottom w:val="single" w:sz="8" w:space="0" w:color="D2D3D2" w:themeColor="accent6"/>
      </w:tblBorders>
    </w:tblPr>
    <w:tblStylePr w:type="firstRow">
      <w:pPr>
        <w:spacing w:before="0" w:after="0" w:line="240" w:lineRule="auto"/>
      </w:pPr>
      <w:rPr>
        <w:b/>
        <w:bCs/>
      </w:rPr>
      <w:tblPr/>
      <w:tcPr>
        <w:tcBorders>
          <w:top w:val="single" w:sz="8" w:space="0" w:color="D2D3D2" w:themeColor="accent6"/>
          <w:left w:val="nil"/>
          <w:bottom w:val="single" w:sz="8" w:space="0" w:color="D2D3D2" w:themeColor="accent6"/>
          <w:right w:val="nil"/>
          <w:insideH w:val="nil"/>
          <w:insideV w:val="nil"/>
        </w:tcBorders>
      </w:tcPr>
    </w:tblStylePr>
    <w:tblStylePr w:type="lastRow">
      <w:pPr>
        <w:spacing w:before="0" w:after="0" w:line="240" w:lineRule="auto"/>
      </w:pPr>
      <w:rPr>
        <w:b/>
        <w:bCs/>
      </w:rPr>
      <w:tblPr/>
      <w:tcPr>
        <w:tcBorders>
          <w:top w:val="single" w:sz="8" w:space="0" w:color="D2D3D2" w:themeColor="accent6"/>
          <w:left w:val="nil"/>
          <w:bottom w:val="single" w:sz="8" w:space="0" w:color="D2D3D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4F3" w:themeFill="accent6" w:themeFillTint="3F"/>
      </w:tcPr>
    </w:tblStylePr>
    <w:tblStylePr w:type="band1Horz">
      <w:tblPr/>
      <w:tcPr>
        <w:tcBorders>
          <w:left w:val="nil"/>
          <w:right w:val="nil"/>
          <w:insideH w:val="nil"/>
          <w:insideV w:val="nil"/>
        </w:tcBorders>
        <w:shd w:val="clear" w:color="auto" w:fill="F3F4F3" w:themeFill="accent6" w:themeFillTint="3F"/>
      </w:tcPr>
    </w:tblStylePr>
  </w:style>
  <w:style w:type="paragraph" w:customStyle="1" w:styleId="Heading2DarkGrey">
    <w:name w:val="Heading 2 Dark Grey"/>
    <w:basedOn w:val="Heading2DarkPink"/>
    <w:link w:val="Heading2DarkGreyChar"/>
    <w:qFormat/>
    <w:rsid w:val="00253186"/>
    <w:rPr>
      <w:color w:val="4D4D4D"/>
    </w:rPr>
  </w:style>
  <w:style w:type="character" w:customStyle="1" w:styleId="Heading2DarkGreyChar">
    <w:name w:val="Heading 2 Dark Grey Char"/>
    <w:basedOn w:val="Heading2DarkPinkChar"/>
    <w:link w:val="Heading2DarkGrey"/>
    <w:rsid w:val="00253186"/>
    <w:rPr>
      <w:rFonts w:asciiTheme="majorHAnsi" w:eastAsia="Gill Sans MT" w:hAnsiTheme="majorHAnsi" w:cs="Times New Roman"/>
      <w:color w:val="4D4D4D"/>
      <w:sz w:val="32"/>
      <w:szCs w:val="32"/>
    </w:rPr>
  </w:style>
  <w:style w:type="paragraph" w:customStyle="1" w:styleId="Heading3DarkPink">
    <w:name w:val="Heading 3 Dark Pink"/>
    <w:basedOn w:val="Normal"/>
    <w:link w:val="Heading3DarkPinkChar"/>
    <w:qFormat/>
    <w:rsid w:val="00FE076E"/>
    <w:pPr>
      <w:tabs>
        <w:tab w:val="clear" w:pos="280"/>
        <w:tab w:val="clear" w:pos="4800"/>
        <w:tab w:val="clear" w:pos="5780"/>
      </w:tabs>
      <w:suppressAutoHyphens w:val="0"/>
      <w:autoSpaceDE/>
      <w:autoSpaceDN/>
      <w:adjustRightInd/>
      <w:spacing w:before="360" w:after="120" w:line="264" w:lineRule="auto"/>
      <w:ind w:left="720" w:hanging="720"/>
      <w:textAlignment w:val="auto"/>
      <w:outlineLvl w:val="2"/>
    </w:pPr>
    <w:rPr>
      <w:rFonts w:asciiTheme="majorHAnsi" w:eastAsia="Gill Sans MT" w:hAnsiTheme="majorHAnsi" w:cs="Times New Roman"/>
      <w:color w:val="972D65" w:themeColor="accent2" w:themeShade="BF"/>
      <w:sz w:val="28"/>
      <w:szCs w:val="24"/>
    </w:rPr>
  </w:style>
  <w:style w:type="character" w:customStyle="1" w:styleId="Heading3DarkPinkChar">
    <w:name w:val="Heading 3 Dark Pink Char"/>
    <w:basedOn w:val="DefaultParagraphFont"/>
    <w:link w:val="Heading3DarkPink"/>
    <w:rsid w:val="00FE076E"/>
    <w:rPr>
      <w:rFonts w:asciiTheme="majorHAnsi" w:eastAsia="Gill Sans MT" w:hAnsiTheme="majorHAnsi" w:cs="Times New Roman"/>
      <w:color w:val="972D65" w:themeColor="accent2" w:themeShade="BF"/>
      <w:sz w:val="28"/>
      <w:szCs w:val="24"/>
    </w:rPr>
  </w:style>
  <w:style w:type="paragraph" w:customStyle="1" w:styleId="QuoteDarkPinkbox">
    <w:name w:val="Quote Dark Pink box"/>
    <w:basedOn w:val="QuoteIndigobox"/>
    <w:link w:val="QuoteDarkPinkboxChar"/>
    <w:qFormat/>
    <w:rsid w:val="00145115"/>
    <w:rPr>
      <w:color w:val="972D65" w:themeColor="accent2" w:themeShade="BF"/>
    </w:rPr>
  </w:style>
  <w:style w:type="character" w:customStyle="1" w:styleId="QuoteDarkPinkboxChar">
    <w:name w:val="Quote Dark Pink box Char"/>
    <w:basedOn w:val="QuoteIndigoboxChar"/>
    <w:link w:val="QuoteDarkPinkbox"/>
    <w:rsid w:val="00145115"/>
    <w:rPr>
      <w:rFonts w:asciiTheme="majorHAnsi" w:hAnsiTheme="majorHAnsi"/>
      <w:color w:val="972D65" w:themeColor="accent2" w:themeShade="BF"/>
      <w:sz w:val="44"/>
      <w:szCs w:val="60"/>
      <w:shd w:val="clear" w:color="auto" w:fill="E8E8E8" w:themeFill="accent4" w:themeFillTint="33"/>
    </w:rPr>
  </w:style>
  <w:style w:type="paragraph" w:customStyle="1" w:styleId="EmphasisDarkPink">
    <w:name w:val="Emphasis Dark Pink"/>
    <w:basedOn w:val="BodyEE"/>
    <w:link w:val="EmphasisDarkPinkChar"/>
    <w:qFormat/>
    <w:rsid w:val="0092632F"/>
    <w:rPr>
      <w:color w:val="972D65" w:themeColor="accent2" w:themeShade="BF"/>
    </w:rPr>
  </w:style>
  <w:style w:type="character" w:customStyle="1" w:styleId="EmphasisDarkPinkChar">
    <w:name w:val="Emphasis Dark Pink Char"/>
    <w:basedOn w:val="DefaultParagraphFont"/>
    <w:link w:val="EmphasisDarkPink"/>
    <w:rsid w:val="0092632F"/>
    <w:rPr>
      <w:rFonts w:ascii="Gill Sans MT" w:eastAsia="Gill Sans MT" w:hAnsi="Gill Sans MT" w:cs="Times New Roman"/>
      <w:color w:val="972D65" w:themeColor="accent2" w:themeShade="BF"/>
      <w:szCs w:val="60"/>
    </w:rPr>
  </w:style>
  <w:style w:type="paragraph" w:customStyle="1" w:styleId="Heading3DarkGrey">
    <w:name w:val="Heading 3 Dark Grey"/>
    <w:basedOn w:val="Normal"/>
    <w:link w:val="Heading3DarkGreyChar"/>
    <w:qFormat/>
    <w:rsid w:val="00FE076E"/>
    <w:pPr>
      <w:tabs>
        <w:tab w:val="clear" w:pos="280"/>
        <w:tab w:val="clear" w:pos="4800"/>
        <w:tab w:val="clear" w:pos="5780"/>
      </w:tabs>
      <w:suppressAutoHyphens w:val="0"/>
      <w:autoSpaceDE/>
      <w:autoSpaceDN/>
      <w:adjustRightInd/>
      <w:spacing w:before="360" w:after="120" w:line="264" w:lineRule="auto"/>
      <w:ind w:left="720" w:hanging="720"/>
      <w:textAlignment w:val="auto"/>
      <w:outlineLvl w:val="2"/>
    </w:pPr>
    <w:rPr>
      <w:rFonts w:asciiTheme="majorHAnsi" w:eastAsia="Gill Sans MT" w:hAnsiTheme="majorHAnsi" w:cs="Times New Roman"/>
      <w:color w:val="4D4D4D"/>
      <w:sz w:val="28"/>
      <w:szCs w:val="24"/>
    </w:rPr>
  </w:style>
  <w:style w:type="character" w:customStyle="1" w:styleId="Heading3DarkGreyChar">
    <w:name w:val="Heading 3 Dark Grey Char"/>
    <w:basedOn w:val="DefaultParagraphFont"/>
    <w:link w:val="Heading3DarkGrey"/>
    <w:rsid w:val="00FE076E"/>
    <w:rPr>
      <w:rFonts w:asciiTheme="majorHAnsi" w:eastAsia="Gill Sans MT" w:hAnsiTheme="majorHAnsi" w:cs="Times New Roman"/>
      <w:color w:val="4D4D4D"/>
      <w:sz w:val="28"/>
      <w:szCs w:val="24"/>
    </w:rPr>
  </w:style>
  <w:style w:type="paragraph" w:customStyle="1" w:styleId="QuoteDarkGreybox">
    <w:name w:val="Quote Dark Grey box"/>
    <w:basedOn w:val="QuoteIndigobox"/>
    <w:link w:val="QuoteDarkGreyboxChar"/>
    <w:qFormat/>
    <w:rsid w:val="00253186"/>
    <w:rPr>
      <w:color w:val="4D4D4D"/>
    </w:rPr>
  </w:style>
  <w:style w:type="character" w:customStyle="1" w:styleId="QuoteDarkGreyboxChar">
    <w:name w:val="Quote Dark Grey box Char"/>
    <w:basedOn w:val="QuoteIndigoboxChar"/>
    <w:link w:val="QuoteDarkGreybox"/>
    <w:rsid w:val="00253186"/>
    <w:rPr>
      <w:rFonts w:asciiTheme="majorHAnsi" w:hAnsiTheme="majorHAnsi"/>
      <w:color w:val="4D4D4D"/>
      <w:sz w:val="44"/>
      <w:szCs w:val="60"/>
      <w:shd w:val="clear" w:color="auto" w:fill="E8E8E8" w:themeFill="accent4" w:themeFillTint="33"/>
    </w:rPr>
  </w:style>
  <w:style w:type="paragraph" w:customStyle="1" w:styleId="EmphasisDarkGrey">
    <w:name w:val="Emphasis Dark Grey"/>
    <w:basedOn w:val="Normal"/>
    <w:link w:val="EmphasisDarkGreyChar"/>
    <w:qFormat/>
    <w:rsid w:val="002C6528"/>
    <w:pPr>
      <w:tabs>
        <w:tab w:val="clear" w:pos="280"/>
        <w:tab w:val="clear" w:pos="4800"/>
        <w:tab w:val="clear" w:pos="5780"/>
      </w:tabs>
      <w:suppressAutoHyphens w:val="0"/>
      <w:autoSpaceDE/>
      <w:autoSpaceDN/>
      <w:adjustRightInd/>
      <w:spacing w:after="120" w:line="264" w:lineRule="auto"/>
      <w:textAlignment w:val="auto"/>
    </w:pPr>
    <w:rPr>
      <w:color w:val="4D4D4D"/>
    </w:rPr>
  </w:style>
  <w:style w:type="character" w:customStyle="1" w:styleId="EmphasisDarkGreyChar">
    <w:name w:val="Emphasis Dark Grey Char"/>
    <w:basedOn w:val="DefaultParagraphFont"/>
    <w:link w:val="EmphasisDarkGrey"/>
    <w:rsid w:val="002C6528"/>
    <w:rPr>
      <w:rFonts w:cs="Calibri"/>
      <w:color w:val="4D4D4D"/>
      <w:szCs w:val="18"/>
    </w:rPr>
  </w:style>
  <w:style w:type="paragraph" w:customStyle="1" w:styleId="EmphasisLightGrey">
    <w:name w:val="Emphasis Light Grey"/>
    <w:basedOn w:val="Normal"/>
    <w:link w:val="EmphasisLightGreyChar"/>
    <w:qFormat/>
    <w:rsid w:val="002C6528"/>
    <w:pPr>
      <w:tabs>
        <w:tab w:val="clear" w:pos="280"/>
        <w:tab w:val="clear" w:pos="4800"/>
        <w:tab w:val="clear" w:pos="5780"/>
      </w:tabs>
      <w:suppressAutoHyphens w:val="0"/>
      <w:autoSpaceDE/>
      <w:autoSpaceDN/>
      <w:adjustRightInd/>
      <w:spacing w:after="120" w:line="264" w:lineRule="auto"/>
      <w:textAlignment w:val="auto"/>
    </w:pPr>
    <w:rPr>
      <w:color w:val="86868A"/>
    </w:rPr>
  </w:style>
  <w:style w:type="character" w:customStyle="1" w:styleId="EmphasisLightGreyChar">
    <w:name w:val="Emphasis Light Grey Char"/>
    <w:basedOn w:val="DefaultParagraphFont"/>
    <w:link w:val="EmphasisLightGrey"/>
    <w:rsid w:val="002C6528"/>
    <w:rPr>
      <w:rFonts w:cs="Calibri"/>
      <w:color w:val="86868A"/>
      <w:szCs w:val="18"/>
    </w:rPr>
  </w:style>
  <w:style w:type="paragraph" w:styleId="Caption">
    <w:name w:val="caption"/>
    <w:basedOn w:val="Normal"/>
    <w:next w:val="BodyEE"/>
    <w:uiPriority w:val="35"/>
    <w:unhideWhenUsed/>
    <w:qFormat/>
    <w:rsid w:val="00755AB2"/>
    <w:pPr>
      <w:keepNext/>
      <w:spacing w:after="200" w:line="240" w:lineRule="auto"/>
    </w:pPr>
    <w:rPr>
      <w:b/>
      <w:bCs/>
      <w:sz w:val="20"/>
    </w:rPr>
  </w:style>
  <w:style w:type="paragraph" w:customStyle="1" w:styleId="SectionDividerGrey">
    <w:name w:val="Section Divider Grey"/>
    <w:basedOn w:val="SectionDividerDarkGrey"/>
    <w:link w:val="SectionDividerGreyChar"/>
    <w:qFormat/>
    <w:rsid w:val="00073F88"/>
    <w:rPr>
      <w:color w:val="D2D3D2" w:themeColor="accent6"/>
    </w:rPr>
  </w:style>
  <w:style w:type="character" w:customStyle="1" w:styleId="SectionDividerGreyChar">
    <w:name w:val="Section Divider Grey Char"/>
    <w:basedOn w:val="SectionDividerDarkGreyChar"/>
    <w:link w:val="SectionDividerGrey"/>
    <w:rsid w:val="00073F88"/>
    <w:rPr>
      <w:rFonts w:asciiTheme="majorHAnsi" w:eastAsiaTheme="majorEastAsia" w:hAnsiTheme="majorHAnsi" w:cstheme="majorBidi"/>
      <w:noProof/>
      <w:color w:val="D2D3D2" w:themeColor="accent6"/>
      <w:spacing w:val="5"/>
      <w:kern w:val="28"/>
      <w:sz w:val="52"/>
      <w:szCs w:val="52"/>
      <w:lang w:eastAsia="en-GB"/>
    </w:rPr>
  </w:style>
  <w:style w:type="paragraph" w:customStyle="1" w:styleId="SectionDividerPink">
    <w:name w:val="Section Divider Pink"/>
    <w:basedOn w:val="SectionDividerGrey"/>
    <w:link w:val="SectionDividerPinkChar"/>
    <w:qFormat/>
    <w:rsid w:val="00073F88"/>
    <w:rPr>
      <w:color w:val="C64187" w:themeColor="accent2"/>
    </w:rPr>
  </w:style>
  <w:style w:type="character" w:customStyle="1" w:styleId="SectionDividerPinkChar">
    <w:name w:val="Section Divider Pink Char"/>
    <w:basedOn w:val="SectionDividerGreyChar"/>
    <w:link w:val="SectionDividerPink"/>
    <w:rsid w:val="00073F88"/>
    <w:rPr>
      <w:rFonts w:asciiTheme="majorHAnsi" w:eastAsiaTheme="majorEastAsia" w:hAnsiTheme="majorHAnsi" w:cstheme="majorBidi"/>
      <w:noProof/>
      <w:color w:val="C64187" w:themeColor="accent2"/>
      <w:spacing w:val="5"/>
      <w:kern w:val="28"/>
      <w:sz w:val="52"/>
      <w:szCs w:val="52"/>
      <w:lang w:eastAsia="en-GB"/>
    </w:rPr>
  </w:style>
  <w:style w:type="paragraph" w:customStyle="1" w:styleId="SectionDividerDarkPink">
    <w:name w:val="Section Divider Dark Pink"/>
    <w:basedOn w:val="SectionDividerPink"/>
    <w:link w:val="SectionDividerDarkPinkChar"/>
    <w:qFormat/>
    <w:rsid w:val="00073F88"/>
    <w:rPr>
      <w:color w:val="972D65" w:themeColor="accent2" w:themeShade="BF"/>
    </w:rPr>
  </w:style>
  <w:style w:type="character" w:customStyle="1" w:styleId="SectionDividerDarkPinkChar">
    <w:name w:val="Section Divider Dark Pink Char"/>
    <w:basedOn w:val="SectionDividerPinkChar"/>
    <w:link w:val="SectionDividerDarkPink"/>
    <w:rsid w:val="00073F88"/>
    <w:rPr>
      <w:rFonts w:asciiTheme="majorHAnsi" w:eastAsiaTheme="majorEastAsia" w:hAnsiTheme="majorHAnsi" w:cstheme="majorBidi"/>
      <w:noProof/>
      <w:color w:val="972D65" w:themeColor="accent2" w:themeShade="BF"/>
      <w:spacing w:val="5"/>
      <w:kern w:val="28"/>
      <w:sz w:val="52"/>
      <w:szCs w:val="52"/>
      <w:lang w:eastAsia="en-GB"/>
    </w:rPr>
  </w:style>
  <w:style w:type="paragraph" w:customStyle="1" w:styleId="Tablelastnote">
    <w:name w:val="Table last note"/>
    <w:basedOn w:val="Tablenote"/>
    <w:link w:val="TablelastnoteChar"/>
    <w:qFormat/>
    <w:rsid w:val="008546BD"/>
    <w:pPr>
      <w:keepNext w:val="0"/>
      <w:spacing w:after="120"/>
    </w:pPr>
  </w:style>
  <w:style w:type="character" w:customStyle="1" w:styleId="TablelastnoteChar">
    <w:name w:val="Table last note Char"/>
    <w:basedOn w:val="TablenoteChar"/>
    <w:link w:val="Tablelastnote"/>
    <w:rsid w:val="008546BD"/>
    <w:rPr>
      <w:rFonts w:cs="Calibri"/>
      <w:color w:val="38383A" w:themeColor="text2"/>
      <w:sz w:val="16"/>
      <w:szCs w:val="16"/>
    </w:rPr>
  </w:style>
  <w:style w:type="table" w:styleId="LightShading">
    <w:name w:val="Light Shading"/>
    <w:basedOn w:val="TableNormal"/>
    <w:uiPriority w:val="60"/>
    <w:rsid w:val="00BC604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cPr>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Bullet">
    <w:name w:val="List Bullet"/>
    <w:basedOn w:val="Normal"/>
    <w:rsid w:val="009142D4"/>
    <w:pPr>
      <w:tabs>
        <w:tab w:val="clear" w:pos="280"/>
        <w:tab w:val="clear" w:pos="4800"/>
        <w:tab w:val="clear" w:pos="5780"/>
        <w:tab w:val="num" w:pos="1080"/>
      </w:tabs>
      <w:suppressAutoHyphens w:val="0"/>
      <w:autoSpaceDE/>
      <w:autoSpaceDN/>
      <w:adjustRightInd/>
      <w:spacing w:after="240" w:line="271" w:lineRule="auto"/>
      <w:ind w:left="1080" w:hanging="360"/>
      <w:textAlignment w:val="auto"/>
    </w:pPr>
    <w:rPr>
      <w:rFonts w:ascii="Arial" w:eastAsia="Times New Roman" w:hAnsi="Arial" w:cs="Times New Roman"/>
      <w:color w:val="auto"/>
      <w:spacing w:val="-5"/>
      <w:kern w:val="22"/>
      <w:szCs w:val="20"/>
    </w:rPr>
  </w:style>
  <w:style w:type="paragraph" w:styleId="ListBullet2">
    <w:name w:val="List Bullet 2"/>
    <w:basedOn w:val="Normal"/>
    <w:rsid w:val="009142D4"/>
    <w:pPr>
      <w:numPr>
        <w:numId w:val="7"/>
      </w:numPr>
      <w:tabs>
        <w:tab w:val="clear" w:pos="280"/>
        <w:tab w:val="clear" w:pos="4800"/>
        <w:tab w:val="clear" w:pos="5780"/>
      </w:tabs>
      <w:suppressAutoHyphens w:val="0"/>
      <w:autoSpaceDE/>
      <w:autoSpaceDN/>
      <w:adjustRightInd/>
      <w:spacing w:after="240" w:line="271" w:lineRule="auto"/>
      <w:textAlignment w:val="auto"/>
    </w:pPr>
    <w:rPr>
      <w:rFonts w:ascii="Arial" w:eastAsia="Times New Roman" w:hAnsi="Arial" w:cs="Times New Roman"/>
      <w:color w:val="auto"/>
      <w:spacing w:val="-5"/>
      <w:kern w:val="22"/>
      <w:szCs w:val="20"/>
    </w:rPr>
  </w:style>
  <w:style w:type="paragraph" w:customStyle="1" w:styleId="ExecutiveSummary">
    <w:name w:val="Executive Summary"/>
    <w:basedOn w:val="Normal"/>
    <w:rsid w:val="009142D4"/>
    <w:pPr>
      <w:numPr>
        <w:numId w:val="6"/>
      </w:numPr>
      <w:tabs>
        <w:tab w:val="clear" w:pos="280"/>
        <w:tab w:val="clear" w:pos="4800"/>
        <w:tab w:val="clear" w:pos="5780"/>
      </w:tabs>
      <w:suppressAutoHyphens w:val="0"/>
      <w:autoSpaceDE/>
      <w:autoSpaceDN/>
      <w:adjustRightInd/>
      <w:spacing w:after="240" w:line="271" w:lineRule="auto"/>
      <w:textAlignment w:val="auto"/>
    </w:pPr>
    <w:rPr>
      <w:rFonts w:ascii="Arial" w:eastAsia="Times New Roman" w:hAnsi="Arial" w:cs="Times New Roman"/>
      <w:color w:val="auto"/>
      <w:spacing w:val="-5"/>
      <w:kern w:val="22"/>
      <w:szCs w:val="20"/>
    </w:rPr>
  </w:style>
  <w:style w:type="paragraph" w:customStyle="1" w:styleId="Table">
    <w:name w:val="Table"/>
    <w:basedOn w:val="BodyText"/>
    <w:rsid w:val="009142D4"/>
    <w:pPr>
      <w:keepNext/>
      <w:keepLines/>
      <w:tabs>
        <w:tab w:val="clear" w:pos="280"/>
        <w:tab w:val="clear" w:pos="4800"/>
        <w:tab w:val="clear" w:pos="5780"/>
      </w:tabs>
      <w:suppressAutoHyphens w:val="0"/>
      <w:autoSpaceDE/>
      <w:autoSpaceDN/>
      <w:adjustRightInd/>
      <w:spacing w:before="40" w:after="40" w:line="240" w:lineRule="auto"/>
      <w:textAlignment w:val="auto"/>
    </w:pPr>
    <w:rPr>
      <w:rFonts w:ascii="Arial" w:eastAsia="Times New Roman" w:hAnsi="Arial" w:cs="Times New Roman"/>
      <w:color w:val="auto"/>
      <w:spacing w:val="-4"/>
      <w:kern w:val="20"/>
      <w:sz w:val="20"/>
      <w:szCs w:val="20"/>
    </w:rPr>
  </w:style>
  <w:style w:type="paragraph" w:customStyle="1" w:styleId="TableLastNote0">
    <w:name w:val="Table Last Note"/>
    <w:basedOn w:val="Normal"/>
    <w:rsid w:val="009142D4"/>
    <w:pPr>
      <w:keepLines/>
      <w:tabs>
        <w:tab w:val="clear" w:pos="280"/>
        <w:tab w:val="clear" w:pos="4800"/>
        <w:tab w:val="clear" w:pos="5780"/>
      </w:tabs>
      <w:suppressAutoHyphens w:val="0"/>
      <w:autoSpaceDE/>
      <w:autoSpaceDN/>
      <w:adjustRightInd/>
      <w:spacing w:before="40" w:after="240" w:line="240" w:lineRule="auto"/>
      <w:textAlignment w:val="auto"/>
    </w:pPr>
    <w:rPr>
      <w:rFonts w:ascii="Arial" w:eastAsia="Times New Roman" w:hAnsi="Arial" w:cs="Times New Roman"/>
      <w:i/>
      <w:color w:val="auto"/>
      <w:spacing w:val="-5"/>
      <w:kern w:val="22"/>
      <w:sz w:val="16"/>
      <w:szCs w:val="20"/>
    </w:rPr>
  </w:style>
  <w:style w:type="paragraph" w:customStyle="1" w:styleId="TableNotes">
    <w:name w:val="Table Notes"/>
    <w:basedOn w:val="Normal"/>
    <w:rsid w:val="009142D4"/>
    <w:pPr>
      <w:keepNext/>
      <w:keepLines/>
      <w:tabs>
        <w:tab w:val="clear" w:pos="280"/>
        <w:tab w:val="clear" w:pos="4800"/>
        <w:tab w:val="clear" w:pos="5780"/>
      </w:tabs>
      <w:suppressAutoHyphens w:val="0"/>
      <w:autoSpaceDE/>
      <w:autoSpaceDN/>
      <w:adjustRightInd/>
      <w:spacing w:before="40" w:after="40" w:line="240" w:lineRule="auto"/>
      <w:textAlignment w:val="auto"/>
    </w:pPr>
    <w:rPr>
      <w:rFonts w:ascii="Arial" w:eastAsia="Times New Roman" w:hAnsi="Arial" w:cs="Times New Roman"/>
      <w:i/>
      <w:color w:val="auto"/>
      <w:spacing w:val="-5"/>
      <w:kern w:val="22"/>
      <w:sz w:val="16"/>
      <w:szCs w:val="20"/>
    </w:rPr>
  </w:style>
  <w:style w:type="paragraph" w:styleId="BodyText">
    <w:name w:val="Body Text"/>
    <w:basedOn w:val="Normal"/>
    <w:link w:val="BodyTextChar"/>
    <w:uiPriority w:val="99"/>
    <w:semiHidden/>
    <w:unhideWhenUsed/>
    <w:rsid w:val="009142D4"/>
    <w:pPr>
      <w:spacing w:after="120"/>
    </w:pPr>
  </w:style>
  <w:style w:type="character" w:customStyle="1" w:styleId="BodyTextChar">
    <w:name w:val="Body Text Char"/>
    <w:basedOn w:val="DefaultParagraphFont"/>
    <w:link w:val="BodyText"/>
    <w:uiPriority w:val="99"/>
    <w:semiHidden/>
    <w:rsid w:val="009142D4"/>
    <w:rPr>
      <w:rFonts w:cs="Calibri"/>
      <w:color w:val="38383A" w:themeColor="text2"/>
      <w:szCs w:val="18"/>
    </w:rPr>
  </w:style>
  <w:style w:type="character" w:styleId="CommentReference">
    <w:name w:val="annotation reference"/>
    <w:basedOn w:val="DefaultParagraphFont"/>
    <w:uiPriority w:val="99"/>
    <w:semiHidden/>
    <w:unhideWhenUsed/>
    <w:rsid w:val="00625CA6"/>
    <w:rPr>
      <w:sz w:val="16"/>
      <w:szCs w:val="16"/>
    </w:rPr>
  </w:style>
  <w:style w:type="paragraph" w:styleId="CommentText">
    <w:name w:val="annotation text"/>
    <w:basedOn w:val="Normal"/>
    <w:link w:val="CommentTextChar"/>
    <w:uiPriority w:val="99"/>
    <w:unhideWhenUsed/>
    <w:rsid w:val="00625CA6"/>
    <w:pPr>
      <w:spacing w:line="240" w:lineRule="auto"/>
    </w:pPr>
    <w:rPr>
      <w:sz w:val="20"/>
      <w:szCs w:val="20"/>
    </w:rPr>
  </w:style>
  <w:style w:type="character" w:customStyle="1" w:styleId="CommentTextChar">
    <w:name w:val="Comment Text Char"/>
    <w:basedOn w:val="DefaultParagraphFont"/>
    <w:link w:val="CommentText"/>
    <w:uiPriority w:val="99"/>
    <w:rsid w:val="00625CA6"/>
    <w:rPr>
      <w:rFonts w:cs="Calibri"/>
      <w:color w:val="38383A" w:themeColor="text2"/>
      <w:sz w:val="20"/>
      <w:szCs w:val="20"/>
    </w:rPr>
  </w:style>
  <w:style w:type="paragraph" w:styleId="CommentSubject">
    <w:name w:val="annotation subject"/>
    <w:basedOn w:val="CommentText"/>
    <w:next w:val="CommentText"/>
    <w:link w:val="CommentSubjectChar"/>
    <w:uiPriority w:val="99"/>
    <w:semiHidden/>
    <w:unhideWhenUsed/>
    <w:rsid w:val="00625CA6"/>
    <w:rPr>
      <w:b/>
      <w:bCs/>
    </w:rPr>
  </w:style>
  <w:style w:type="character" w:customStyle="1" w:styleId="CommentSubjectChar">
    <w:name w:val="Comment Subject Char"/>
    <w:basedOn w:val="CommentTextChar"/>
    <w:link w:val="CommentSubject"/>
    <w:uiPriority w:val="99"/>
    <w:semiHidden/>
    <w:rsid w:val="00625CA6"/>
    <w:rPr>
      <w:rFonts w:cs="Calibri"/>
      <w:b/>
      <w:bCs/>
      <w:color w:val="38383A" w:themeColor="text2"/>
      <w:sz w:val="20"/>
      <w:szCs w:val="20"/>
    </w:rPr>
  </w:style>
  <w:style w:type="table" w:styleId="MediumList2-Accent1">
    <w:name w:val="Medium List 2 Accent 1"/>
    <w:basedOn w:val="TableNormal"/>
    <w:uiPriority w:val="66"/>
    <w:rsid w:val="009240ED"/>
    <w:pPr>
      <w:spacing w:after="0" w:line="240" w:lineRule="auto"/>
    </w:pPr>
    <w:rPr>
      <w:rFonts w:asciiTheme="majorHAnsi" w:eastAsiaTheme="majorEastAsia" w:hAnsiTheme="majorHAnsi" w:cstheme="majorBidi"/>
      <w:color w:val="000000" w:themeColor="text1"/>
      <w:lang w:val="en-US" w:eastAsia="ja-JP"/>
    </w:rPr>
    <w:tblPr>
      <w:tblStyleRowBandSize w:val="1"/>
      <w:tblStyleColBandSize w:val="1"/>
      <w:tblBorders>
        <w:top w:val="single" w:sz="8" w:space="0" w:color="683493" w:themeColor="accent1"/>
        <w:left w:val="single" w:sz="8" w:space="0" w:color="683493" w:themeColor="accent1"/>
        <w:bottom w:val="single" w:sz="8" w:space="0" w:color="683493" w:themeColor="accent1"/>
        <w:right w:val="single" w:sz="8" w:space="0" w:color="683493" w:themeColor="accent1"/>
      </w:tblBorders>
    </w:tblPr>
    <w:tblStylePr w:type="firstRow">
      <w:rPr>
        <w:sz w:val="24"/>
        <w:szCs w:val="24"/>
      </w:rPr>
      <w:tblPr/>
      <w:tcPr>
        <w:tcBorders>
          <w:top w:val="nil"/>
          <w:left w:val="nil"/>
          <w:bottom w:val="single" w:sz="24" w:space="0" w:color="683493" w:themeColor="accent1"/>
          <w:right w:val="nil"/>
          <w:insideH w:val="nil"/>
          <w:insideV w:val="nil"/>
        </w:tcBorders>
        <w:shd w:val="clear" w:color="auto" w:fill="FFFFFF" w:themeFill="background1"/>
      </w:tcPr>
    </w:tblStylePr>
    <w:tblStylePr w:type="lastRow">
      <w:tblPr/>
      <w:tcPr>
        <w:tcBorders>
          <w:top w:val="single" w:sz="8" w:space="0" w:color="68349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83493" w:themeColor="accent1"/>
          <w:insideH w:val="nil"/>
          <w:insideV w:val="nil"/>
        </w:tcBorders>
        <w:shd w:val="clear" w:color="auto" w:fill="FFFFFF" w:themeFill="background1"/>
      </w:tcPr>
    </w:tblStylePr>
    <w:tblStylePr w:type="lastCol">
      <w:tblPr/>
      <w:tcPr>
        <w:tcBorders>
          <w:top w:val="nil"/>
          <w:left w:val="single" w:sz="8" w:space="0" w:color="68349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C6EB" w:themeFill="accent1" w:themeFillTint="3F"/>
      </w:tcPr>
    </w:tblStylePr>
    <w:tblStylePr w:type="band1Horz">
      <w:tblPr/>
      <w:tcPr>
        <w:tcBorders>
          <w:top w:val="nil"/>
          <w:bottom w:val="nil"/>
          <w:insideH w:val="nil"/>
          <w:insideV w:val="nil"/>
        </w:tcBorders>
        <w:shd w:val="clear" w:color="auto" w:fill="DAC6EB"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Revision">
    <w:name w:val="Revision"/>
    <w:hidden/>
    <w:uiPriority w:val="99"/>
    <w:semiHidden/>
    <w:rsid w:val="0019290D"/>
    <w:pPr>
      <w:spacing w:after="0" w:line="240" w:lineRule="auto"/>
    </w:pPr>
    <w:rPr>
      <w:rFonts w:cs="Calibri"/>
      <w:color w:val="38383A" w:themeColor="text2"/>
      <w:szCs w:val="18"/>
    </w:rPr>
  </w:style>
  <w:style w:type="paragraph" w:customStyle="1" w:styleId="Footnote">
    <w:name w:val="Footnote"/>
    <w:basedOn w:val="FootnoteText"/>
    <w:link w:val="FootnoteChar"/>
    <w:qFormat/>
    <w:rsid w:val="00152212"/>
    <w:pPr>
      <w:numPr>
        <w:ilvl w:val="1"/>
      </w:numPr>
      <w:tabs>
        <w:tab w:val="clear" w:pos="280"/>
        <w:tab w:val="left" w:pos="709"/>
      </w:tabs>
      <w:ind w:left="284" w:hanging="284"/>
    </w:pPr>
  </w:style>
  <w:style w:type="paragraph" w:customStyle="1" w:styleId="LongQuotePurple">
    <w:name w:val="Long Quote Purple"/>
    <w:basedOn w:val="QuotePurplebox"/>
    <w:link w:val="LongQuotePurpleChar"/>
    <w:qFormat/>
    <w:rsid w:val="00205DCE"/>
    <w:pPr>
      <w:ind w:right="1418"/>
      <w:contextualSpacing/>
    </w:pPr>
    <w:rPr>
      <w:sz w:val="24"/>
      <w:szCs w:val="24"/>
    </w:rPr>
  </w:style>
  <w:style w:type="character" w:customStyle="1" w:styleId="FootnoteChar">
    <w:name w:val="Footnote Char"/>
    <w:basedOn w:val="FootnoteTextChar"/>
    <w:link w:val="Footnote"/>
    <w:rsid w:val="00152212"/>
    <w:rPr>
      <w:rFonts w:cs="Calibri"/>
      <w:color w:val="38383A" w:themeColor="text2"/>
      <w:sz w:val="20"/>
      <w:szCs w:val="20"/>
    </w:rPr>
  </w:style>
  <w:style w:type="paragraph" w:customStyle="1" w:styleId="LongQuoteBlue">
    <w:name w:val="Long Quote Blue"/>
    <w:basedOn w:val="QuoteBluebox"/>
    <w:link w:val="LongQuoteBlueChar"/>
    <w:qFormat/>
    <w:rsid w:val="00774763"/>
    <w:rPr>
      <w:sz w:val="24"/>
      <w:szCs w:val="24"/>
    </w:rPr>
  </w:style>
  <w:style w:type="character" w:customStyle="1" w:styleId="LongQuotePurpleChar">
    <w:name w:val="Long Quote Purple Char"/>
    <w:basedOn w:val="QuotePurpleboxChar"/>
    <w:link w:val="LongQuotePurple"/>
    <w:rsid w:val="00205DCE"/>
    <w:rPr>
      <w:rFonts w:asciiTheme="majorHAnsi" w:hAnsiTheme="majorHAnsi"/>
      <w:color w:val="683493" w:themeColor="accent1"/>
      <w:sz w:val="24"/>
      <w:szCs w:val="24"/>
      <w:shd w:val="clear" w:color="auto" w:fill="E8E8E8" w:themeFill="accent4" w:themeFillTint="33"/>
    </w:rPr>
  </w:style>
  <w:style w:type="paragraph" w:customStyle="1" w:styleId="LongQuoteDarkGrey">
    <w:name w:val="Long Quote Dark Grey"/>
    <w:basedOn w:val="QuoteDarkGreybox"/>
    <w:link w:val="LongQuoteDarkGreyChar"/>
    <w:qFormat/>
    <w:rsid w:val="00774763"/>
    <w:rPr>
      <w:sz w:val="24"/>
      <w:szCs w:val="24"/>
    </w:rPr>
  </w:style>
  <w:style w:type="character" w:customStyle="1" w:styleId="LongQuoteBlueChar">
    <w:name w:val="Long Quote Blue Char"/>
    <w:basedOn w:val="QuoteBlueboxChar"/>
    <w:link w:val="LongQuoteBlue"/>
    <w:rsid w:val="00774763"/>
    <w:rPr>
      <w:rFonts w:asciiTheme="majorHAnsi" w:hAnsiTheme="majorHAnsi"/>
      <w:color w:val="18416A" w:themeColor="accent5"/>
      <w:sz w:val="24"/>
      <w:szCs w:val="24"/>
      <w:shd w:val="clear" w:color="auto" w:fill="E8E8E8" w:themeFill="accent4" w:themeFillTint="33"/>
    </w:rPr>
  </w:style>
  <w:style w:type="paragraph" w:customStyle="1" w:styleId="LongQuoteDarkPink">
    <w:name w:val="Long Quote Dark Pink"/>
    <w:basedOn w:val="QuoteDarkPinkbox"/>
    <w:link w:val="LongQuoteDarkPinkChar"/>
    <w:qFormat/>
    <w:rsid w:val="00774763"/>
    <w:rPr>
      <w:sz w:val="24"/>
      <w:szCs w:val="24"/>
    </w:rPr>
  </w:style>
  <w:style w:type="character" w:customStyle="1" w:styleId="LongQuoteDarkGreyChar">
    <w:name w:val="Long Quote Dark Grey Char"/>
    <w:basedOn w:val="QuoteDarkGreyboxChar"/>
    <w:link w:val="LongQuoteDarkGrey"/>
    <w:rsid w:val="00774763"/>
    <w:rPr>
      <w:rFonts w:asciiTheme="majorHAnsi" w:hAnsiTheme="majorHAnsi"/>
      <w:color w:val="4D4D4D"/>
      <w:sz w:val="24"/>
      <w:szCs w:val="24"/>
      <w:shd w:val="clear" w:color="auto" w:fill="E8E8E8" w:themeFill="accent4" w:themeFillTint="33"/>
    </w:rPr>
  </w:style>
  <w:style w:type="paragraph" w:customStyle="1" w:styleId="LongQuoteGrey">
    <w:name w:val="Long Quote Grey"/>
    <w:basedOn w:val="QuoteGreybox"/>
    <w:link w:val="LongQuoteGreyChar"/>
    <w:qFormat/>
    <w:rsid w:val="00774763"/>
    <w:rPr>
      <w:sz w:val="24"/>
      <w:szCs w:val="24"/>
    </w:rPr>
  </w:style>
  <w:style w:type="character" w:customStyle="1" w:styleId="LongQuoteDarkPinkChar">
    <w:name w:val="Long Quote Dark Pink Char"/>
    <w:basedOn w:val="QuoteDarkPinkboxChar"/>
    <w:link w:val="LongQuoteDarkPink"/>
    <w:rsid w:val="00774763"/>
    <w:rPr>
      <w:rFonts w:asciiTheme="majorHAnsi" w:hAnsiTheme="majorHAnsi"/>
      <w:color w:val="972D65" w:themeColor="accent2" w:themeShade="BF"/>
      <w:sz w:val="24"/>
      <w:szCs w:val="24"/>
      <w:shd w:val="clear" w:color="auto" w:fill="E8E8E8" w:themeFill="accent4" w:themeFillTint="33"/>
    </w:rPr>
  </w:style>
  <w:style w:type="paragraph" w:customStyle="1" w:styleId="LongQuotePink">
    <w:name w:val="Long Quote Pink"/>
    <w:basedOn w:val="QuotePinkbox"/>
    <w:link w:val="LongQuotePinkChar"/>
    <w:qFormat/>
    <w:rsid w:val="00FE3668"/>
    <w:pPr>
      <w:ind w:right="1418"/>
      <w:contextualSpacing/>
    </w:pPr>
    <w:rPr>
      <w:sz w:val="24"/>
      <w:szCs w:val="24"/>
    </w:rPr>
  </w:style>
  <w:style w:type="character" w:customStyle="1" w:styleId="LongQuoteGreyChar">
    <w:name w:val="Long Quote Grey Char"/>
    <w:basedOn w:val="QuoteGreyboxChar"/>
    <w:link w:val="LongQuoteGrey"/>
    <w:rsid w:val="00774763"/>
    <w:rPr>
      <w:rFonts w:asciiTheme="majorHAnsi" w:hAnsiTheme="majorHAnsi"/>
      <w:color w:val="9C9E9C" w:themeColor="accent6" w:themeShade="BF"/>
      <w:sz w:val="24"/>
      <w:szCs w:val="24"/>
      <w:shd w:val="clear" w:color="auto" w:fill="E8E8E8" w:themeFill="accent4" w:themeFillTint="33"/>
    </w:rPr>
  </w:style>
  <w:style w:type="character" w:customStyle="1" w:styleId="LongQuotePinkChar">
    <w:name w:val="Long Quote Pink Char"/>
    <w:basedOn w:val="QuotePinkboxChar"/>
    <w:link w:val="LongQuotePink"/>
    <w:rsid w:val="00FE3668"/>
    <w:rPr>
      <w:rFonts w:asciiTheme="majorHAnsi" w:hAnsiTheme="majorHAnsi"/>
      <w:color w:val="C64187" w:themeColor="accent2"/>
      <w:sz w:val="24"/>
      <w:szCs w:val="24"/>
      <w:shd w:val="clear" w:color="auto" w:fill="E8E8E8" w:themeFill="accent4" w:themeFillTint="33"/>
    </w:rPr>
  </w:style>
  <w:style w:type="paragraph" w:styleId="EndnoteText">
    <w:name w:val="endnote text"/>
    <w:basedOn w:val="Normal"/>
    <w:link w:val="EndnoteTextChar"/>
    <w:uiPriority w:val="99"/>
    <w:semiHidden/>
    <w:unhideWhenUsed/>
    <w:rsid w:val="00255B2F"/>
    <w:pPr>
      <w:spacing w:line="240" w:lineRule="auto"/>
    </w:pPr>
    <w:rPr>
      <w:sz w:val="20"/>
      <w:szCs w:val="20"/>
    </w:rPr>
  </w:style>
  <w:style w:type="character" w:customStyle="1" w:styleId="EndnoteTextChar">
    <w:name w:val="Endnote Text Char"/>
    <w:basedOn w:val="DefaultParagraphFont"/>
    <w:link w:val="EndnoteText"/>
    <w:uiPriority w:val="99"/>
    <w:semiHidden/>
    <w:rsid w:val="00255B2F"/>
    <w:rPr>
      <w:rFonts w:cs="Calibri"/>
      <w:color w:val="38383A" w:themeColor="text2"/>
      <w:sz w:val="20"/>
      <w:szCs w:val="20"/>
    </w:rPr>
  </w:style>
  <w:style w:type="character" w:styleId="EndnoteReference">
    <w:name w:val="endnote reference"/>
    <w:basedOn w:val="DefaultParagraphFont"/>
    <w:uiPriority w:val="99"/>
    <w:semiHidden/>
    <w:unhideWhenUsed/>
    <w:rsid w:val="00255B2F"/>
    <w:rPr>
      <w:vertAlign w:val="superscript"/>
    </w:rPr>
  </w:style>
  <w:style w:type="character" w:styleId="FollowedHyperlink">
    <w:name w:val="FollowedHyperlink"/>
    <w:basedOn w:val="DefaultParagraphFont"/>
    <w:uiPriority w:val="99"/>
    <w:semiHidden/>
    <w:unhideWhenUsed/>
    <w:rsid w:val="00255B2F"/>
    <w:rPr>
      <w:color w:val="C64187" w:themeColor="followedHyperlink"/>
      <w:u w:val="single"/>
    </w:rPr>
  </w:style>
  <w:style w:type="character" w:styleId="Emphasis">
    <w:name w:val="Emphasis"/>
    <w:basedOn w:val="DefaultParagraphFont"/>
    <w:uiPriority w:val="20"/>
    <w:qFormat/>
    <w:rsid w:val="000F3843"/>
    <w:rPr>
      <w:i/>
      <w:iCs/>
    </w:rPr>
  </w:style>
  <w:style w:type="paragraph" w:customStyle="1" w:styleId="Default">
    <w:name w:val="Default"/>
    <w:rsid w:val="00B81FDA"/>
    <w:pPr>
      <w:autoSpaceDE w:val="0"/>
      <w:autoSpaceDN w:val="0"/>
      <w:adjustRightInd w:val="0"/>
      <w:spacing w:after="0" w:line="240" w:lineRule="auto"/>
    </w:pPr>
    <w:rPr>
      <w:rFonts w:ascii="Calibri" w:hAnsi="Calibri" w:cs="Calibri"/>
      <w:color w:val="000000"/>
      <w:sz w:val="24"/>
      <w:szCs w:val="24"/>
    </w:rPr>
  </w:style>
  <w:style w:type="character" w:styleId="Strong">
    <w:name w:val="Strong"/>
    <w:basedOn w:val="DefaultParagraphFont"/>
    <w:uiPriority w:val="22"/>
    <w:qFormat/>
    <w:rsid w:val="00AC0CDC"/>
    <w:rPr>
      <w:b/>
      <w:bCs/>
    </w:rPr>
  </w:style>
  <w:style w:type="character" w:styleId="HTMLCite">
    <w:name w:val="HTML Cite"/>
    <w:basedOn w:val="DefaultParagraphFont"/>
    <w:uiPriority w:val="99"/>
    <w:semiHidden/>
    <w:unhideWhenUsed/>
    <w:rsid w:val="00DB47DB"/>
    <w:rPr>
      <w:i/>
      <w:iCs/>
    </w:rPr>
  </w:style>
  <w:style w:type="table" w:customStyle="1" w:styleId="GridTable1Light-Accent11">
    <w:name w:val="Grid Table 1 Light - Accent 11"/>
    <w:basedOn w:val="TableNormal"/>
    <w:uiPriority w:val="46"/>
    <w:rsid w:val="00894E82"/>
    <w:pPr>
      <w:spacing w:after="0" w:line="240" w:lineRule="auto"/>
    </w:pPr>
    <w:tblPr>
      <w:tblStyleRowBandSize w:val="1"/>
      <w:tblStyleColBandSize w:val="1"/>
      <w:tblBorders>
        <w:top w:val="single" w:sz="4" w:space="0" w:color="C3A2DE" w:themeColor="accent1" w:themeTint="66"/>
        <w:left w:val="single" w:sz="4" w:space="0" w:color="C3A2DE" w:themeColor="accent1" w:themeTint="66"/>
        <w:bottom w:val="single" w:sz="4" w:space="0" w:color="C3A2DE" w:themeColor="accent1" w:themeTint="66"/>
        <w:right w:val="single" w:sz="4" w:space="0" w:color="C3A2DE" w:themeColor="accent1" w:themeTint="66"/>
        <w:insideH w:val="single" w:sz="4" w:space="0" w:color="C3A2DE" w:themeColor="accent1" w:themeTint="66"/>
        <w:insideV w:val="single" w:sz="4" w:space="0" w:color="C3A2DE" w:themeColor="accent1" w:themeTint="66"/>
      </w:tblBorders>
    </w:tblPr>
    <w:tblStylePr w:type="firstRow">
      <w:rPr>
        <w:b/>
        <w:bCs/>
      </w:rPr>
      <w:tblPr/>
      <w:tcPr>
        <w:tcBorders>
          <w:bottom w:val="single" w:sz="12" w:space="0" w:color="A575CE" w:themeColor="accent1" w:themeTint="99"/>
        </w:tcBorders>
      </w:tcPr>
    </w:tblStylePr>
    <w:tblStylePr w:type="lastRow">
      <w:rPr>
        <w:b/>
        <w:bCs/>
      </w:rPr>
      <w:tblPr/>
      <w:tcPr>
        <w:tcBorders>
          <w:top w:val="double" w:sz="2" w:space="0" w:color="A575CE" w:themeColor="accent1" w:themeTint="99"/>
        </w:tcBorders>
      </w:tcPr>
    </w:tblStylePr>
    <w:tblStylePr w:type="firstCol">
      <w:rPr>
        <w:b/>
        <w:bCs/>
      </w:rPr>
    </w:tblStylePr>
    <w:tblStylePr w:type="lastCol">
      <w:rPr>
        <w:b/>
        <w:bCs/>
      </w:rPr>
    </w:tblStylePr>
  </w:style>
  <w:style w:type="paragraph" w:styleId="TOC4">
    <w:name w:val="toc 4"/>
    <w:basedOn w:val="Normal"/>
    <w:next w:val="Normal"/>
    <w:autoRedefine/>
    <w:uiPriority w:val="39"/>
    <w:unhideWhenUsed/>
    <w:rsid w:val="00C17FD6"/>
    <w:pPr>
      <w:tabs>
        <w:tab w:val="clear" w:pos="280"/>
        <w:tab w:val="clear" w:pos="4800"/>
        <w:tab w:val="clear" w:pos="5780"/>
      </w:tabs>
      <w:suppressAutoHyphens w:val="0"/>
      <w:autoSpaceDE/>
      <w:autoSpaceDN/>
      <w:adjustRightInd/>
      <w:spacing w:after="100" w:line="259" w:lineRule="auto"/>
      <w:ind w:left="660"/>
      <w:jc w:val="left"/>
      <w:textAlignment w:val="auto"/>
    </w:pPr>
    <w:rPr>
      <w:rFonts w:eastAsiaTheme="minorEastAsia" w:cstheme="minorBidi"/>
      <w:color w:val="auto"/>
      <w:szCs w:val="22"/>
      <w:lang w:eastAsia="en-GB"/>
    </w:rPr>
  </w:style>
  <w:style w:type="paragraph" w:styleId="TOC5">
    <w:name w:val="toc 5"/>
    <w:basedOn w:val="Normal"/>
    <w:next w:val="Normal"/>
    <w:autoRedefine/>
    <w:uiPriority w:val="39"/>
    <w:unhideWhenUsed/>
    <w:rsid w:val="00C17FD6"/>
    <w:pPr>
      <w:tabs>
        <w:tab w:val="clear" w:pos="280"/>
        <w:tab w:val="clear" w:pos="4800"/>
        <w:tab w:val="clear" w:pos="5780"/>
      </w:tabs>
      <w:suppressAutoHyphens w:val="0"/>
      <w:autoSpaceDE/>
      <w:autoSpaceDN/>
      <w:adjustRightInd/>
      <w:spacing w:after="100" w:line="259" w:lineRule="auto"/>
      <w:ind w:left="880"/>
      <w:jc w:val="left"/>
      <w:textAlignment w:val="auto"/>
    </w:pPr>
    <w:rPr>
      <w:rFonts w:eastAsiaTheme="minorEastAsia" w:cstheme="minorBidi"/>
      <w:color w:val="auto"/>
      <w:szCs w:val="22"/>
      <w:lang w:eastAsia="en-GB"/>
    </w:rPr>
  </w:style>
  <w:style w:type="paragraph" w:styleId="TOC6">
    <w:name w:val="toc 6"/>
    <w:basedOn w:val="Normal"/>
    <w:next w:val="Normal"/>
    <w:autoRedefine/>
    <w:uiPriority w:val="39"/>
    <w:unhideWhenUsed/>
    <w:rsid w:val="00C17FD6"/>
    <w:pPr>
      <w:tabs>
        <w:tab w:val="clear" w:pos="280"/>
        <w:tab w:val="clear" w:pos="4800"/>
        <w:tab w:val="clear" w:pos="5780"/>
      </w:tabs>
      <w:suppressAutoHyphens w:val="0"/>
      <w:autoSpaceDE/>
      <w:autoSpaceDN/>
      <w:adjustRightInd/>
      <w:spacing w:after="100" w:line="259" w:lineRule="auto"/>
      <w:ind w:left="1100"/>
      <w:jc w:val="left"/>
      <w:textAlignment w:val="auto"/>
    </w:pPr>
    <w:rPr>
      <w:rFonts w:eastAsiaTheme="minorEastAsia" w:cstheme="minorBidi"/>
      <w:color w:val="auto"/>
      <w:szCs w:val="22"/>
      <w:lang w:eastAsia="en-GB"/>
    </w:rPr>
  </w:style>
  <w:style w:type="paragraph" w:styleId="TOC7">
    <w:name w:val="toc 7"/>
    <w:basedOn w:val="Normal"/>
    <w:next w:val="Normal"/>
    <w:autoRedefine/>
    <w:uiPriority w:val="39"/>
    <w:unhideWhenUsed/>
    <w:rsid w:val="00C17FD6"/>
    <w:pPr>
      <w:tabs>
        <w:tab w:val="clear" w:pos="280"/>
        <w:tab w:val="clear" w:pos="4800"/>
        <w:tab w:val="clear" w:pos="5780"/>
      </w:tabs>
      <w:suppressAutoHyphens w:val="0"/>
      <w:autoSpaceDE/>
      <w:autoSpaceDN/>
      <w:adjustRightInd/>
      <w:spacing w:after="100" w:line="259" w:lineRule="auto"/>
      <w:ind w:left="1320"/>
      <w:jc w:val="left"/>
      <w:textAlignment w:val="auto"/>
    </w:pPr>
    <w:rPr>
      <w:rFonts w:eastAsiaTheme="minorEastAsia" w:cstheme="minorBidi"/>
      <w:color w:val="auto"/>
      <w:szCs w:val="22"/>
      <w:lang w:eastAsia="en-GB"/>
    </w:rPr>
  </w:style>
  <w:style w:type="paragraph" w:styleId="TOC8">
    <w:name w:val="toc 8"/>
    <w:basedOn w:val="Normal"/>
    <w:next w:val="Normal"/>
    <w:autoRedefine/>
    <w:uiPriority w:val="39"/>
    <w:unhideWhenUsed/>
    <w:rsid w:val="00C17FD6"/>
    <w:pPr>
      <w:tabs>
        <w:tab w:val="clear" w:pos="280"/>
        <w:tab w:val="clear" w:pos="4800"/>
        <w:tab w:val="clear" w:pos="5780"/>
      </w:tabs>
      <w:suppressAutoHyphens w:val="0"/>
      <w:autoSpaceDE/>
      <w:autoSpaceDN/>
      <w:adjustRightInd/>
      <w:spacing w:after="100" w:line="259" w:lineRule="auto"/>
      <w:ind w:left="1540"/>
      <w:jc w:val="left"/>
      <w:textAlignment w:val="auto"/>
    </w:pPr>
    <w:rPr>
      <w:rFonts w:eastAsiaTheme="minorEastAsia" w:cstheme="minorBidi"/>
      <w:color w:val="auto"/>
      <w:szCs w:val="22"/>
      <w:lang w:eastAsia="en-GB"/>
    </w:rPr>
  </w:style>
  <w:style w:type="paragraph" w:styleId="TOC9">
    <w:name w:val="toc 9"/>
    <w:basedOn w:val="Normal"/>
    <w:next w:val="Normal"/>
    <w:autoRedefine/>
    <w:uiPriority w:val="39"/>
    <w:unhideWhenUsed/>
    <w:rsid w:val="00C17FD6"/>
    <w:pPr>
      <w:tabs>
        <w:tab w:val="clear" w:pos="280"/>
        <w:tab w:val="clear" w:pos="4800"/>
        <w:tab w:val="clear" w:pos="5780"/>
      </w:tabs>
      <w:suppressAutoHyphens w:val="0"/>
      <w:autoSpaceDE/>
      <w:autoSpaceDN/>
      <w:adjustRightInd/>
      <w:spacing w:after="100" w:line="259" w:lineRule="auto"/>
      <w:ind w:left="1760"/>
      <w:jc w:val="left"/>
      <w:textAlignment w:val="auto"/>
    </w:pPr>
    <w:rPr>
      <w:rFonts w:eastAsiaTheme="minorEastAsia" w:cstheme="minorBidi"/>
      <w:color w:val="auto"/>
      <w:szCs w:val="22"/>
      <w:lang w:eastAsia="en-GB"/>
    </w:rPr>
  </w:style>
  <w:style w:type="character" w:customStyle="1" w:styleId="UnresolvedMention1">
    <w:name w:val="Unresolved Mention1"/>
    <w:basedOn w:val="DefaultParagraphFont"/>
    <w:uiPriority w:val="99"/>
    <w:semiHidden/>
    <w:unhideWhenUsed/>
    <w:rsid w:val="00CC21D5"/>
    <w:rPr>
      <w:color w:val="808080"/>
      <w:shd w:val="clear" w:color="auto" w:fill="E6E6E6"/>
    </w:rPr>
  </w:style>
  <w:style w:type="paragraph" w:styleId="NormalWeb">
    <w:name w:val="Normal (Web)"/>
    <w:basedOn w:val="Normal"/>
    <w:uiPriority w:val="99"/>
    <w:semiHidden/>
    <w:unhideWhenUsed/>
    <w:rsid w:val="00C34CFE"/>
    <w:pPr>
      <w:tabs>
        <w:tab w:val="clear" w:pos="280"/>
        <w:tab w:val="clear" w:pos="4800"/>
        <w:tab w:val="clear" w:pos="5780"/>
      </w:tabs>
      <w:suppressAutoHyphens w:val="0"/>
      <w:autoSpaceDE/>
      <w:autoSpaceDN/>
      <w:adjustRightInd/>
      <w:spacing w:before="100" w:beforeAutospacing="1" w:after="100" w:afterAutospacing="1" w:line="240" w:lineRule="auto"/>
      <w:jc w:val="left"/>
      <w:textAlignment w:val="auto"/>
    </w:pPr>
    <w:rPr>
      <w:rFonts w:ascii="Times New Roman" w:eastAsia="Times New Roman" w:hAnsi="Times New Roman" w:cs="Times New Roman"/>
      <w:color w:val="auto"/>
      <w:sz w:val="24"/>
      <w:szCs w:val="24"/>
      <w:lang w:eastAsia="en-GB"/>
    </w:rPr>
  </w:style>
  <w:style w:type="table" w:customStyle="1" w:styleId="LightShading-Accent111">
    <w:name w:val="Light Shading - Accent 111"/>
    <w:basedOn w:val="TableNormal"/>
    <w:uiPriority w:val="60"/>
    <w:rsid w:val="00192837"/>
    <w:pPr>
      <w:suppressLineNumbers/>
      <w:spacing w:after="0" w:line="240" w:lineRule="atLeast"/>
    </w:pPr>
    <w:rPr>
      <w:color w:val="4D276E"/>
    </w:rPr>
    <w:tblPr>
      <w:tblStyleRowBandSize w:val="1"/>
      <w:tblStyleColBandSize w:val="1"/>
      <w:tblBorders>
        <w:top w:val="single" w:sz="8" w:space="0" w:color="683493"/>
        <w:bottom w:val="single" w:sz="8" w:space="0" w:color="683493"/>
      </w:tblBorders>
    </w:tblPr>
    <w:tcPr>
      <w:vAlign w:val="center"/>
    </w:tcPr>
    <w:tblStylePr w:type="firstRow">
      <w:pPr>
        <w:spacing w:before="0" w:after="0" w:line="240" w:lineRule="auto"/>
      </w:pPr>
      <w:rPr>
        <w:b/>
        <w:bCs/>
      </w:rPr>
      <w:tblPr/>
      <w:tcPr>
        <w:tcBorders>
          <w:top w:val="single" w:sz="8" w:space="0" w:color="683493"/>
          <w:left w:val="nil"/>
          <w:bottom w:val="single" w:sz="8" w:space="0" w:color="683493"/>
          <w:right w:val="nil"/>
          <w:insideH w:val="nil"/>
          <w:insideV w:val="nil"/>
        </w:tcBorders>
      </w:tcPr>
    </w:tblStylePr>
    <w:tblStylePr w:type="lastRow">
      <w:pPr>
        <w:wordWrap/>
        <w:spacing w:before="0" w:beforeAutospacing="0" w:after="0" w:afterAutospacing="0" w:line="240" w:lineRule="atLeast"/>
        <w:ind w:rightChars="0" w:right="0"/>
        <w:contextualSpacing w:val="0"/>
        <w:mirrorIndents w:val="0"/>
      </w:pPr>
      <w:rPr>
        <w:b/>
        <w:bCs/>
      </w:rPr>
      <w:tblPr/>
      <w:tcPr>
        <w:tcBorders>
          <w:top w:val="single" w:sz="8" w:space="0" w:color="683493"/>
          <w:left w:val="nil"/>
          <w:bottom w:val="single" w:sz="8" w:space="0" w:color="68349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C6EB"/>
      </w:tcPr>
    </w:tblStylePr>
    <w:tblStylePr w:type="band1Horz">
      <w:tblPr/>
      <w:tcPr>
        <w:tcBorders>
          <w:left w:val="nil"/>
          <w:right w:val="nil"/>
          <w:insideH w:val="nil"/>
          <w:insideV w:val="nil"/>
        </w:tcBorders>
        <w:shd w:val="clear" w:color="auto" w:fill="DAC6EB"/>
      </w:tcPr>
    </w:tblStylePr>
    <w:tblStylePr w:type="band2Horz">
      <w:pPr>
        <w:wordWrap/>
        <w:spacing w:beforeLines="0" w:before="0" w:beforeAutospacing="0" w:afterLines="0" w:after="0" w:afterAutospacing="0" w:line="240" w:lineRule="atLeast"/>
      </w:pPr>
      <w:tblPr>
        <w:tblCellMar>
          <w:top w:w="0" w:type="dxa"/>
          <w:left w:w="85" w:type="dxa"/>
          <w:bottom w:w="0" w:type="dxa"/>
          <w:right w:w="85" w:type="dxa"/>
        </w:tblCellMar>
      </w:tblPr>
    </w:tblStylePr>
  </w:style>
  <w:style w:type="table" w:customStyle="1" w:styleId="LightShading-Accent112">
    <w:name w:val="Light Shading - Accent 112"/>
    <w:basedOn w:val="TableNormal"/>
    <w:uiPriority w:val="60"/>
    <w:rsid w:val="00192837"/>
    <w:pPr>
      <w:suppressLineNumbers/>
      <w:spacing w:after="0" w:line="240" w:lineRule="atLeast"/>
    </w:pPr>
    <w:rPr>
      <w:color w:val="4D276E"/>
    </w:rPr>
    <w:tblPr>
      <w:tblStyleRowBandSize w:val="1"/>
      <w:tblStyleColBandSize w:val="1"/>
      <w:tblBorders>
        <w:top w:val="single" w:sz="8" w:space="0" w:color="683493"/>
        <w:bottom w:val="single" w:sz="8" w:space="0" w:color="683493"/>
      </w:tblBorders>
    </w:tblPr>
    <w:tcPr>
      <w:vAlign w:val="center"/>
    </w:tcPr>
    <w:tblStylePr w:type="firstRow">
      <w:pPr>
        <w:spacing w:before="0" w:after="0" w:line="240" w:lineRule="auto"/>
      </w:pPr>
      <w:rPr>
        <w:b/>
        <w:bCs/>
      </w:rPr>
      <w:tblPr/>
      <w:tcPr>
        <w:tcBorders>
          <w:top w:val="single" w:sz="8" w:space="0" w:color="683493"/>
          <w:left w:val="nil"/>
          <w:bottom w:val="single" w:sz="8" w:space="0" w:color="683493"/>
          <w:right w:val="nil"/>
          <w:insideH w:val="nil"/>
          <w:insideV w:val="nil"/>
        </w:tcBorders>
      </w:tcPr>
    </w:tblStylePr>
    <w:tblStylePr w:type="lastRow">
      <w:pPr>
        <w:wordWrap/>
        <w:spacing w:before="0" w:beforeAutospacing="0" w:after="0" w:afterAutospacing="0" w:line="240" w:lineRule="atLeast"/>
        <w:ind w:rightChars="0" w:right="0"/>
        <w:contextualSpacing w:val="0"/>
        <w:mirrorIndents w:val="0"/>
      </w:pPr>
      <w:rPr>
        <w:b/>
        <w:bCs/>
      </w:rPr>
      <w:tblPr/>
      <w:tcPr>
        <w:tcBorders>
          <w:top w:val="single" w:sz="8" w:space="0" w:color="683493"/>
          <w:left w:val="nil"/>
          <w:bottom w:val="single" w:sz="8" w:space="0" w:color="68349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C6EB"/>
      </w:tcPr>
    </w:tblStylePr>
    <w:tblStylePr w:type="band1Horz">
      <w:tblPr/>
      <w:tcPr>
        <w:tcBorders>
          <w:left w:val="nil"/>
          <w:right w:val="nil"/>
          <w:insideH w:val="nil"/>
          <w:insideV w:val="nil"/>
        </w:tcBorders>
        <w:shd w:val="clear" w:color="auto" w:fill="DAC6EB"/>
      </w:tcPr>
    </w:tblStylePr>
    <w:tblStylePr w:type="band2Horz">
      <w:pPr>
        <w:wordWrap/>
        <w:spacing w:beforeLines="0" w:before="0" w:beforeAutospacing="0" w:afterLines="0" w:after="0" w:afterAutospacing="0" w:line="240" w:lineRule="atLeast"/>
      </w:pPr>
      <w:tblPr>
        <w:tblCellMar>
          <w:top w:w="0" w:type="dxa"/>
          <w:left w:w="85" w:type="dxa"/>
          <w:bottom w:w="0" w:type="dxa"/>
          <w:right w:w="85" w:type="dxa"/>
        </w:tblCellMar>
      </w:tblPr>
    </w:tblStylePr>
  </w:style>
  <w:style w:type="table" w:customStyle="1" w:styleId="LightShading-Accent113">
    <w:name w:val="Light Shading - Accent 113"/>
    <w:basedOn w:val="TableNormal"/>
    <w:uiPriority w:val="60"/>
    <w:rsid w:val="00192837"/>
    <w:pPr>
      <w:suppressLineNumbers/>
      <w:spacing w:after="0" w:line="240" w:lineRule="atLeast"/>
    </w:pPr>
    <w:rPr>
      <w:color w:val="4D276E"/>
    </w:rPr>
    <w:tblPr>
      <w:tblStyleRowBandSize w:val="1"/>
      <w:tblStyleColBandSize w:val="1"/>
      <w:tblBorders>
        <w:top w:val="single" w:sz="8" w:space="0" w:color="683493"/>
        <w:bottom w:val="single" w:sz="8" w:space="0" w:color="683493"/>
      </w:tblBorders>
    </w:tblPr>
    <w:tcPr>
      <w:vAlign w:val="center"/>
    </w:tcPr>
    <w:tblStylePr w:type="firstRow">
      <w:pPr>
        <w:spacing w:before="0" w:after="0" w:line="240" w:lineRule="auto"/>
      </w:pPr>
      <w:rPr>
        <w:b/>
        <w:bCs/>
      </w:rPr>
      <w:tblPr/>
      <w:tcPr>
        <w:tcBorders>
          <w:top w:val="single" w:sz="8" w:space="0" w:color="683493"/>
          <w:left w:val="nil"/>
          <w:bottom w:val="single" w:sz="8" w:space="0" w:color="683493"/>
          <w:right w:val="nil"/>
          <w:insideH w:val="nil"/>
          <w:insideV w:val="nil"/>
        </w:tcBorders>
      </w:tcPr>
    </w:tblStylePr>
    <w:tblStylePr w:type="lastRow">
      <w:pPr>
        <w:wordWrap/>
        <w:spacing w:before="0" w:beforeAutospacing="0" w:after="0" w:afterAutospacing="0" w:line="240" w:lineRule="atLeast"/>
        <w:ind w:rightChars="0" w:right="0"/>
        <w:contextualSpacing w:val="0"/>
        <w:mirrorIndents w:val="0"/>
      </w:pPr>
      <w:rPr>
        <w:b/>
        <w:bCs/>
      </w:rPr>
      <w:tblPr/>
      <w:tcPr>
        <w:tcBorders>
          <w:top w:val="single" w:sz="8" w:space="0" w:color="683493"/>
          <w:left w:val="nil"/>
          <w:bottom w:val="single" w:sz="8" w:space="0" w:color="68349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C6EB"/>
      </w:tcPr>
    </w:tblStylePr>
    <w:tblStylePr w:type="band1Horz">
      <w:tblPr/>
      <w:tcPr>
        <w:tcBorders>
          <w:left w:val="nil"/>
          <w:right w:val="nil"/>
          <w:insideH w:val="nil"/>
          <w:insideV w:val="nil"/>
        </w:tcBorders>
        <w:shd w:val="clear" w:color="auto" w:fill="DAC6EB"/>
      </w:tcPr>
    </w:tblStylePr>
    <w:tblStylePr w:type="band2Horz">
      <w:pPr>
        <w:wordWrap/>
        <w:spacing w:beforeLines="0" w:before="0" w:beforeAutospacing="0" w:afterLines="0" w:after="0" w:afterAutospacing="0" w:line="240" w:lineRule="atLeast"/>
      </w:pPr>
      <w:tblPr>
        <w:tblCellMar>
          <w:top w:w="0" w:type="dxa"/>
          <w:left w:w="85" w:type="dxa"/>
          <w:bottom w:w="0" w:type="dxa"/>
          <w:right w:w="85" w:type="dxa"/>
        </w:tblCellMar>
      </w:tblPr>
    </w:tblStylePr>
  </w:style>
  <w:style w:type="character" w:customStyle="1" w:styleId="UnresolvedMention2">
    <w:name w:val="Unresolved Mention2"/>
    <w:basedOn w:val="DefaultParagraphFont"/>
    <w:uiPriority w:val="99"/>
    <w:semiHidden/>
    <w:unhideWhenUsed/>
    <w:rsid w:val="008A6841"/>
    <w:rPr>
      <w:color w:val="808080"/>
      <w:shd w:val="clear" w:color="auto" w:fill="E6E6E6"/>
    </w:rPr>
  </w:style>
  <w:style w:type="table" w:styleId="LightGrid-Accent1">
    <w:name w:val="Light Grid Accent 1"/>
    <w:basedOn w:val="TableNormal"/>
    <w:uiPriority w:val="62"/>
    <w:rsid w:val="008C0FFA"/>
    <w:pPr>
      <w:spacing w:after="0" w:line="240" w:lineRule="auto"/>
    </w:pPr>
    <w:tblPr>
      <w:tblStyleRowBandSize w:val="1"/>
      <w:tblStyleColBandSize w:val="1"/>
      <w:tblBorders>
        <w:top w:val="single" w:sz="8" w:space="0" w:color="683493" w:themeColor="accent1"/>
        <w:left w:val="single" w:sz="8" w:space="0" w:color="683493" w:themeColor="accent1"/>
        <w:bottom w:val="single" w:sz="8" w:space="0" w:color="683493" w:themeColor="accent1"/>
        <w:right w:val="single" w:sz="8" w:space="0" w:color="683493" w:themeColor="accent1"/>
        <w:insideH w:val="single" w:sz="8" w:space="0" w:color="683493" w:themeColor="accent1"/>
        <w:insideV w:val="single" w:sz="8" w:space="0" w:color="68349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83493" w:themeColor="accent1"/>
          <w:left w:val="single" w:sz="8" w:space="0" w:color="683493" w:themeColor="accent1"/>
          <w:bottom w:val="single" w:sz="18" w:space="0" w:color="683493" w:themeColor="accent1"/>
          <w:right w:val="single" w:sz="8" w:space="0" w:color="683493" w:themeColor="accent1"/>
          <w:insideH w:val="nil"/>
          <w:insideV w:val="single" w:sz="8" w:space="0" w:color="68349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83493" w:themeColor="accent1"/>
          <w:left w:val="single" w:sz="8" w:space="0" w:color="683493" w:themeColor="accent1"/>
          <w:bottom w:val="single" w:sz="8" w:space="0" w:color="683493" w:themeColor="accent1"/>
          <w:right w:val="single" w:sz="8" w:space="0" w:color="683493" w:themeColor="accent1"/>
          <w:insideH w:val="nil"/>
          <w:insideV w:val="single" w:sz="8" w:space="0" w:color="68349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83493" w:themeColor="accent1"/>
          <w:left w:val="single" w:sz="8" w:space="0" w:color="683493" w:themeColor="accent1"/>
          <w:bottom w:val="single" w:sz="8" w:space="0" w:color="683493" w:themeColor="accent1"/>
          <w:right w:val="single" w:sz="8" w:space="0" w:color="683493" w:themeColor="accent1"/>
        </w:tcBorders>
      </w:tcPr>
    </w:tblStylePr>
    <w:tblStylePr w:type="band1Vert">
      <w:tblPr/>
      <w:tcPr>
        <w:tcBorders>
          <w:top w:val="single" w:sz="8" w:space="0" w:color="683493" w:themeColor="accent1"/>
          <w:left w:val="single" w:sz="8" w:space="0" w:color="683493" w:themeColor="accent1"/>
          <w:bottom w:val="single" w:sz="8" w:space="0" w:color="683493" w:themeColor="accent1"/>
          <w:right w:val="single" w:sz="8" w:space="0" w:color="683493" w:themeColor="accent1"/>
        </w:tcBorders>
        <w:shd w:val="clear" w:color="auto" w:fill="DAC6EB" w:themeFill="accent1" w:themeFillTint="3F"/>
      </w:tcPr>
    </w:tblStylePr>
    <w:tblStylePr w:type="band1Horz">
      <w:tblPr/>
      <w:tcPr>
        <w:tcBorders>
          <w:top w:val="single" w:sz="8" w:space="0" w:color="683493" w:themeColor="accent1"/>
          <w:left w:val="single" w:sz="8" w:space="0" w:color="683493" w:themeColor="accent1"/>
          <w:bottom w:val="single" w:sz="8" w:space="0" w:color="683493" w:themeColor="accent1"/>
          <w:right w:val="single" w:sz="8" w:space="0" w:color="683493" w:themeColor="accent1"/>
          <w:insideV w:val="single" w:sz="8" w:space="0" w:color="683493" w:themeColor="accent1"/>
        </w:tcBorders>
        <w:shd w:val="clear" w:color="auto" w:fill="DAC6EB" w:themeFill="accent1" w:themeFillTint="3F"/>
      </w:tcPr>
    </w:tblStylePr>
    <w:tblStylePr w:type="band2Horz">
      <w:tblPr/>
      <w:tcPr>
        <w:tcBorders>
          <w:top w:val="single" w:sz="8" w:space="0" w:color="683493" w:themeColor="accent1"/>
          <w:left w:val="single" w:sz="8" w:space="0" w:color="683493" w:themeColor="accent1"/>
          <w:bottom w:val="single" w:sz="8" w:space="0" w:color="683493" w:themeColor="accent1"/>
          <w:right w:val="single" w:sz="8" w:space="0" w:color="683493" w:themeColor="accent1"/>
          <w:insideV w:val="single" w:sz="8" w:space="0" w:color="683493"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74423">
      <w:bodyDiv w:val="1"/>
      <w:marLeft w:val="0"/>
      <w:marRight w:val="0"/>
      <w:marTop w:val="0"/>
      <w:marBottom w:val="0"/>
      <w:divBdr>
        <w:top w:val="none" w:sz="0" w:space="0" w:color="auto"/>
        <w:left w:val="none" w:sz="0" w:space="0" w:color="auto"/>
        <w:bottom w:val="none" w:sz="0" w:space="0" w:color="auto"/>
        <w:right w:val="none" w:sz="0" w:space="0" w:color="auto"/>
      </w:divBdr>
    </w:div>
    <w:div w:id="153230336">
      <w:bodyDiv w:val="1"/>
      <w:marLeft w:val="0"/>
      <w:marRight w:val="0"/>
      <w:marTop w:val="0"/>
      <w:marBottom w:val="0"/>
      <w:divBdr>
        <w:top w:val="none" w:sz="0" w:space="0" w:color="auto"/>
        <w:left w:val="none" w:sz="0" w:space="0" w:color="auto"/>
        <w:bottom w:val="none" w:sz="0" w:space="0" w:color="auto"/>
        <w:right w:val="none" w:sz="0" w:space="0" w:color="auto"/>
      </w:divBdr>
    </w:div>
    <w:div w:id="399062751">
      <w:bodyDiv w:val="1"/>
      <w:marLeft w:val="0"/>
      <w:marRight w:val="0"/>
      <w:marTop w:val="0"/>
      <w:marBottom w:val="0"/>
      <w:divBdr>
        <w:top w:val="none" w:sz="0" w:space="0" w:color="auto"/>
        <w:left w:val="none" w:sz="0" w:space="0" w:color="auto"/>
        <w:bottom w:val="none" w:sz="0" w:space="0" w:color="auto"/>
        <w:right w:val="none" w:sz="0" w:space="0" w:color="auto"/>
      </w:divBdr>
    </w:div>
    <w:div w:id="410007046">
      <w:bodyDiv w:val="1"/>
      <w:marLeft w:val="0"/>
      <w:marRight w:val="0"/>
      <w:marTop w:val="0"/>
      <w:marBottom w:val="0"/>
      <w:divBdr>
        <w:top w:val="none" w:sz="0" w:space="0" w:color="auto"/>
        <w:left w:val="none" w:sz="0" w:space="0" w:color="auto"/>
        <w:bottom w:val="none" w:sz="0" w:space="0" w:color="auto"/>
        <w:right w:val="none" w:sz="0" w:space="0" w:color="auto"/>
      </w:divBdr>
    </w:div>
    <w:div w:id="514002273">
      <w:bodyDiv w:val="1"/>
      <w:marLeft w:val="0"/>
      <w:marRight w:val="0"/>
      <w:marTop w:val="0"/>
      <w:marBottom w:val="0"/>
      <w:divBdr>
        <w:top w:val="none" w:sz="0" w:space="0" w:color="auto"/>
        <w:left w:val="none" w:sz="0" w:space="0" w:color="auto"/>
        <w:bottom w:val="none" w:sz="0" w:space="0" w:color="auto"/>
        <w:right w:val="none" w:sz="0" w:space="0" w:color="auto"/>
      </w:divBdr>
    </w:div>
    <w:div w:id="574239802">
      <w:bodyDiv w:val="1"/>
      <w:marLeft w:val="0"/>
      <w:marRight w:val="0"/>
      <w:marTop w:val="0"/>
      <w:marBottom w:val="0"/>
      <w:divBdr>
        <w:top w:val="none" w:sz="0" w:space="0" w:color="auto"/>
        <w:left w:val="none" w:sz="0" w:space="0" w:color="auto"/>
        <w:bottom w:val="none" w:sz="0" w:space="0" w:color="auto"/>
        <w:right w:val="none" w:sz="0" w:space="0" w:color="auto"/>
      </w:divBdr>
    </w:div>
    <w:div w:id="590625866">
      <w:bodyDiv w:val="1"/>
      <w:marLeft w:val="0"/>
      <w:marRight w:val="0"/>
      <w:marTop w:val="0"/>
      <w:marBottom w:val="0"/>
      <w:divBdr>
        <w:top w:val="none" w:sz="0" w:space="0" w:color="auto"/>
        <w:left w:val="none" w:sz="0" w:space="0" w:color="auto"/>
        <w:bottom w:val="none" w:sz="0" w:space="0" w:color="auto"/>
        <w:right w:val="none" w:sz="0" w:space="0" w:color="auto"/>
      </w:divBdr>
    </w:div>
    <w:div w:id="1080102238">
      <w:bodyDiv w:val="1"/>
      <w:marLeft w:val="0"/>
      <w:marRight w:val="0"/>
      <w:marTop w:val="0"/>
      <w:marBottom w:val="0"/>
      <w:divBdr>
        <w:top w:val="none" w:sz="0" w:space="0" w:color="auto"/>
        <w:left w:val="none" w:sz="0" w:space="0" w:color="auto"/>
        <w:bottom w:val="none" w:sz="0" w:space="0" w:color="auto"/>
        <w:right w:val="none" w:sz="0" w:space="0" w:color="auto"/>
      </w:divBdr>
    </w:div>
    <w:div w:id="1254320275">
      <w:bodyDiv w:val="1"/>
      <w:marLeft w:val="0"/>
      <w:marRight w:val="0"/>
      <w:marTop w:val="0"/>
      <w:marBottom w:val="0"/>
      <w:divBdr>
        <w:top w:val="none" w:sz="0" w:space="0" w:color="auto"/>
        <w:left w:val="none" w:sz="0" w:space="0" w:color="auto"/>
        <w:bottom w:val="none" w:sz="0" w:space="0" w:color="auto"/>
        <w:right w:val="none" w:sz="0" w:space="0" w:color="auto"/>
      </w:divBdr>
    </w:div>
    <w:div w:id="1301038267">
      <w:bodyDiv w:val="1"/>
      <w:marLeft w:val="0"/>
      <w:marRight w:val="0"/>
      <w:marTop w:val="0"/>
      <w:marBottom w:val="0"/>
      <w:divBdr>
        <w:top w:val="none" w:sz="0" w:space="0" w:color="auto"/>
        <w:left w:val="none" w:sz="0" w:space="0" w:color="auto"/>
        <w:bottom w:val="none" w:sz="0" w:space="0" w:color="auto"/>
        <w:right w:val="none" w:sz="0" w:space="0" w:color="auto"/>
      </w:divBdr>
    </w:div>
    <w:div w:id="1460108832">
      <w:bodyDiv w:val="1"/>
      <w:marLeft w:val="0"/>
      <w:marRight w:val="0"/>
      <w:marTop w:val="0"/>
      <w:marBottom w:val="0"/>
      <w:divBdr>
        <w:top w:val="none" w:sz="0" w:space="0" w:color="auto"/>
        <w:left w:val="none" w:sz="0" w:space="0" w:color="auto"/>
        <w:bottom w:val="none" w:sz="0" w:space="0" w:color="auto"/>
        <w:right w:val="none" w:sz="0" w:space="0" w:color="auto"/>
      </w:divBdr>
    </w:div>
    <w:div w:id="1489590893">
      <w:bodyDiv w:val="1"/>
      <w:marLeft w:val="0"/>
      <w:marRight w:val="0"/>
      <w:marTop w:val="0"/>
      <w:marBottom w:val="0"/>
      <w:divBdr>
        <w:top w:val="none" w:sz="0" w:space="0" w:color="auto"/>
        <w:left w:val="none" w:sz="0" w:space="0" w:color="auto"/>
        <w:bottom w:val="none" w:sz="0" w:space="0" w:color="auto"/>
        <w:right w:val="none" w:sz="0" w:space="0" w:color="auto"/>
      </w:divBdr>
      <w:divsChild>
        <w:div w:id="1931356262">
          <w:marLeft w:val="45"/>
          <w:marRight w:val="45"/>
          <w:marTop w:val="15"/>
          <w:marBottom w:val="0"/>
          <w:divBdr>
            <w:top w:val="none" w:sz="0" w:space="0" w:color="auto"/>
            <w:left w:val="none" w:sz="0" w:space="0" w:color="auto"/>
            <w:bottom w:val="none" w:sz="0" w:space="0" w:color="auto"/>
            <w:right w:val="none" w:sz="0" w:space="0" w:color="auto"/>
          </w:divBdr>
          <w:divsChild>
            <w:div w:id="172983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467936">
      <w:bodyDiv w:val="1"/>
      <w:marLeft w:val="0"/>
      <w:marRight w:val="0"/>
      <w:marTop w:val="0"/>
      <w:marBottom w:val="0"/>
      <w:divBdr>
        <w:top w:val="none" w:sz="0" w:space="0" w:color="auto"/>
        <w:left w:val="none" w:sz="0" w:space="0" w:color="auto"/>
        <w:bottom w:val="none" w:sz="0" w:space="0" w:color="auto"/>
        <w:right w:val="none" w:sz="0" w:space="0" w:color="auto"/>
      </w:divBdr>
    </w:div>
    <w:div w:id="1789855995">
      <w:bodyDiv w:val="1"/>
      <w:marLeft w:val="0"/>
      <w:marRight w:val="0"/>
      <w:marTop w:val="0"/>
      <w:marBottom w:val="0"/>
      <w:divBdr>
        <w:top w:val="none" w:sz="0" w:space="0" w:color="auto"/>
        <w:left w:val="none" w:sz="0" w:space="0" w:color="auto"/>
        <w:bottom w:val="none" w:sz="0" w:space="0" w:color="auto"/>
        <w:right w:val="none" w:sz="0" w:space="0" w:color="auto"/>
      </w:divBdr>
    </w:div>
    <w:div w:id="1806005407">
      <w:bodyDiv w:val="1"/>
      <w:marLeft w:val="0"/>
      <w:marRight w:val="0"/>
      <w:marTop w:val="0"/>
      <w:marBottom w:val="0"/>
      <w:divBdr>
        <w:top w:val="none" w:sz="0" w:space="0" w:color="auto"/>
        <w:left w:val="none" w:sz="0" w:space="0" w:color="auto"/>
        <w:bottom w:val="none" w:sz="0" w:space="0" w:color="auto"/>
        <w:right w:val="none" w:sz="0" w:space="0" w:color="auto"/>
      </w:divBdr>
      <w:divsChild>
        <w:div w:id="441804609">
          <w:marLeft w:val="0"/>
          <w:marRight w:val="0"/>
          <w:marTop w:val="0"/>
          <w:marBottom w:val="0"/>
          <w:divBdr>
            <w:top w:val="none" w:sz="0" w:space="0" w:color="auto"/>
            <w:left w:val="none" w:sz="0" w:space="0" w:color="auto"/>
            <w:bottom w:val="none" w:sz="0" w:space="0" w:color="auto"/>
            <w:right w:val="none" w:sz="0" w:space="0" w:color="auto"/>
          </w:divBdr>
        </w:div>
        <w:div w:id="1164122158">
          <w:marLeft w:val="0"/>
          <w:marRight w:val="0"/>
          <w:marTop w:val="0"/>
          <w:marBottom w:val="0"/>
          <w:divBdr>
            <w:top w:val="none" w:sz="0" w:space="0" w:color="auto"/>
            <w:left w:val="none" w:sz="0" w:space="0" w:color="auto"/>
            <w:bottom w:val="none" w:sz="0" w:space="0" w:color="auto"/>
            <w:right w:val="none" w:sz="0" w:space="0" w:color="auto"/>
          </w:divBdr>
        </w:div>
        <w:div w:id="1244484216">
          <w:marLeft w:val="0"/>
          <w:marRight w:val="0"/>
          <w:marTop w:val="0"/>
          <w:marBottom w:val="0"/>
          <w:divBdr>
            <w:top w:val="none" w:sz="0" w:space="0" w:color="auto"/>
            <w:left w:val="none" w:sz="0" w:space="0" w:color="auto"/>
            <w:bottom w:val="none" w:sz="0" w:space="0" w:color="auto"/>
            <w:right w:val="none" w:sz="0" w:space="0" w:color="auto"/>
          </w:divBdr>
        </w:div>
        <w:div w:id="1258905056">
          <w:marLeft w:val="0"/>
          <w:marRight w:val="0"/>
          <w:marTop w:val="0"/>
          <w:marBottom w:val="0"/>
          <w:divBdr>
            <w:top w:val="none" w:sz="0" w:space="0" w:color="auto"/>
            <w:left w:val="none" w:sz="0" w:space="0" w:color="auto"/>
            <w:bottom w:val="none" w:sz="0" w:space="0" w:color="auto"/>
            <w:right w:val="none" w:sz="0" w:space="0" w:color="auto"/>
          </w:divBdr>
        </w:div>
        <w:div w:id="2001734882">
          <w:marLeft w:val="0"/>
          <w:marRight w:val="0"/>
          <w:marTop w:val="0"/>
          <w:marBottom w:val="0"/>
          <w:divBdr>
            <w:top w:val="none" w:sz="0" w:space="0" w:color="auto"/>
            <w:left w:val="none" w:sz="0" w:space="0" w:color="auto"/>
            <w:bottom w:val="none" w:sz="0" w:space="0" w:color="auto"/>
            <w:right w:val="none" w:sz="0" w:space="0" w:color="auto"/>
          </w:divBdr>
        </w:div>
      </w:divsChild>
    </w:div>
    <w:div w:id="1853566704">
      <w:bodyDiv w:val="1"/>
      <w:marLeft w:val="0"/>
      <w:marRight w:val="0"/>
      <w:marTop w:val="0"/>
      <w:marBottom w:val="0"/>
      <w:divBdr>
        <w:top w:val="none" w:sz="0" w:space="0" w:color="auto"/>
        <w:left w:val="none" w:sz="0" w:space="0" w:color="auto"/>
        <w:bottom w:val="none" w:sz="0" w:space="0" w:color="auto"/>
        <w:right w:val="none" w:sz="0" w:space="0" w:color="auto"/>
      </w:divBdr>
    </w:div>
    <w:div w:id="1864593257">
      <w:bodyDiv w:val="1"/>
      <w:marLeft w:val="0"/>
      <w:marRight w:val="0"/>
      <w:marTop w:val="0"/>
      <w:marBottom w:val="0"/>
      <w:divBdr>
        <w:top w:val="none" w:sz="0" w:space="0" w:color="auto"/>
        <w:left w:val="none" w:sz="0" w:space="0" w:color="auto"/>
        <w:bottom w:val="none" w:sz="0" w:space="0" w:color="auto"/>
        <w:right w:val="none" w:sz="0" w:space="0" w:color="auto"/>
      </w:divBdr>
    </w:div>
    <w:div w:id="1969429058">
      <w:bodyDiv w:val="1"/>
      <w:marLeft w:val="0"/>
      <w:marRight w:val="0"/>
      <w:marTop w:val="0"/>
      <w:marBottom w:val="0"/>
      <w:divBdr>
        <w:top w:val="none" w:sz="0" w:space="0" w:color="auto"/>
        <w:left w:val="none" w:sz="0" w:space="0" w:color="auto"/>
        <w:bottom w:val="none" w:sz="0" w:space="0" w:color="auto"/>
        <w:right w:val="none" w:sz="0" w:space="0" w:color="auto"/>
      </w:divBdr>
    </w:div>
    <w:div w:id="2042391786">
      <w:bodyDiv w:val="1"/>
      <w:marLeft w:val="0"/>
      <w:marRight w:val="0"/>
      <w:marTop w:val="0"/>
      <w:marBottom w:val="0"/>
      <w:divBdr>
        <w:top w:val="none" w:sz="0" w:space="0" w:color="auto"/>
        <w:left w:val="none" w:sz="0" w:space="0" w:color="auto"/>
        <w:bottom w:val="none" w:sz="0" w:space="0" w:color="auto"/>
        <w:right w:val="none" w:sz="0" w:space="0" w:color="auto"/>
      </w:divBdr>
    </w:div>
    <w:div w:id="2055500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diagramColors" Target="diagrams/colors1.xml"/><Relationship Id="rId26" Type="http://schemas.openxmlformats.org/officeDocument/2006/relationships/chart" Target="charts/chart2.xml"/><Relationship Id="rId39" Type="http://schemas.openxmlformats.org/officeDocument/2006/relationships/hyperlink" Target="mailto:GMC.Study@europe-economics.com" TargetMode="External"/><Relationship Id="rId21" Type="http://schemas.openxmlformats.org/officeDocument/2006/relationships/diagramLayout" Target="diagrams/layout2.xml"/><Relationship Id="rId34" Type="http://schemas.openxmlformats.org/officeDocument/2006/relationships/header" Target="header9.xml"/><Relationship Id="rId42" Type="http://schemas.openxmlformats.org/officeDocument/2006/relationships/header" Target="header11.xml"/><Relationship Id="rId47" Type="http://schemas.openxmlformats.org/officeDocument/2006/relationships/header" Target="header12.xml"/><Relationship Id="rId50" Type="http://schemas.openxmlformats.org/officeDocument/2006/relationships/image" Target="media/image5.png"/><Relationship Id="rId55" Type="http://schemas.openxmlformats.org/officeDocument/2006/relationships/hyperlink" Target="https://stps.dk/da/borgere/klage-over-sundhedsvaesenet/klage-over-brud-paa-dine-patientrettigheder/" TargetMode="External"/><Relationship Id="rId63" Type="http://schemas.openxmlformats.org/officeDocument/2006/relationships/header" Target="header14.xml"/><Relationship Id="rId68" Type="http://schemas.openxmlformats.org/officeDocument/2006/relationships/hyperlink" Target="https://www.mindoktor.se/" TargetMode="External"/><Relationship Id="rId7" Type="http://schemas.openxmlformats.org/officeDocument/2006/relationships/endnotes" Target="endnotes.xml"/><Relationship Id="rId71"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header" Target="header5.xml"/><Relationship Id="rId11" Type="http://schemas.openxmlformats.org/officeDocument/2006/relationships/header" Target="header2.xml"/><Relationship Id="rId24" Type="http://schemas.microsoft.com/office/2007/relationships/diagramDrawing" Target="diagrams/drawing2.xml"/><Relationship Id="rId32" Type="http://schemas.openxmlformats.org/officeDocument/2006/relationships/image" Target="media/image3.jpg"/><Relationship Id="rId37" Type="http://schemas.openxmlformats.org/officeDocument/2006/relationships/hyperlink" Target="mailto:GMC.Study@europe-economics.com" TargetMode="External"/><Relationship Id="rId40" Type="http://schemas.openxmlformats.org/officeDocument/2006/relationships/hyperlink" Target="mailto:GMC.Study@europe-economics.com" TargetMode="External"/><Relationship Id="rId45" Type="http://schemas.openxmlformats.org/officeDocument/2006/relationships/chart" Target="charts/chart7.xml"/><Relationship Id="rId53" Type="http://schemas.openxmlformats.org/officeDocument/2006/relationships/hyperlink" Target="http://www.medicalboard.gov.au/Codes-Guidelines-Policies/Technology-based-consultation-guidelines.aspx" TargetMode="External"/><Relationship Id="rId58" Type="http://schemas.openxmlformats.org/officeDocument/2006/relationships/hyperlink" Target="https://stps.dk/da/borgere/international-sygesikring/" TargetMode="External"/><Relationship Id="rId66" Type="http://schemas.openxmlformats.org/officeDocument/2006/relationships/footer" Target="footer5.xm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chart" Target="charts/chart4.xml"/><Relationship Id="rId36" Type="http://schemas.openxmlformats.org/officeDocument/2006/relationships/hyperlink" Target="mailto:GMC.Study@europe-economic.com?subject=Regulating%20telemedicine%20survey" TargetMode="External"/><Relationship Id="rId49" Type="http://schemas.openxmlformats.org/officeDocument/2006/relationships/image" Target="media/image4.png"/><Relationship Id="rId57" Type="http://schemas.openxmlformats.org/officeDocument/2006/relationships/hyperlink" Target="https://stps.dk/da/sundhedsprofessionelle-og-myndigheder/laering/dpsd/" TargetMode="External"/><Relationship Id="rId61" Type="http://schemas.openxmlformats.org/officeDocument/2006/relationships/hyperlink" Target="http://arcweb.sos.state.or.us/pages/rules/oars_800/oar_847/847_025.html" TargetMode="External"/><Relationship Id="rId10" Type="http://schemas.openxmlformats.org/officeDocument/2006/relationships/image" Target="media/image2.png"/><Relationship Id="rId19" Type="http://schemas.microsoft.com/office/2007/relationships/diagramDrawing" Target="diagrams/drawing1.xml"/><Relationship Id="rId31" Type="http://schemas.openxmlformats.org/officeDocument/2006/relationships/header" Target="header7.xml"/><Relationship Id="rId44" Type="http://schemas.openxmlformats.org/officeDocument/2006/relationships/chart" Target="charts/chart6.xml"/><Relationship Id="rId52" Type="http://schemas.openxmlformats.org/officeDocument/2006/relationships/image" Target="media/image7.png"/><Relationship Id="rId60" Type="http://schemas.openxmlformats.org/officeDocument/2006/relationships/hyperlink" Target="https://www.oregonlegislature.gov/bills_laws/ors/ors677.html" TargetMode="External"/><Relationship Id="rId65" Type="http://schemas.openxmlformats.org/officeDocument/2006/relationships/header" Target="header15.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diagramQuickStyle" Target="diagrams/quickStyle2.xml"/><Relationship Id="rId27" Type="http://schemas.openxmlformats.org/officeDocument/2006/relationships/chart" Target="charts/chart3.xml"/><Relationship Id="rId30" Type="http://schemas.openxmlformats.org/officeDocument/2006/relationships/header" Target="header6.xml"/><Relationship Id="rId35" Type="http://schemas.openxmlformats.org/officeDocument/2006/relationships/footer" Target="footer3.xml"/><Relationship Id="rId43" Type="http://schemas.openxmlformats.org/officeDocument/2006/relationships/chart" Target="charts/chart5.xml"/><Relationship Id="rId48" Type="http://schemas.openxmlformats.org/officeDocument/2006/relationships/footer" Target="footer4.xml"/><Relationship Id="rId56" Type="http://schemas.openxmlformats.org/officeDocument/2006/relationships/hyperlink" Target="https://stps.dk/da/borgere/klage-over-sundhedsvaesenet/klage-over-sundhedsfaglig-behandling/" TargetMode="External"/><Relationship Id="rId64" Type="http://schemas.openxmlformats.org/officeDocument/2006/relationships/image" Target="media/image8.jpg"/><Relationship Id="rId69" Type="http://schemas.openxmlformats.org/officeDocument/2006/relationships/hyperlink" Target="https://www.socialstyrelsen.se/Lists/Artikelkatalog/Attachments/20165/2016-4-44.pdf" TargetMode="External"/><Relationship Id="rId8" Type="http://schemas.openxmlformats.org/officeDocument/2006/relationships/footer" Target="footer1.xml"/><Relationship Id="rId51" Type="http://schemas.openxmlformats.org/officeDocument/2006/relationships/image" Target="media/image6.png"/><Relationship Id="rId72" Type="http://schemas.openxmlformats.org/officeDocument/2006/relationships/header" Target="header17.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diagramQuickStyle" Target="diagrams/quickStyle1.xml"/><Relationship Id="rId25" Type="http://schemas.openxmlformats.org/officeDocument/2006/relationships/chart" Target="charts/chart1.xml"/><Relationship Id="rId33" Type="http://schemas.openxmlformats.org/officeDocument/2006/relationships/header" Target="header8.xml"/><Relationship Id="rId38" Type="http://schemas.openxmlformats.org/officeDocument/2006/relationships/hyperlink" Target="mailto:GMC.Study@europe-economics.com" TargetMode="External"/><Relationship Id="rId46" Type="http://schemas.openxmlformats.org/officeDocument/2006/relationships/chart" Target="charts/chart8.xml"/><Relationship Id="rId59" Type="http://schemas.openxmlformats.org/officeDocument/2006/relationships/hyperlink" Target="http://www.cqc.org.uk/news/releases/cqc-continues-take-action-against-websites-selling-prescription-medicines" TargetMode="External"/><Relationship Id="rId67" Type="http://schemas.openxmlformats.org/officeDocument/2006/relationships/hyperlink" Target="https://kry.se" TargetMode="External"/><Relationship Id="rId20" Type="http://schemas.openxmlformats.org/officeDocument/2006/relationships/diagramData" Target="diagrams/data2.xml"/><Relationship Id="rId41" Type="http://schemas.openxmlformats.org/officeDocument/2006/relationships/header" Target="header10.xml"/><Relationship Id="rId54" Type="http://schemas.openxmlformats.org/officeDocument/2006/relationships/hyperlink" Target="http://www.medicalboard.gov.au/Codes-Guidelines-Policies/FAQ/Information-interjurisdictional-technology-consultations.aspx" TargetMode="External"/><Relationship Id="rId62" Type="http://schemas.openxmlformats.org/officeDocument/2006/relationships/header" Target="header13.xml"/><Relationship Id="rId7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1" Type="http://schemas.openxmlformats.org/officeDocument/2006/relationships/image" Target="media/image1.wmf"/></Relationships>
</file>

<file path=word/_rels/footer4.xml.rels><?xml version="1.0" encoding="UTF-8" standalone="yes"?>
<Relationships xmlns="http://schemas.openxmlformats.org/package/2006/relationships"><Relationship Id="rId1" Type="http://schemas.openxmlformats.org/officeDocument/2006/relationships/image" Target="media/image1.wmf"/></Relationships>
</file>

<file path=word/_rels/footer5.xml.rels><?xml version="1.0" encoding="UTF-8" standalone="yes"?>
<Relationships xmlns="http://schemas.openxmlformats.org/package/2006/relationships"><Relationship Id="rId1" Type="http://schemas.openxmlformats.org/officeDocument/2006/relationships/image" Target="media/image1.wmf"/></Relationships>
</file>

<file path=word/_rels/footnotes.xml.rels><?xml version="1.0" encoding="UTF-8" standalone="yes"?>
<Relationships xmlns="http://schemas.openxmlformats.org/package/2006/relationships"><Relationship Id="rId13" Type="http://schemas.openxmlformats.org/officeDocument/2006/relationships/hyperlink" Target="http://edition.cnn.com/2015/06/17/asia/telemedicine-in-singapore" TargetMode="External"/><Relationship Id="rId18" Type="http://schemas.openxmlformats.org/officeDocument/2006/relationships/hyperlink" Target="http://direitodamedicina.sanchoeassociados.com/arquivo/despacho-n-o-35712013-ministerio-da-saude-determina-que-os-servicos-e-estabelecimentos-do-servico-nacional-de-saude-sns-devem-intensificar-a-utilizacao-das-tecnologias-de-infor/" TargetMode="External"/><Relationship Id="rId26" Type="http://schemas.openxmlformats.org/officeDocument/2006/relationships/hyperlink" Target="http://www.engc.org.uk/about-us/our-partners/professional-engineering-institutions/" TargetMode="External"/><Relationship Id="rId39" Type="http://schemas.openxmlformats.org/officeDocument/2006/relationships/hyperlink" Target="https://www.racp.edu.au/docs/default-source/advocacy-library/telehealth-guidelines-and-practical-tips.pdf" TargetMode="External"/><Relationship Id="rId21" Type="http://schemas.openxmlformats.org/officeDocument/2006/relationships/hyperlink" Target="http://eur-lex.europa.eu/eli/dir/2000/31/oj" TargetMode="External"/><Relationship Id="rId34" Type="http://schemas.openxmlformats.org/officeDocument/2006/relationships/hyperlink" Target="http://www.legco.gov.hk/yr13-14/english/panels/hs/hs_hps/papers/hs_hps1111cb2-260-2-e.pdf" TargetMode="External"/><Relationship Id="rId42" Type="http://schemas.openxmlformats.org/officeDocument/2006/relationships/hyperlink" Target="https://www.cpsbc.ca/files/pdf/PSG-Safe-Prescribing.pdf" TargetMode="External"/><Relationship Id="rId47" Type="http://schemas.openxmlformats.org/officeDocument/2006/relationships/hyperlink" Target="https://www.cps.sk.ca/iMIS/Documents/Legislation/Policies/POLICY%20-%20The%20Practice%20of%20Telemedicine.pdf" TargetMode="External"/><Relationship Id="rId50" Type="http://schemas.openxmlformats.org/officeDocument/2006/relationships/hyperlink" Target="https://www.has-sante.fr/portail/jcms/r_1455134/en/about-has" TargetMode="External"/><Relationship Id="rId55" Type="http://schemas.openxmlformats.org/officeDocument/2006/relationships/hyperlink" Target="http://www.ceom-ecmo.eu/sites/default/files/documents/simon-lucas_trad_en1.pdf" TargetMode="External"/><Relationship Id="rId63" Type="http://schemas.openxmlformats.org/officeDocument/2006/relationships/hyperlink" Target="https://www.bma.org.uk/about-us" TargetMode="External"/><Relationship Id="rId68" Type="http://schemas.openxmlformats.org/officeDocument/2006/relationships/hyperlink" Target="http://www.pharmafile.com/news/198036/e-clinical-rise-new-health-technologies" TargetMode="External"/><Relationship Id="rId76" Type="http://schemas.openxmlformats.org/officeDocument/2006/relationships/hyperlink" Target="https://www.telehealthresourcecenter.org/toolbox-module/cross-state-licensure" TargetMode="External"/><Relationship Id="rId84" Type="http://schemas.openxmlformats.org/officeDocument/2006/relationships/hyperlink" Target="https://www.medicalcouncil.ie/News-and-Publications/Reports/Guide-to-Professional-Conduct-Ethics-8th-Edition.html" TargetMode="External"/><Relationship Id="rId7" Type="http://schemas.openxmlformats.org/officeDocument/2006/relationships/hyperlink" Target="https://www.theguardian.com/technology/2016/oct/02/gp-smartphone-apps-threat-to-nhs" TargetMode="External"/><Relationship Id="rId71" Type="http://schemas.openxmlformats.org/officeDocument/2006/relationships/hyperlink" Target="https://www.pharmacyregulation.org/about-us/who-we-work" TargetMode="External"/><Relationship Id="rId2" Type="http://schemas.openxmlformats.org/officeDocument/2006/relationships/hyperlink" Target="https://www.wsj.com/articles/how-telemedicine-is-transforming-health-care-1466993402" TargetMode="External"/><Relationship Id="rId16" Type="http://schemas.openxmlformats.org/officeDocument/2006/relationships/hyperlink" Target="https://www.surveygizmo.com/" TargetMode="External"/><Relationship Id="rId29" Type="http://schemas.openxmlformats.org/officeDocument/2006/relationships/hyperlink" Target="http://www.ahpra.gov.au/About-AHPRA/What-We-Do.aspx" TargetMode="External"/><Relationship Id="rId11" Type="http://schemas.openxmlformats.org/officeDocument/2006/relationships/hyperlink" Target="https://www.england.nhs.uk/ourwork/new-care-models/vanguards/care-models/care-homes-sites/airedale/" TargetMode="External"/><Relationship Id="rId24" Type="http://schemas.openxmlformats.org/officeDocument/2006/relationships/hyperlink" Target="http://www.engc.org.uk/standards-guidance/standards/uk-spec/" TargetMode="External"/><Relationship Id="rId32" Type="http://schemas.openxmlformats.org/officeDocument/2006/relationships/hyperlink" Target="http://www.acrrm.org.au/about-the-college" TargetMode="External"/><Relationship Id="rId37" Type="http://schemas.openxmlformats.org/officeDocument/2006/relationships/hyperlink" Target="http://www.racgp.org.au/telehealth" TargetMode="External"/><Relationship Id="rId40" Type="http://schemas.openxmlformats.org/officeDocument/2006/relationships/hyperlink" Target="https://www.physiciansforlife.ca/wp-content/uploads/2015/09/Regulation-of-Medicine-Web-Final.pdf" TargetMode="External"/><Relationship Id="rId45" Type="http://schemas.openxmlformats.org/officeDocument/2006/relationships/hyperlink" Target="https://www.cps.sk.ca/iMIS/Documents/Legislation/Policies/POLICY%20-%20The%20Practice%20of%20Telemedicine.pdf" TargetMode="External"/><Relationship Id="rId53" Type="http://schemas.openxmlformats.org/officeDocument/2006/relationships/hyperlink" Target="https://www.linkedin.com/pulse/telemedicine-france-development-opportunities-healthcare/" TargetMode="External"/><Relationship Id="rId58" Type="http://schemas.openxmlformats.org/officeDocument/2006/relationships/hyperlink" Target="http://www.euro.who.int/__data/assets/pdf_file/0019/150463/e95712.pdf" TargetMode="External"/><Relationship Id="rId66" Type="http://schemas.openxmlformats.org/officeDocument/2006/relationships/hyperlink" Target="https://www.cqc.org.uk/sites/default/files/documents/ra_10_transport_services_triage_and_medical_advice_provided_remotely.pdf" TargetMode="External"/><Relationship Id="rId74" Type="http://schemas.openxmlformats.org/officeDocument/2006/relationships/hyperlink" Target="https://www.telehealthresourcecenter.org/who-your-trc" TargetMode="External"/><Relationship Id="rId79" Type="http://schemas.openxmlformats.org/officeDocument/2006/relationships/hyperlink" Target="http://ctel.org/" TargetMode="External"/><Relationship Id="rId87" Type="http://schemas.openxmlformats.org/officeDocument/2006/relationships/hyperlink" Target="http://www.hpcsa.co.za/Uploads/editor/UserFiles/downloads/conduct_ethics/Booklet%2010.pdf" TargetMode="External"/><Relationship Id="rId5" Type="http://schemas.openxmlformats.org/officeDocument/2006/relationships/hyperlink" Target="http://healthydebate.ca/2015/06/topic/telemedicine-across-canada" TargetMode="External"/><Relationship Id="rId61" Type="http://schemas.openxmlformats.org/officeDocument/2006/relationships/hyperlink" Target="http://www.cqc.org.uk/about-us" TargetMode="External"/><Relationship Id="rId82" Type="http://schemas.openxmlformats.org/officeDocument/2006/relationships/hyperlink" Target="http://okrules.elaws.us/oac/435:10-7-13" TargetMode="External"/><Relationship Id="rId19" Type="http://schemas.openxmlformats.org/officeDocument/2006/relationships/hyperlink" Target="https://www.moh.gov.sg/content/moh_web/home/Publications/guidelines/national-telemedicine-guidelines.html" TargetMode="External"/><Relationship Id="rId4" Type="http://schemas.openxmlformats.org/officeDocument/2006/relationships/hyperlink" Target="https://www.theguardian.com/technology/2016/oct/02/gp-smartphone-apps-threat-to-nhs" TargetMode="External"/><Relationship Id="rId9" Type="http://schemas.openxmlformats.org/officeDocument/2006/relationships/hyperlink" Target="http://www.telegraph.co.uk/news/2017/07/17/999-callers-assessed-skype-instead-sent-ambulance" TargetMode="External"/><Relationship Id="rId14" Type="http://schemas.openxmlformats.org/officeDocument/2006/relationships/hyperlink" Target="https://news.nationalgeographic.com/news/2001/09/0919_robotsurgery.html" TargetMode="External"/><Relationship Id="rId22" Type="http://schemas.openxmlformats.org/officeDocument/2006/relationships/hyperlink" Target="https://ec.europa.eu/health/ph_overview/co_operation/mobility/docs/comm_health_services_comm2006_en.pdf" TargetMode="External"/><Relationship Id="rId27" Type="http://schemas.openxmlformats.org/officeDocument/2006/relationships/hyperlink" Target="https://www.rics.org/uk/regulation1/rules-of-conduct1" TargetMode="External"/><Relationship Id="rId30" Type="http://schemas.openxmlformats.org/officeDocument/2006/relationships/hyperlink" Target="http://www.medicalboard.gov.au/About.aspx" TargetMode="External"/><Relationship Id="rId35" Type="http://schemas.openxmlformats.org/officeDocument/2006/relationships/hyperlink" Target="https://nhpopc.gov.au/about-us/" TargetMode="External"/><Relationship Id="rId43" Type="http://schemas.openxmlformats.org/officeDocument/2006/relationships/hyperlink" Target="https://www.cpsnl.ca/web/files/2017-Mar-11%20-%20Telemedicine.pdf" TargetMode="External"/><Relationship Id="rId48" Type="http://schemas.openxmlformats.org/officeDocument/2006/relationships/hyperlink" Target="http://international.commonwealthfund.org/countries/denmark/" TargetMode="External"/><Relationship Id="rId56" Type="http://schemas.openxmlformats.org/officeDocument/2006/relationships/hyperlink" Target="https://www.conseil-national.medecin.fr/e-sante/les-publications-1143" TargetMode="External"/><Relationship Id="rId64" Type="http://schemas.openxmlformats.org/officeDocument/2006/relationships/hyperlink" Target="http://www.professionalstandards.org.uk/about-us/how-we-work" TargetMode="External"/><Relationship Id="rId69" Type="http://schemas.openxmlformats.org/officeDocument/2006/relationships/hyperlink" Target="http://www.nhs.uk/conditions/medicinesinfo/pages/mhra.aspx" TargetMode="External"/><Relationship Id="rId77" Type="http://schemas.openxmlformats.org/officeDocument/2006/relationships/hyperlink" Target="https://health.maryland.gov/mhqcc/Documents/Standards_Framework.pdf" TargetMode="External"/><Relationship Id="rId8" Type="http://schemas.openxmlformats.org/officeDocument/2006/relationships/hyperlink" Target="https://inews.co.uk/essentials/news/health/doctors-gp-skype-elderly-nursing-homes" TargetMode="External"/><Relationship Id="rId51" Type="http://schemas.openxmlformats.org/officeDocument/2006/relationships/hyperlink" Target="http://www.professionalstandards.org.uk/docs/default-source/publications/international-reports/regulation-of-doctors-in-france-2012---draft-report.pdf?sfvrsn=2" TargetMode="External"/><Relationship Id="rId72" Type="http://schemas.openxmlformats.org/officeDocument/2006/relationships/hyperlink" Target="https://www.fsmb.org/about-fsmb/" TargetMode="External"/><Relationship Id="rId80" Type="http://schemas.openxmlformats.org/officeDocument/2006/relationships/hyperlink" Target="http://www.mbc.ca.gov/Licensees/Telehealth.aspx" TargetMode="External"/><Relationship Id="rId85" Type="http://schemas.openxmlformats.org/officeDocument/2006/relationships/hyperlink" Target="http://www.hpcsa.co.za/Uploads/editor/UserFiles/downloads/conduct_ethics/Booklet%2010.pdf" TargetMode="External"/><Relationship Id="rId3" Type="http://schemas.openxmlformats.org/officeDocument/2006/relationships/hyperlink" Target="http://www.cdwcommunit.com/news/top-news/the-history-of-telemedicine" TargetMode="External"/><Relationship Id="rId12" Type="http://schemas.openxmlformats.org/officeDocument/2006/relationships/hyperlink" Target="https://www.digst.dk/Servicemenu/English/News/Denmark-a-frontrunner-in-telemedicine-in-Scandinavia" TargetMode="External"/><Relationship Id="rId17" Type="http://schemas.openxmlformats.org/officeDocument/2006/relationships/hyperlink" Target="https://www.retsinformation.dk/Forms/R0710.aspx?id=10132" TargetMode="External"/><Relationship Id="rId25" Type="http://schemas.openxmlformats.org/officeDocument/2006/relationships/hyperlink" Target="http://www.engc.org.uk/standards-guidance/guidance/" TargetMode="External"/><Relationship Id="rId33" Type="http://schemas.openxmlformats.org/officeDocument/2006/relationships/hyperlink" Target="https://ama.com.au/about-ama" TargetMode="External"/><Relationship Id="rId38" Type="http://schemas.openxmlformats.org/officeDocument/2006/relationships/hyperlink" Target="https://gp2u.com.au/static/documents/RACGP_Standards_for_general_practices_offering_video_consultations.pdf" TargetMode="External"/><Relationship Id="rId46" Type="http://schemas.openxmlformats.org/officeDocument/2006/relationships/hyperlink" Target="http://www.cps.sk.ca/iMIS/Documents/Legislation/Legislation/Regulatory%20Bylaws%20-%20September%202017.pdf" TargetMode="External"/><Relationship Id="rId59" Type="http://schemas.openxmlformats.org/officeDocument/2006/relationships/hyperlink" Target="http://spms.min-saude.pt/wp-content/uploads/2015/08/Implementing-Telemonitoring-in-the-Portuguese-NHS-Med-e-tel-2015.pdf" TargetMode="External"/><Relationship Id="rId67" Type="http://schemas.openxmlformats.org/officeDocument/2006/relationships/hyperlink" Target="https://uk.practicallaw.thomsonreuters.com/2-619-5533?transitionType=Default&amp;contextData=(sc.Default)&amp;firstPage=true" TargetMode="External"/><Relationship Id="rId20" Type="http://schemas.openxmlformats.org/officeDocument/2006/relationships/hyperlink" Target="https://www.gmc-uk.org/about/partners.asp" TargetMode="External"/><Relationship Id="rId41" Type="http://schemas.openxmlformats.org/officeDocument/2006/relationships/hyperlink" Target="http://www.mcmillan.ca/files/Health_Law_in_Canada.pdf" TargetMode="External"/><Relationship Id="rId54" Type="http://schemas.openxmlformats.org/officeDocument/2006/relationships/hyperlink" Target="https://www.conseilnational.medecin.fr/sites/default/files/livre_blanc_esante_anglais.pdf" TargetMode="External"/><Relationship Id="rId62" Type="http://schemas.openxmlformats.org/officeDocument/2006/relationships/hyperlink" Target="https://www.gov.uk/government/organisations/medicines-and-healthcare-products-regulatory-agency/about" TargetMode="External"/><Relationship Id="rId70" Type="http://schemas.openxmlformats.org/officeDocument/2006/relationships/hyperlink" Target="https://www.bma.org.uk/news/2013/august/talking-telehealth-crossroads-for-consultations" TargetMode="External"/><Relationship Id="rId75" Type="http://schemas.openxmlformats.org/officeDocument/2006/relationships/hyperlink" Target="https://www.hhs.gov/regulations/index.html" TargetMode="External"/><Relationship Id="rId83" Type="http://schemas.openxmlformats.org/officeDocument/2006/relationships/hyperlink" Target="https://www.medicalcouncil.ie/News-and-Publications/Reports/Guide-to-Professional-Conduct-Ethics-8th-Edition.html" TargetMode="External"/><Relationship Id="rId1" Type="http://schemas.openxmlformats.org/officeDocument/2006/relationships/hyperlink" Target="https://evisit.com/what-is-telemedicine" TargetMode="External"/><Relationship Id="rId6" Type="http://schemas.openxmlformats.org/officeDocument/2006/relationships/hyperlink" Target="https://evisit.com/what-is-telemedicine" TargetMode="External"/><Relationship Id="rId15" Type="http://schemas.openxmlformats.org/officeDocument/2006/relationships/hyperlink" Target="https://techcrunch.com/2015/06/14/lag-time-research-set-to-determine-the-future-of-telesurgery/" TargetMode="External"/><Relationship Id="rId23" Type="http://schemas.openxmlformats.org/officeDocument/2006/relationships/hyperlink" Target="http://www.imlcc.org/do-i-qualify/" TargetMode="External"/><Relationship Id="rId28" Type="http://schemas.openxmlformats.org/officeDocument/2006/relationships/hyperlink" Target="http://www.lawsociety.org.uk/support-services/advice/practice-notes/semi-automated-online-services" TargetMode="External"/><Relationship Id="rId36" Type="http://schemas.openxmlformats.org/officeDocument/2006/relationships/hyperlink" Target="https://www.strategyand.pwc.com/media/file/Australias-healthcare-system.pdf" TargetMode="External"/><Relationship Id="rId49" Type="http://schemas.openxmlformats.org/officeDocument/2006/relationships/hyperlink" Target="https://www.retsinformation.dk/Forms/R0710.aspx?id=10132" TargetMode="External"/><Relationship Id="rId57" Type="http://schemas.openxmlformats.org/officeDocument/2006/relationships/hyperlink" Target="http://telehealth.co.nz/resources/regulations-standards" TargetMode="External"/><Relationship Id="rId10" Type="http://schemas.openxmlformats.org/officeDocument/2006/relationships/hyperlink" Target="https://www.gov.uk/government/publications/the-uk-your-partner-for-clinical-services/the-uk-your-partner-for-clinical-services" TargetMode="External"/><Relationship Id="rId31" Type="http://schemas.openxmlformats.org/officeDocument/2006/relationships/hyperlink" Target="http://www.racgp.org.au/yourracgp/organisation/visionstatement/" TargetMode="External"/><Relationship Id="rId44" Type="http://schemas.openxmlformats.org/officeDocument/2006/relationships/hyperlink" Target="http://www.cpso.on.ca/Policies-Publications/Policy/Telemedicine" TargetMode="External"/><Relationship Id="rId52" Type="http://schemas.openxmlformats.org/officeDocument/2006/relationships/hyperlink" Target="https://www.ncbi.nlm.nih.gov/pmc/articles/PMC3080554/" TargetMode="External"/><Relationship Id="rId60" Type="http://schemas.openxmlformats.org/officeDocument/2006/relationships/hyperlink" Target="https://www.moh.gov.sg/content/moh_web/home/our_healthcare_system/HealthcareRegulation.html" TargetMode="External"/><Relationship Id="rId65" Type="http://schemas.openxmlformats.org/officeDocument/2006/relationships/hyperlink" Target="http://www.hse.gov.uk/healthservices/arrangements.htm" TargetMode="External"/><Relationship Id="rId73" Type="http://schemas.openxmlformats.org/officeDocument/2006/relationships/hyperlink" Target="http://www.americantelemed.org/about/about-ata" TargetMode="External"/><Relationship Id="rId78" Type="http://schemas.openxmlformats.org/officeDocument/2006/relationships/hyperlink" Target="http://www.maine.gov/sos/cec/rules/02/373/373c006.docx" TargetMode="External"/><Relationship Id="rId81" Type="http://schemas.openxmlformats.org/officeDocument/2006/relationships/hyperlink" Target="https://leginfo.legislature.ca.gov/faces/codes_displaySection.xhtml?lawCode=BPC&amp;sectionNum=2290.5" TargetMode="External"/><Relationship Id="rId86" Type="http://schemas.openxmlformats.org/officeDocument/2006/relationships/hyperlink" Target="http://www.hpcsa.co.za/Uploads/editor/UserFiles/downloads/conduct_ethics/Booklet%201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11.xml.rels><?xml version="1.0" encoding="UTF-8" standalone="yes"?>
<Relationships xmlns="http://schemas.openxmlformats.org/package/2006/relationships"><Relationship Id="rId1" Type="http://schemas.openxmlformats.org/officeDocument/2006/relationships/image" Target="media/image1.wmf"/></Relationships>
</file>

<file path=word/_rels/header12.xml.rels><?xml version="1.0" encoding="UTF-8" standalone="yes"?>
<Relationships xmlns="http://schemas.openxmlformats.org/package/2006/relationships"><Relationship Id="rId1" Type="http://schemas.openxmlformats.org/officeDocument/2006/relationships/image" Target="media/image1.wmf"/></Relationships>
</file>

<file path=word/_rels/header14.xml.rels><?xml version="1.0" encoding="UTF-8" standalone="yes"?>
<Relationships xmlns="http://schemas.openxmlformats.org/package/2006/relationships"><Relationship Id="rId1" Type="http://schemas.openxmlformats.org/officeDocument/2006/relationships/image" Target="media/image1.wmf"/></Relationships>
</file>

<file path=word/_rels/header15.xml.rels><?xml version="1.0" encoding="UTF-8" standalone="yes"?>
<Relationships xmlns="http://schemas.openxmlformats.org/package/2006/relationships"><Relationship Id="rId1" Type="http://schemas.openxmlformats.org/officeDocument/2006/relationships/image" Target="media/image1.wmf"/></Relationships>
</file>

<file path=word/_rels/header16.xml.rels><?xml version="1.0" encoding="UTF-8" standalone="yes"?>
<Relationships xmlns="http://schemas.openxmlformats.org/package/2006/relationships"><Relationship Id="rId1" Type="http://schemas.openxmlformats.org/officeDocument/2006/relationships/image" Target="media/image1.wmf"/></Relationships>
</file>

<file path=word/_rels/header17.xml.rels><?xml version="1.0" encoding="UTF-8" standalone="yes"?>
<Relationships xmlns="http://schemas.openxmlformats.org/package/2006/relationships"><Relationship Id="rId1" Type="http://schemas.openxmlformats.org/officeDocument/2006/relationships/image" Target="media/image1.wmf"/></Relationships>
</file>

<file path=word/_rels/header9.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S:\Information\Corporate%20identity\New%20Word%20Template\EE%20Template%20-%20Blank.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sbs-server\s\Projects\GMC%20-%20Regulatory%20approaches%20to%20telemedicine\Survey\_Answers\20170914044604-SurveyExport%20-%20Clea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bs-server\s\Projects\GMC%20-%20Regulatory%20approaches%20to%20telemedicine\Survey\_Answers\20170914044604-SurveyExport%20-%20Clea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bs-server\s\Projects\GMC%20-%20Regulatory%20approaches%20to%20telemedicine\Survey\_Answers\20170914044604-SurveyExport%20-%20Clea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sbs-server\s\Projects\GMC%20-%20Regulatory%20approaches%20to%20telemedicine\Survey\_Answers\20170914044604-SurveyExport%20-%20Clea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sbs-server\s\Projects\GMC%20-%20Regulatory%20approaches%20to%20telemedicine\Survey\_Answers\20170914044604-SurveyExport%20-%20Clea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sbs-server\s\Projects\GMC%20-%20Regulatory%20approaches%20to%20telemedicine\Survey\_Answers\20170914044604-SurveyExport%20-%20Clea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sbs-server\s\Projects\GMC%20-%20Regulatory%20approaches%20to%20telemedicine\Survey\_Answers\20170914044604-SurveyExport%20-%20Clean.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sbs-server\s\Projects\GMC%20-%20Regulatory%20approaches%20to%20telemedicine\Survey\_Answers\20170914044604-SurveyExport%20-%20Clean.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CBB-4F26-A59F-485E25CE262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CBB-4F26-A59F-485E25CE262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CBB-4F26-A59F-485E25CE262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CBB-4F26-A59F-485E25CE262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CBB-4F26-A59F-485E25CE262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CBB-4F26-A59F-485E25CE262F}"/>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CBB-4F26-A59F-485E25CE262F}"/>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CCBB-4F26-A59F-485E25CE262F}"/>
              </c:ext>
            </c:extLst>
          </c:dPt>
          <c:dLbls>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2"/>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CBB-4F26-A59F-485E25CE262F}"/>
                </c:ext>
              </c:extLst>
            </c:dLbl>
            <c:dLbl>
              <c:idx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2"/>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CBB-4F26-A59F-485E25CE262F}"/>
                </c:ext>
              </c:extLst>
            </c:dLbl>
            <c:dLbl>
              <c:idx val="7"/>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2"/>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CBB-4F26-A59F-485E25CE262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mn-lt"/>
                    <a:ea typeface="+mn-ea"/>
                    <a:cs typeface="+mn-cs"/>
                  </a:defRPr>
                </a:pPr>
                <a:endParaRPr lang="en-US"/>
              </a:p>
            </c:txPr>
            <c:dLblPos val="bestFit"/>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Answers!$A$39:$A$46</c:f>
            </c:multiLvlStrRef>
          </c:cat>
          <c:val>
            <c:numRef>
              <c:f>Answers!$B$39:$B$46</c:f>
            </c:numRef>
          </c:val>
          <c:extLst>
            <c:ext xmlns:c16="http://schemas.microsoft.com/office/drawing/2014/chart" uri="{C3380CC4-5D6E-409C-BE32-E72D297353CC}">
              <c16:uniqueId val="{00000010-CCBB-4F26-A59F-485E25CE262F}"/>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sz="8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GB"/>
              <a:t>In what areas does your organisation place telemedicine-related requirements on those subject to your regulation/oversight?</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Answers!$O$40:$S$40</c:f>
            </c:numRef>
          </c:val>
          <c:extLst>
            <c:ext xmlns:c15="http://schemas.microsoft.com/office/drawing/2012/chart" uri="{02D57815-91ED-43cb-92C2-25804820EDAC}">
              <c15:filteredCategoryTitle>
                <c15:cat>
                  <c:multiLvlStrRef>
                    <c:extLst>
                      <c:ext uri="{02D57815-91ED-43cb-92C2-25804820EDAC}">
                        <c15:formulaRef>
                          <c15:sqref>Answers!$O$39:$S$39</c15:sqref>
                        </c15:formulaRef>
                      </c:ext>
                    </c:extLst>
                  </c:multiLvlStrRef>
                </c15:cat>
              </c15:filteredCategoryTitle>
            </c:ext>
            <c:ext xmlns:c16="http://schemas.microsoft.com/office/drawing/2014/chart" uri="{C3380CC4-5D6E-409C-BE32-E72D297353CC}">
              <c16:uniqueId val="{00000000-C88E-4B7B-BE60-59DF341C72A1}"/>
            </c:ext>
          </c:extLst>
        </c:ser>
        <c:dLbls>
          <c:dLblPos val="outEnd"/>
          <c:showLegendKey val="0"/>
          <c:showVal val="1"/>
          <c:showCatName val="0"/>
          <c:showSerName val="0"/>
          <c:showPercent val="0"/>
          <c:showBubbleSize val="0"/>
        </c:dLbls>
        <c:gapWidth val="75"/>
        <c:axId val="500364136"/>
        <c:axId val="500364528"/>
      </c:barChart>
      <c:catAx>
        <c:axId val="500364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00364528"/>
        <c:crosses val="autoZero"/>
        <c:auto val="1"/>
        <c:lblAlgn val="ctr"/>
        <c:lblOffset val="100"/>
        <c:noMultiLvlLbl val="0"/>
      </c:catAx>
      <c:valAx>
        <c:axId val="500364528"/>
        <c:scaling>
          <c:orientation val="minMax"/>
          <c:max val="1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0036413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8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GB"/>
              <a:t>Does your organisation have specific regulations or policies relating to telemedicine?</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17A-420D-9D29-85C28E52136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17A-420D-9D29-85C28E52136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17A-420D-9D29-85C28E52136B}"/>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2"/>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Answers!$L$39:$L$41</c:f>
            </c:multiLvlStrRef>
          </c:cat>
          <c:val>
            <c:numRef>
              <c:f>Answers!$M$39:$M$41</c:f>
            </c:numRef>
          </c:val>
          <c:extLst>
            <c:ext xmlns:c16="http://schemas.microsoft.com/office/drawing/2014/chart" uri="{C3380CC4-5D6E-409C-BE32-E72D297353CC}">
              <c16:uniqueId val="{00000006-217A-420D-9D29-85C28E52136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8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GB"/>
              <a:t>If you do not have a telemedicine regulation or policy in place, do you expect your organisation to develop such regulation/policy in the near future?</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9F6-4556-A4AD-4AED6E933FA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9F6-4556-A4AD-4AED6E933FA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9F6-4556-A4AD-4AED6E933FA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9F6-4556-A4AD-4AED6E933FAD}"/>
              </c:ext>
            </c:extLst>
          </c:dPt>
          <c:dLbls>
            <c:dLbl>
              <c:idx val="0"/>
              <c:delete val="1"/>
              <c:extLst>
                <c:ext xmlns:c15="http://schemas.microsoft.com/office/drawing/2012/chart" uri="{CE6537A1-D6FC-4f65-9D91-7224C49458BB}"/>
                <c:ext xmlns:c16="http://schemas.microsoft.com/office/drawing/2014/chart" uri="{C3380CC4-5D6E-409C-BE32-E72D297353CC}">
                  <c16:uniqueId val="{00000001-99F6-4556-A4AD-4AED6E933FA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2"/>
                    </a:solidFill>
                    <a:latin typeface="+mn-lt"/>
                    <a:ea typeface="+mn-ea"/>
                    <a:cs typeface="+mn-cs"/>
                  </a:defRPr>
                </a:pPr>
                <a:endParaRPr lang="en-US"/>
              </a:p>
            </c:txPr>
            <c:dLblPos val="bestFit"/>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Answers!$U$39:$U$42</c:f>
            </c:multiLvlStrRef>
          </c:cat>
          <c:val>
            <c:numRef>
              <c:f>Answers!$V$39:$V$42</c:f>
            </c:numRef>
          </c:val>
          <c:extLst>
            <c:ext xmlns:c16="http://schemas.microsoft.com/office/drawing/2014/chart" uri="{C3380CC4-5D6E-409C-BE32-E72D297353CC}">
              <c16:uniqueId val="{00000008-99F6-4556-A4AD-4AED6E933FAD}"/>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sz="800"/>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GB"/>
              <a:t>What is the geographical coverage of your organisation?</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3B8-4562-BDE7-5D46DA8436A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3B8-4562-BDE7-5D46DA8436AC}"/>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2"/>
                    </a:solidFill>
                    <a:latin typeface="+mn-lt"/>
                    <a:ea typeface="+mn-ea"/>
                    <a:cs typeface="+mn-cs"/>
                  </a:defRPr>
                </a:pPr>
                <a:endParaRPr lang="en-US"/>
              </a:p>
            </c:txPr>
            <c:dLblPos val="bestFit"/>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Answers!$J$85:$J$86</c:f>
              <c:strCache>
                <c:ptCount val="2"/>
                <c:pt idx="0">
                  <c:v>State / province / etc. (regional regulator)</c:v>
                </c:pt>
                <c:pt idx="1">
                  <c:v>Whole country (national regulator)</c:v>
                </c:pt>
              </c:strCache>
            </c:strRef>
          </c:cat>
          <c:val>
            <c:numRef>
              <c:f>Answers!$K$85:$K$86</c:f>
              <c:numCache>
                <c:formatCode>General</c:formatCode>
                <c:ptCount val="2"/>
                <c:pt idx="0">
                  <c:v>12</c:v>
                </c:pt>
                <c:pt idx="1">
                  <c:v>17</c:v>
                </c:pt>
              </c:numCache>
            </c:numRef>
          </c:val>
          <c:extLst>
            <c:ext xmlns:c16="http://schemas.microsoft.com/office/drawing/2014/chart" uri="{C3380CC4-5D6E-409C-BE32-E72D297353CC}">
              <c16:uniqueId val="{00000004-E3B8-4562-BDE7-5D46DA8436AC}"/>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sz="8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GB"/>
              <a:t>In what areas does your organisation place telemedicine-related requirements on those subject to your regulation/oversight?</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Answers!$O$86:$S$86</c:f>
              <c:numCache>
                <c:formatCode>General</c:formatCode>
                <c:ptCount val="5"/>
                <c:pt idx="0">
                  <c:v>13</c:v>
                </c:pt>
                <c:pt idx="1">
                  <c:v>10</c:v>
                </c:pt>
                <c:pt idx="2">
                  <c:v>18</c:v>
                </c:pt>
                <c:pt idx="3">
                  <c:v>9</c:v>
                </c:pt>
                <c:pt idx="4">
                  <c:v>9</c:v>
                </c:pt>
              </c:numCache>
            </c:numRef>
          </c:val>
          <c:extLst>
            <c:ext xmlns:c15="http://schemas.microsoft.com/office/drawing/2012/chart" uri="{02D57815-91ED-43cb-92C2-25804820EDAC}">
              <c15:filteredCategoryTitle>
                <c15:cat>
                  <c:multiLvlStrRef>
                    <c:extLst>
                      <c:ext uri="{02D57815-91ED-43cb-92C2-25804820EDAC}">
                        <c15:formulaRef>
                          <c15:sqref>Answers!$O$39:$S$39</c15:sqref>
                        </c15:formulaRef>
                      </c:ext>
                    </c:extLst>
                  </c:multiLvlStrRef>
                </c15:cat>
              </c15:filteredCategoryTitle>
            </c:ext>
            <c:ext xmlns:c16="http://schemas.microsoft.com/office/drawing/2014/chart" uri="{C3380CC4-5D6E-409C-BE32-E72D297353CC}">
              <c16:uniqueId val="{00000000-F306-4B69-BC5A-94653F1F6D65}"/>
            </c:ext>
          </c:extLst>
        </c:ser>
        <c:dLbls>
          <c:dLblPos val="outEnd"/>
          <c:showLegendKey val="0"/>
          <c:showVal val="1"/>
          <c:showCatName val="0"/>
          <c:showSerName val="0"/>
          <c:showPercent val="0"/>
          <c:showBubbleSize val="0"/>
        </c:dLbls>
        <c:gapWidth val="75"/>
        <c:axId val="637139704"/>
        <c:axId val="637140096"/>
      </c:barChart>
      <c:catAx>
        <c:axId val="637139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37140096"/>
        <c:crosses val="autoZero"/>
        <c:auto val="1"/>
        <c:lblAlgn val="ctr"/>
        <c:lblOffset val="100"/>
        <c:noMultiLvlLbl val="0"/>
      </c:catAx>
      <c:valAx>
        <c:axId val="637140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3713970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800"/>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GB"/>
              <a:t>Does your organisation have specific regulations or policies relating to telemedicine?</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43E-453E-AF6B-071CC125AE6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43E-453E-AF6B-071CC125AE6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43E-453E-AF6B-071CC125AE68}"/>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2"/>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Answers!$L$85:$L$87</c:f>
              <c:strCache>
                <c:ptCount val="3"/>
                <c:pt idx="0">
                  <c:v>Yes ; formal regulations and/or policies regarding telemedicine</c:v>
                </c:pt>
                <c:pt idx="1">
                  <c:v>No ; no specific regulations or policies relating to telemedicine</c:v>
                </c:pt>
                <c:pt idx="2">
                  <c:v>Yes ; informal or "work-in-progress" regulations and/or policies, including non-binding recommendations</c:v>
                </c:pt>
              </c:strCache>
            </c:strRef>
          </c:cat>
          <c:val>
            <c:numRef>
              <c:f>Answers!$M$85:$M$87</c:f>
              <c:numCache>
                <c:formatCode>General</c:formatCode>
                <c:ptCount val="3"/>
                <c:pt idx="0">
                  <c:v>21</c:v>
                </c:pt>
                <c:pt idx="1">
                  <c:v>5</c:v>
                </c:pt>
                <c:pt idx="2">
                  <c:v>3</c:v>
                </c:pt>
              </c:numCache>
            </c:numRef>
          </c:val>
          <c:extLst>
            <c:ext xmlns:c16="http://schemas.microsoft.com/office/drawing/2014/chart" uri="{C3380CC4-5D6E-409C-BE32-E72D297353CC}">
              <c16:uniqueId val="{00000006-B43E-453E-AF6B-071CC125AE6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800"/>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GB"/>
              <a:t>If you do not have a telemedicine regulation or policy in place, do you expect your organisation to develop such regulation/policy in the near future?</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B73-40AA-B0AF-5024DB5EF83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B73-40AA-B0AF-5024DB5EF83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B73-40AA-B0AF-5024DB5EF83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B73-40AA-B0AF-5024DB5EF83D}"/>
              </c:ext>
            </c:extLst>
          </c:dPt>
          <c:dLbls>
            <c:dLbl>
              <c:idx val="0"/>
              <c:delete val="1"/>
              <c:extLst>
                <c:ext xmlns:c15="http://schemas.microsoft.com/office/drawing/2012/chart" uri="{CE6537A1-D6FC-4f65-9D91-7224C49458BB}"/>
                <c:ext xmlns:c16="http://schemas.microsoft.com/office/drawing/2014/chart" uri="{C3380CC4-5D6E-409C-BE32-E72D297353CC}">
                  <c16:uniqueId val="{00000001-2B73-40AA-B0AF-5024DB5EF83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2"/>
                    </a:solidFill>
                    <a:latin typeface="+mn-lt"/>
                    <a:ea typeface="+mn-ea"/>
                    <a:cs typeface="+mn-cs"/>
                  </a:defRPr>
                </a:pPr>
                <a:endParaRPr lang="en-US"/>
              </a:p>
            </c:txPr>
            <c:dLblPos val="bestFit"/>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Answers!$U$85:$U$88</c:f>
              <c:strCache>
                <c:ptCount val="4"/>
                <c:pt idx="0">
                  <c:v>No</c:v>
                </c:pt>
                <c:pt idx="1">
                  <c:v>Yes</c:v>
                </c:pt>
                <c:pt idx="2">
                  <c:v>Don't know</c:v>
                </c:pt>
                <c:pt idx="3">
                  <c:v>Plans to update</c:v>
                </c:pt>
              </c:strCache>
            </c:strRef>
          </c:cat>
          <c:val>
            <c:numRef>
              <c:f>Answers!$V$85:$V$88</c:f>
              <c:numCache>
                <c:formatCode>General</c:formatCode>
                <c:ptCount val="4"/>
                <c:pt idx="0">
                  <c:v>0</c:v>
                </c:pt>
                <c:pt idx="1">
                  <c:v>4</c:v>
                </c:pt>
                <c:pt idx="2">
                  <c:v>3</c:v>
                </c:pt>
                <c:pt idx="3">
                  <c:v>3</c:v>
                </c:pt>
              </c:numCache>
            </c:numRef>
          </c:val>
          <c:extLst>
            <c:ext xmlns:c16="http://schemas.microsoft.com/office/drawing/2014/chart" uri="{C3380CC4-5D6E-409C-BE32-E72D297353CC}">
              <c16:uniqueId val="{00000008-2B73-40AA-B0AF-5024DB5EF83D}"/>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sz="8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A0054F-6670-41BC-9257-0D8FD670232B}" type="doc">
      <dgm:prSet loTypeId="urn:microsoft.com/office/officeart/2009/layout/CircleArrowProcess" loCatId="cycle" qsTypeId="urn:microsoft.com/office/officeart/2005/8/quickstyle/simple1" qsCatId="simple" csTypeId="urn:microsoft.com/office/officeart/2005/8/colors/accent1_4" csCatId="accent1" phldr="1"/>
      <dgm:spPr/>
      <dgm:t>
        <a:bodyPr/>
        <a:lstStyle/>
        <a:p>
          <a:endParaRPr lang="en-GB"/>
        </a:p>
      </dgm:t>
    </dgm:pt>
    <dgm:pt modelId="{A69A0CBC-7824-45ED-BCC4-0CC789F4B7FF}">
      <dgm:prSet phldrT="[Text]"/>
      <dgm:spPr/>
      <dgm:t>
        <a:bodyPr/>
        <a:lstStyle/>
        <a:p>
          <a:r>
            <a:rPr lang="en-US" dirty="0"/>
            <a:t>Desk research</a:t>
          </a:r>
          <a:endParaRPr lang="en-GB" dirty="0"/>
        </a:p>
      </dgm:t>
    </dgm:pt>
    <dgm:pt modelId="{DBA166A1-E376-4CAF-B0E2-35DB3BF5996E}" type="parTrans" cxnId="{1AA210BE-412A-4C4D-9B23-0E50F0202C16}">
      <dgm:prSet/>
      <dgm:spPr/>
      <dgm:t>
        <a:bodyPr/>
        <a:lstStyle/>
        <a:p>
          <a:endParaRPr lang="en-GB">
            <a:solidFill>
              <a:schemeClr val="tx1"/>
            </a:solidFill>
          </a:endParaRPr>
        </a:p>
      </dgm:t>
    </dgm:pt>
    <dgm:pt modelId="{3A341506-9195-43B0-B277-D997AD717BF4}" type="sibTrans" cxnId="{1AA210BE-412A-4C4D-9B23-0E50F0202C16}">
      <dgm:prSet/>
      <dgm:spPr/>
      <dgm:t>
        <a:bodyPr/>
        <a:lstStyle/>
        <a:p>
          <a:endParaRPr lang="en-GB">
            <a:solidFill>
              <a:schemeClr val="tx1"/>
            </a:solidFill>
          </a:endParaRPr>
        </a:p>
      </dgm:t>
    </dgm:pt>
    <dgm:pt modelId="{7657892F-C936-4B38-9757-D563FEF63F48}">
      <dgm:prSet phldrT="[Text]"/>
      <dgm:spPr/>
      <dgm:t>
        <a:bodyPr/>
        <a:lstStyle/>
        <a:p>
          <a:r>
            <a:rPr lang="pl-PL" dirty="0"/>
            <a:t>Initial and primary source of information</a:t>
          </a:r>
          <a:endParaRPr lang="en-GB" dirty="0"/>
        </a:p>
      </dgm:t>
    </dgm:pt>
    <dgm:pt modelId="{C7746F96-E821-4D15-98D0-4F63EDA2E5CA}" type="parTrans" cxnId="{3234F11E-3D1A-483B-B23E-9BC60A0818CE}">
      <dgm:prSet/>
      <dgm:spPr/>
      <dgm:t>
        <a:bodyPr/>
        <a:lstStyle/>
        <a:p>
          <a:endParaRPr lang="en-GB">
            <a:solidFill>
              <a:schemeClr val="tx1"/>
            </a:solidFill>
          </a:endParaRPr>
        </a:p>
      </dgm:t>
    </dgm:pt>
    <dgm:pt modelId="{70F7B170-E6C9-4DEF-BDD6-1A45CC003B27}" type="sibTrans" cxnId="{3234F11E-3D1A-483B-B23E-9BC60A0818CE}">
      <dgm:prSet/>
      <dgm:spPr/>
      <dgm:t>
        <a:bodyPr/>
        <a:lstStyle/>
        <a:p>
          <a:endParaRPr lang="en-GB">
            <a:solidFill>
              <a:schemeClr val="tx1"/>
            </a:solidFill>
          </a:endParaRPr>
        </a:p>
      </dgm:t>
    </dgm:pt>
    <dgm:pt modelId="{54241BA5-54DA-4CBD-AD03-00E818B90343}">
      <dgm:prSet phldrT="[Text]"/>
      <dgm:spPr/>
      <dgm:t>
        <a:bodyPr/>
        <a:lstStyle/>
        <a:p>
          <a:r>
            <a:rPr lang="en-US" dirty="0"/>
            <a:t>Online survey</a:t>
          </a:r>
          <a:endParaRPr lang="en-GB" dirty="0"/>
        </a:p>
      </dgm:t>
    </dgm:pt>
    <dgm:pt modelId="{58FE3EA3-E4D4-498F-BCB3-2A2168E47614}" type="parTrans" cxnId="{5278877B-724B-4697-A6FD-9D5B90F410C8}">
      <dgm:prSet/>
      <dgm:spPr/>
      <dgm:t>
        <a:bodyPr/>
        <a:lstStyle/>
        <a:p>
          <a:endParaRPr lang="en-GB">
            <a:solidFill>
              <a:schemeClr val="tx1"/>
            </a:solidFill>
          </a:endParaRPr>
        </a:p>
      </dgm:t>
    </dgm:pt>
    <dgm:pt modelId="{BD9BE8E4-1830-4035-830A-DB4A027BB422}" type="sibTrans" cxnId="{5278877B-724B-4697-A6FD-9D5B90F410C8}">
      <dgm:prSet/>
      <dgm:spPr/>
      <dgm:t>
        <a:bodyPr/>
        <a:lstStyle/>
        <a:p>
          <a:endParaRPr lang="en-GB">
            <a:solidFill>
              <a:schemeClr val="tx1"/>
            </a:solidFill>
          </a:endParaRPr>
        </a:p>
      </dgm:t>
    </dgm:pt>
    <dgm:pt modelId="{8C3CCA38-D9F2-4D7E-BA62-B4F9B7401BC6}">
      <dgm:prSet phldrT="[Text]"/>
      <dgm:spPr/>
      <dgm:t>
        <a:bodyPr/>
        <a:lstStyle/>
        <a:p>
          <a:r>
            <a:rPr lang="pl-PL" dirty="0"/>
            <a:t>Accessing a broad range of stakeholders</a:t>
          </a:r>
          <a:endParaRPr lang="en-GB" dirty="0"/>
        </a:p>
      </dgm:t>
    </dgm:pt>
    <dgm:pt modelId="{8B53C922-C615-49F9-8333-B5F5FFE88394}" type="parTrans" cxnId="{130A5B94-063F-417B-B55D-73F15AABA3F3}">
      <dgm:prSet/>
      <dgm:spPr/>
      <dgm:t>
        <a:bodyPr/>
        <a:lstStyle/>
        <a:p>
          <a:endParaRPr lang="en-GB">
            <a:solidFill>
              <a:schemeClr val="tx1"/>
            </a:solidFill>
          </a:endParaRPr>
        </a:p>
      </dgm:t>
    </dgm:pt>
    <dgm:pt modelId="{B9ED3447-9A07-48DA-9453-1C85173FE111}" type="sibTrans" cxnId="{130A5B94-063F-417B-B55D-73F15AABA3F3}">
      <dgm:prSet/>
      <dgm:spPr/>
      <dgm:t>
        <a:bodyPr/>
        <a:lstStyle/>
        <a:p>
          <a:endParaRPr lang="en-GB">
            <a:solidFill>
              <a:schemeClr val="tx1"/>
            </a:solidFill>
          </a:endParaRPr>
        </a:p>
      </dgm:t>
    </dgm:pt>
    <dgm:pt modelId="{85190D14-487F-4B7F-91E0-2DB8557997AD}">
      <dgm:prSet phldrT="[Text]"/>
      <dgm:spPr/>
      <dgm:t>
        <a:bodyPr/>
        <a:lstStyle/>
        <a:p>
          <a:r>
            <a:rPr lang="en-US" dirty="0"/>
            <a:t>Interviews</a:t>
          </a:r>
          <a:endParaRPr lang="en-GB" dirty="0"/>
        </a:p>
      </dgm:t>
    </dgm:pt>
    <dgm:pt modelId="{CF5D905C-EA55-424D-B334-898968C37FC3}" type="parTrans" cxnId="{03E3EE93-4A90-4B55-8F58-188C17BAC047}">
      <dgm:prSet/>
      <dgm:spPr/>
      <dgm:t>
        <a:bodyPr/>
        <a:lstStyle/>
        <a:p>
          <a:endParaRPr lang="en-GB">
            <a:solidFill>
              <a:schemeClr val="tx1"/>
            </a:solidFill>
          </a:endParaRPr>
        </a:p>
      </dgm:t>
    </dgm:pt>
    <dgm:pt modelId="{F21879E5-6DF9-4EFE-89A3-0CB184A79C53}" type="sibTrans" cxnId="{03E3EE93-4A90-4B55-8F58-188C17BAC047}">
      <dgm:prSet/>
      <dgm:spPr/>
      <dgm:t>
        <a:bodyPr/>
        <a:lstStyle/>
        <a:p>
          <a:endParaRPr lang="en-GB">
            <a:solidFill>
              <a:schemeClr val="tx1"/>
            </a:solidFill>
          </a:endParaRPr>
        </a:p>
      </dgm:t>
    </dgm:pt>
    <dgm:pt modelId="{D5F04417-7AAD-480F-8FDF-640DF45C17F6}">
      <dgm:prSet phldrT="[Text]" custT="1"/>
      <dgm:spPr/>
      <dgm:t>
        <a:bodyPr/>
        <a:lstStyle/>
        <a:p>
          <a:r>
            <a:rPr lang="pl-PL" sz="900" dirty="0"/>
            <a:t>Deepening our understanding</a:t>
          </a:r>
          <a:r>
            <a:rPr lang="en-US" sz="900" dirty="0"/>
            <a:t>, </a:t>
          </a:r>
          <a:r>
            <a:rPr lang="pl-PL" sz="900" dirty="0"/>
            <a:t>filling the gaps in desk rese</a:t>
          </a:r>
          <a:r>
            <a:rPr lang="en-US" sz="900" dirty="0"/>
            <a:t>a</a:t>
          </a:r>
          <a:r>
            <a:rPr lang="pl-PL" sz="900" dirty="0"/>
            <a:t>rch</a:t>
          </a:r>
          <a:r>
            <a:rPr lang="en-US" sz="900" dirty="0"/>
            <a:t>, clarifying survey responses</a:t>
          </a:r>
          <a:endParaRPr lang="en-GB" sz="900" dirty="0"/>
        </a:p>
      </dgm:t>
    </dgm:pt>
    <dgm:pt modelId="{549926CF-FE1F-4DE8-8B56-71E8FC49A3CC}" type="parTrans" cxnId="{FAE8A253-C89F-429D-A3D1-3FDC7184091B}">
      <dgm:prSet/>
      <dgm:spPr/>
      <dgm:t>
        <a:bodyPr/>
        <a:lstStyle/>
        <a:p>
          <a:endParaRPr lang="en-GB">
            <a:solidFill>
              <a:schemeClr val="tx1"/>
            </a:solidFill>
          </a:endParaRPr>
        </a:p>
      </dgm:t>
    </dgm:pt>
    <dgm:pt modelId="{49AF548C-5759-4744-919B-E3EE277AF5F3}" type="sibTrans" cxnId="{FAE8A253-C89F-429D-A3D1-3FDC7184091B}">
      <dgm:prSet/>
      <dgm:spPr/>
      <dgm:t>
        <a:bodyPr/>
        <a:lstStyle/>
        <a:p>
          <a:endParaRPr lang="en-GB">
            <a:solidFill>
              <a:schemeClr val="tx1"/>
            </a:solidFill>
          </a:endParaRPr>
        </a:p>
      </dgm:t>
    </dgm:pt>
    <dgm:pt modelId="{92412A22-10C2-4B5E-BB5B-488A390C2B4D}">
      <dgm:prSet phldrT="[Text]"/>
      <dgm:spPr/>
      <dgm:t>
        <a:bodyPr/>
        <a:lstStyle/>
        <a:p>
          <a:r>
            <a:rPr lang="en-GB" dirty="0"/>
            <a:t>Synthesis</a:t>
          </a:r>
        </a:p>
      </dgm:t>
    </dgm:pt>
    <dgm:pt modelId="{FF99D6D1-1734-4778-B0EF-676170AACBF0}" type="parTrans" cxnId="{6DE23494-4AE6-4793-B8EE-3D91C4329CF5}">
      <dgm:prSet/>
      <dgm:spPr/>
      <dgm:t>
        <a:bodyPr/>
        <a:lstStyle/>
        <a:p>
          <a:endParaRPr lang="en-GB"/>
        </a:p>
      </dgm:t>
    </dgm:pt>
    <dgm:pt modelId="{B53499D4-9476-48E5-8B0C-E5B78D5B0006}" type="sibTrans" cxnId="{6DE23494-4AE6-4793-B8EE-3D91C4329CF5}">
      <dgm:prSet/>
      <dgm:spPr/>
      <dgm:t>
        <a:bodyPr/>
        <a:lstStyle/>
        <a:p>
          <a:endParaRPr lang="en-GB"/>
        </a:p>
      </dgm:t>
    </dgm:pt>
    <dgm:pt modelId="{583E5345-2937-4166-9BB8-6ABB196E0ECB}">
      <dgm:prSet phldrT="[Text]" custT="1"/>
      <dgm:spPr/>
      <dgm:t>
        <a:bodyPr/>
        <a:lstStyle/>
        <a:p>
          <a:r>
            <a:rPr lang="en-GB" sz="900" dirty="0"/>
            <a:t>Bringing all the reserach strands together in the report</a:t>
          </a:r>
        </a:p>
      </dgm:t>
    </dgm:pt>
    <dgm:pt modelId="{2221EEED-23C7-44C2-8742-DCB2522EB0CA}" type="parTrans" cxnId="{7EB9247D-09EE-40D3-9D72-503ED6CC631C}">
      <dgm:prSet/>
      <dgm:spPr/>
      <dgm:t>
        <a:bodyPr/>
        <a:lstStyle/>
        <a:p>
          <a:endParaRPr lang="en-GB"/>
        </a:p>
      </dgm:t>
    </dgm:pt>
    <dgm:pt modelId="{ECC7723F-296C-460A-B1A2-94EF18A2A44E}" type="sibTrans" cxnId="{7EB9247D-09EE-40D3-9D72-503ED6CC631C}">
      <dgm:prSet/>
      <dgm:spPr/>
      <dgm:t>
        <a:bodyPr/>
        <a:lstStyle/>
        <a:p>
          <a:endParaRPr lang="en-GB"/>
        </a:p>
      </dgm:t>
    </dgm:pt>
    <dgm:pt modelId="{29CACD32-D96F-43BF-852B-D227FA070387}" type="pres">
      <dgm:prSet presAssocID="{32A0054F-6670-41BC-9257-0D8FD670232B}" presName="Name0" presStyleCnt="0">
        <dgm:presLayoutVars>
          <dgm:chMax val="7"/>
          <dgm:chPref val="7"/>
          <dgm:dir/>
          <dgm:animLvl val="lvl"/>
        </dgm:presLayoutVars>
      </dgm:prSet>
      <dgm:spPr/>
    </dgm:pt>
    <dgm:pt modelId="{409FF471-2D32-4A0F-BDB1-A9A7B4D34DFD}" type="pres">
      <dgm:prSet presAssocID="{A69A0CBC-7824-45ED-BCC4-0CC789F4B7FF}" presName="Accent1" presStyleCnt="0"/>
      <dgm:spPr/>
    </dgm:pt>
    <dgm:pt modelId="{58EFAF2A-594F-4AF4-967D-C4E9EEB676D3}" type="pres">
      <dgm:prSet presAssocID="{A69A0CBC-7824-45ED-BCC4-0CC789F4B7FF}" presName="Accent" presStyleLbl="node1" presStyleIdx="0" presStyleCnt="4"/>
      <dgm:spPr/>
    </dgm:pt>
    <dgm:pt modelId="{C6EC162C-F73B-4A3B-9836-E9BDED35D256}" type="pres">
      <dgm:prSet presAssocID="{A69A0CBC-7824-45ED-BCC4-0CC789F4B7FF}" presName="Child1" presStyleLbl="revTx" presStyleIdx="0" presStyleCnt="8" custScaleX="163377" custScaleY="135544" custLinFactNeighborX="21013">
        <dgm:presLayoutVars>
          <dgm:chMax val="0"/>
          <dgm:chPref val="0"/>
          <dgm:bulletEnabled val="1"/>
        </dgm:presLayoutVars>
      </dgm:prSet>
      <dgm:spPr/>
    </dgm:pt>
    <dgm:pt modelId="{35B9DF28-4757-46E2-BB4B-F576B9258480}" type="pres">
      <dgm:prSet presAssocID="{A69A0CBC-7824-45ED-BCC4-0CC789F4B7FF}" presName="Parent1" presStyleLbl="revTx" presStyleIdx="1" presStyleCnt="8">
        <dgm:presLayoutVars>
          <dgm:chMax val="1"/>
          <dgm:chPref val="1"/>
          <dgm:bulletEnabled val="1"/>
        </dgm:presLayoutVars>
      </dgm:prSet>
      <dgm:spPr/>
    </dgm:pt>
    <dgm:pt modelId="{FFD733FE-A20D-4E2B-9802-97A334EE90A2}" type="pres">
      <dgm:prSet presAssocID="{54241BA5-54DA-4CBD-AD03-00E818B90343}" presName="Accent2" presStyleCnt="0"/>
      <dgm:spPr/>
    </dgm:pt>
    <dgm:pt modelId="{663DBE78-A6A5-48B4-AD67-71EA96CCF63F}" type="pres">
      <dgm:prSet presAssocID="{54241BA5-54DA-4CBD-AD03-00E818B90343}" presName="Accent" presStyleLbl="node1" presStyleIdx="1" presStyleCnt="4"/>
      <dgm:spPr/>
    </dgm:pt>
    <dgm:pt modelId="{9E48255F-38AA-4518-8641-30556E72CD56}" type="pres">
      <dgm:prSet presAssocID="{54241BA5-54DA-4CBD-AD03-00E818B90343}" presName="Child2" presStyleLbl="revTx" presStyleIdx="2" presStyleCnt="8" custScaleX="163377" custScaleY="135544" custLinFactNeighborX="22266">
        <dgm:presLayoutVars>
          <dgm:chMax val="0"/>
          <dgm:chPref val="0"/>
          <dgm:bulletEnabled val="1"/>
        </dgm:presLayoutVars>
      </dgm:prSet>
      <dgm:spPr/>
    </dgm:pt>
    <dgm:pt modelId="{4C370398-5F80-4128-8384-38DD9C282347}" type="pres">
      <dgm:prSet presAssocID="{54241BA5-54DA-4CBD-AD03-00E818B90343}" presName="Parent2" presStyleLbl="revTx" presStyleIdx="3" presStyleCnt="8">
        <dgm:presLayoutVars>
          <dgm:chMax val="1"/>
          <dgm:chPref val="1"/>
          <dgm:bulletEnabled val="1"/>
        </dgm:presLayoutVars>
      </dgm:prSet>
      <dgm:spPr/>
    </dgm:pt>
    <dgm:pt modelId="{A7F9EDC4-AA28-4146-936A-281BBC27BA57}" type="pres">
      <dgm:prSet presAssocID="{85190D14-487F-4B7F-91E0-2DB8557997AD}" presName="Accent3" presStyleCnt="0"/>
      <dgm:spPr/>
    </dgm:pt>
    <dgm:pt modelId="{6595A224-FE2D-446B-8CEC-9E39ECD46C7C}" type="pres">
      <dgm:prSet presAssocID="{85190D14-487F-4B7F-91E0-2DB8557997AD}" presName="Accent" presStyleLbl="node1" presStyleIdx="2" presStyleCnt="4"/>
      <dgm:spPr/>
    </dgm:pt>
    <dgm:pt modelId="{B56E1E39-93B9-4A22-8661-D2D4E22519FE}" type="pres">
      <dgm:prSet presAssocID="{85190D14-487F-4B7F-91E0-2DB8557997AD}" presName="Child3" presStyleLbl="revTx" presStyleIdx="4" presStyleCnt="8" custScaleX="172989" custScaleY="159717" custLinFactNeighborX="21013">
        <dgm:presLayoutVars>
          <dgm:chMax val="0"/>
          <dgm:chPref val="0"/>
          <dgm:bulletEnabled val="1"/>
        </dgm:presLayoutVars>
      </dgm:prSet>
      <dgm:spPr/>
    </dgm:pt>
    <dgm:pt modelId="{AE914EEB-480E-4EE3-9749-F71D776627A9}" type="pres">
      <dgm:prSet presAssocID="{85190D14-487F-4B7F-91E0-2DB8557997AD}" presName="Parent3" presStyleLbl="revTx" presStyleIdx="5" presStyleCnt="8">
        <dgm:presLayoutVars>
          <dgm:chMax val="1"/>
          <dgm:chPref val="1"/>
          <dgm:bulletEnabled val="1"/>
        </dgm:presLayoutVars>
      </dgm:prSet>
      <dgm:spPr/>
    </dgm:pt>
    <dgm:pt modelId="{EA77F4D4-F648-43F8-8AD4-653FF0A72E15}" type="pres">
      <dgm:prSet presAssocID="{92412A22-10C2-4B5E-BB5B-488A390C2B4D}" presName="Accent4" presStyleCnt="0"/>
      <dgm:spPr/>
    </dgm:pt>
    <dgm:pt modelId="{E2977CFF-2AF1-4CC3-930A-DA07898E2D29}" type="pres">
      <dgm:prSet presAssocID="{92412A22-10C2-4B5E-BB5B-488A390C2B4D}" presName="Accent" presStyleLbl="node1" presStyleIdx="3" presStyleCnt="4"/>
      <dgm:spPr/>
    </dgm:pt>
    <dgm:pt modelId="{4F1BBDA0-9F67-4C4E-94CD-7B4D98F1A3BC}" type="pres">
      <dgm:prSet presAssocID="{92412A22-10C2-4B5E-BB5B-488A390C2B4D}" presName="Child4" presStyleLbl="revTx" presStyleIdx="6" presStyleCnt="8" custScaleX="125311" custScaleY="159741">
        <dgm:presLayoutVars>
          <dgm:chMax val="0"/>
          <dgm:chPref val="0"/>
          <dgm:bulletEnabled val="1"/>
        </dgm:presLayoutVars>
      </dgm:prSet>
      <dgm:spPr/>
    </dgm:pt>
    <dgm:pt modelId="{D7C57A5E-335E-4857-9439-D6008C5EDC63}" type="pres">
      <dgm:prSet presAssocID="{92412A22-10C2-4B5E-BB5B-488A390C2B4D}" presName="Parent4" presStyleLbl="revTx" presStyleIdx="7" presStyleCnt="8">
        <dgm:presLayoutVars>
          <dgm:chMax val="1"/>
          <dgm:chPref val="1"/>
          <dgm:bulletEnabled val="1"/>
        </dgm:presLayoutVars>
      </dgm:prSet>
      <dgm:spPr/>
    </dgm:pt>
  </dgm:ptLst>
  <dgm:cxnLst>
    <dgm:cxn modelId="{3234F11E-3D1A-483B-B23E-9BC60A0818CE}" srcId="{A69A0CBC-7824-45ED-BCC4-0CC789F4B7FF}" destId="{7657892F-C936-4B38-9757-D563FEF63F48}" srcOrd="0" destOrd="0" parTransId="{C7746F96-E821-4D15-98D0-4F63EDA2E5CA}" sibTransId="{70F7B170-E6C9-4DEF-BDD6-1A45CC003B27}"/>
    <dgm:cxn modelId="{F255C73C-C603-4D25-8136-3EA77D9F03A6}" type="presOf" srcId="{583E5345-2937-4166-9BB8-6ABB196E0ECB}" destId="{4F1BBDA0-9F67-4C4E-94CD-7B4D98F1A3BC}" srcOrd="0" destOrd="0" presId="urn:microsoft.com/office/officeart/2009/layout/CircleArrowProcess"/>
    <dgm:cxn modelId="{45BEED70-08CB-4AA3-BE0A-5DD97B588F97}" type="presOf" srcId="{7657892F-C936-4B38-9757-D563FEF63F48}" destId="{C6EC162C-F73B-4A3B-9836-E9BDED35D256}" srcOrd="0" destOrd="0" presId="urn:microsoft.com/office/officeart/2009/layout/CircleArrowProcess"/>
    <dgm:cxn modelId="{FAE8A253-C89F-429D-A3D1-3FDC7184091B}" srcId="{85190D14-487F-4B7F-91E0-2DB8557997AD}" destId="{D5F04417-7AAD-480F-8FDF-640DF45C17F6}" srcOrd="0" destOrd="0" parTransId="{549926CF-FE1F-4DE8-8B56-71E8FC49A3CC}" sibTransId="{49AF548C-5759-4744-919B-E3EE277AF5F3}"/>
    <dgm:cxn modelId="{FC8DE954-C3EC-4293-A8EF-48D3C2373C65}" type="presOf" srcId="{8C3CCA38-D9F2-4D7E-BA62-B4F9B7401BC6}" destId="{9E48255F-38AA-4518-8641-30556E72CD56}" srcOrd="0" destOrd="0" presId="urn:microsoft.com/office/officeart/2009/layout/CircleArrowProcess"/>
    <dgm:cxn modelId="{5278877B-724B-4697-A6FD-9D5B90F410C8}" srcId="{32A0054F-6670-41BC-9257-0D8FD670232B}" destId="{54241BA5-54DA-4CBD-AD03-00E818B90343}" srcOrd="1" destOrd="0" parTransId="{58FE3EA3-E4D4-498F-BCB3-2A2168E47614}" sibTransId="{BD9BE8E4-1830-4035-830A-DB4A027BB422}"/>
    <dgm:cxn modelId="{7EB9247D-09EE-40D3-9D72-503ED6CC631C}" srcId="{92412A22-10C2-4B5E-BB5B-488A390C2B4D}" destId="{583E5345-2937-4166-9BB8-6ABB196E0ECB}" srcOrd="0" destOrd="0" parTransId="{2221EEED-23C7-44C2-8742-DCB2522EB0CA}" sibTransId="{ECC7723F-296C-460A-B1A2-94EF18A2A44E}"/>
    <dgm:cxn modelId="{EDE5107E-7833-4236-A416-26BDAC59C27A}" type="presOf" srcId="{D5F04417-7AAD-480F-8FDF-640DF45C17F6}" destId="{B56E1E39-93B9-4A22-8661-D2D4E22519FE}" srcOrd="0" destOrd="0" presId="urn:microsoft.com/office/officeart/2009/layout/CircleArrowProcess"/>
    <dgm:cxn modelId="{85203687-A76D-495C-BCCC-23AE81E67367}" type="presOf" srcId="{92412A22-10C2-4B5E-BB5B-488A390C2B4D}" destId="{D7C57A5E-335E-4857-9439-D6008C5EDC63}" srcOrd="0" destOrd="0" presId="urn:microsoft.com/office/officeart/2009/layout/CircleArrowProcess"/>
    <dgm:cxn modelId="{03E3EE93-4A90-4B55-8F58-188C17BAC047}" srcId="{32A0054F-6670-41BC-9257-0D8FD670232B}" destId="{85190D14-487F-4B7F-91E0-2DB8557997AD}" srcOrd="2" destOrd="0" parTransId="{CF5D905C-EA55-424D-B334-898968C37FC3}" sibTransId="{F21879E5-6DF9-4EFE-89A3-0CB184A79C53}"/>
    <dgm:cxn modelId="{6DE23494-4AE6-4793-B8EE-3D91C4329CF5}" srcId="{32A0054F-6670-41BC-9257-0D8FD670232B}" destId="{92412A22-10C2-4B5E-BB5B-488A390C2B4D}" srcOrd="3" destOrd="0" parTransId="{FF99D6D1-1734-4778-B0EF-676170AACBF0}" sibTransId="{B53499D4-9476-48E5-8B0C-E5B78D5B0006}"/>
    <dgm:cxn modelId="{130A5B94-063F-417B-B55D-73F15AABA3F3}" srcId="{54241BA5-54DA-4CBD-AD03-00E818B90343}" destId="{8C3CCA38-D9F2-4D7E-BA62-B4F9B7401BC6}" srcOrd="0" destOrd="0" parTransId="{8B53C922-C615-49F9-8333-B5F5FFE88394}" sibTransId="{B9ED3447-9A07-48DA-9453-1C85173FE111}"/>
    <dgm:cxn modelId="{CFE095A9-3F06-4647-800E-6EA622936214}" type="presOf" srcId="{32A0054F-6670-41BC-9257-0D8FD670232B}" destId="{29CACD32-D96F-43BF-852B-D227FA070387}" srcOrd="0" destOrd="0" presId="urn:microsoft.com/office/officeart/2009/layout/CircleArrowProcess"/>
    <dgm:cxn modelId="{1AA210BE-412A-4C4D-9B23-0E50F0202C16}" srcId="{32A0054F-6670-41BC-9257-0D8FD670232B}" destId="{A69A0CBC-7824-45ED-BCC4-0CC789F4B7FF}" srcOrd="0" destOrd="0" parTransId="{DBA166A1-E376-4CAF-B0E2-35DB3BF5996E}" sibTransId="{3A341506-9195-43B0-B277-D997AD717BF4}"/>
    <dgm:cxn modelId="{A77F72C2-BEFE-40EA-8FF3-38FE900AD720}" type="presOf" srcId="{85190D14-487F-4B7F-91E0-2DB8557997AD}" destId="{AE914EEB-480E-4EE3-9749-F71D776627A9}" srcOrd="0" destOrd="0" presId="urn:microsoft.com/office/officeart/2009/layout/CircleArrowProcess"/>
    <dgm:cxn modelId="{965FD5FA-D4C1-476B-8D3D-50E005BC858F}" type="presOf" srcId="{54241BA5-54DA-4CBD-AD03-00E818B90343}" destId="{4C370398-5F80-4128-8384-38DD9C282347}" srcOrd="0" destOrd="0" presId="urn:microsoft.com/office/officeart/2009/layout/CircleArrowProcess"/>
    <dgm:cxn modelId="{375F40FE-40EB-4D1E-9D6B-48271DA4DB06}" type="presOf" srcId="{A69A0CBC-7824-45ED-BCC4-0CC789F4B7FF}" destId="{35B9DF28-4757-46E2-BB4B-F576B9258480}" srcOrd="0" destOrd="0" presId="urn:microsoft.com/office/officeart/2009/layout/CircleArrowProcess"/>
    <dgm:cxn modelId="{9F6D9A94-710C-4DED-990F-67C72F5A1070}" type="presParOf" srcId="{29CACD32-D96F-43BF-852B-D227FA070387}" destId="{409FF471-2D32-4A0F-BDB1-A9A7B4D34DFD}" srcOrd="0" destOrd="0" presId="urn:microsoft.com/office/officeart/2009/layout/CircleArrowProcess"/>
    <dgm:cxn modelId="{9ECBA0EF-CC51-4F28-A37C-1B6B7BF070BE}" type="presParOf" srcId="{409FF471-2D32-4A0F-BDB1-A9A7B4D34DFD}" destId="{58EFAF2A-594F-4AF4-967D-C4E9EEB676D3}" srcOrd="0" destOrd="0" presId="urn:microsoft.com/office/officeart/2009/layout/CircleArrowProcess"/>
    <dgm:cxn modelId="{B5524AB7-347E-480C-8B5B-FDB639183A18}" type="presParOf" srcId="{29CACD32-D96F-43BF-852B-D227FA070387}" destId="{C6EC162C-F73B-4A3B-9836-E9BDED35D256}" srcOrd="1" destOrd="0" presId="urn:microsoft.com/office/officeart/2009/layout/CircleArrowProcess"/>
    <dgm:cxn modelId="{28B0F60A-E255-4D9C-81B4-74F7C8B9DCB2}" type="presParOf" srcId="{29CACD32-D96F-43BF-852B-D227FA070387}" destId="{35B9DF28-4757-46E2-BB4B-F576B9258480}" srcOrd="2" destOrd="0" presId="urn:microsoft.com/office/officeart/2009/layout/CircleArrowProcess"/>
    <dgm:cxn modelId="{2177950A-934A-46C9-A046-B3011A4AE915}" type="presParOf" srcId="{29CACD32-D96F-43BF-852B-D227FA070387}" destId="{FFD733FE-A20D-4E2B-9802-97A334EE90A2}" srcOrd="3" destOrd="0" presId="urn:microsoft.com/office/officeart/2009/layout/CircleArrowProcess"/>
    <dgm:cxn modelId="{65EDF13C-4C66-4CA1-A863-57FAC4E4DB60}" type="presParOf" srcId="{FFD733FE-A20D-4E2B-9802-97A334EE90A2}" destId="{663DBE78-A6A5-48B4-AD67-71EA96CCF63F}" srcOrd="0" destOrd="0" presId="urn:microsoft.com/office/officeart/2009/layout/CircleArrowProcess"/>
    <dgm:cxn modelId="{00D522B1-3041-4EEC-B40E-9CECE341CDD3}" type="presParOf" srcId="{29CACD32-D96F-43BF-852B-D227FA070387}" destId="{9E48255F-38AA-4518-8641-30556E72CD56}" srcOrd="4" destOrd="0" presId="urn:microsoft.com/office/officeart/2009/layout/CircleArrowProcess"/>
    <dgm:cxn modelId="{0D928583-B0CE-4EC5-908B-645DEA88C686}" type="presParOf" srcId="{29CACD32-D96F-43BF-852B-D227FA070387}" destId="{4C370398-5F80-4128-8384-38DD9C282347}" srcOrd="5" destOrd="0" presId="urn:microsoft.com/office/officeart/2009/layout/CircleArrowProcess"/>
    <dgm:cxn modelId="{73D9421F-EEBA-400A-8224-D87EB7BEEC16}" type="presParOf" srcId="{29CACD32-D96F-43BF-852B-D227FA070387}" destId="{A7F9EDC4-AA28-4146-936A-281BBC27BA57}" srcOrd="6" destOrd="0" presId="urn:microsoft.com/office/officeart/2009/layout/CircleArrowProcess"/>
    <dgm:cxn modelId="{F10BE529-1A45-4A14-BD26-A930EAAA6D6F}" type="presParOf" srcId="{A7F9EDC4-AA28-4146-936A-281BBC27BA57}" destId="{6595A224-FE2D-446B-8CEC-9E39ECD46C7C}" srcOrd="0" destOrd="0" presId="urn:microsoft.com/office/officeart/2009/layout/CircleArrowProcess"/>
    <dgm:cxn modelId="{FE9AC540-B039-4A80-BFAC-BB674C130C20}" type="presParOf" srcId="{29CACD32-D96F-43BF-852B-D227FA070387}" destId="{B56E1E39-93B9-4A22-8661-D2D4E22519FE}" srcOrd="7" destOrd="0" presId="urn:microsoft.com/office/officeart/2009/layout/CircleArrowProcess"/>
    <dgm:cxn modelId="{FFE138E6-6747-4DDC-B819-C8E79FB128CC}" type="presParOf" srcId="{29CACD32-D96F-43BF-852B-D227FA070387}" destId="{AE914EEB-480E-4EE3-9749-F71D776627A9}" srcOrd="8" destOrd="0" presId="urn:microsoft.com/office/officeart/2009/layout/CircleArrowProcess"/>
    <dgm:cxn modelId="{4B85745F-F95A-44D4-9C65-4C20A1BA9049}" type="presParOf" srcId="{29CACD32-D96F-43BF-852B-D227FA070387}" destId="{EA77F4D4-F648-43F8-8AD4-653FF0A72E15}" srcOrd="9" destOrd="0" presId="urn:microsoft.com/office/officeart/2009/layout/CircleArrowProcess"/>
    <dgm:cxn modelId="{46CFF5A3-2A84-4382-80DE-562BB7B05B4C}" type="presParOf" srcId="{EA77F4D4-F648-43F8-8AD4-653FF0A72E15}" destId="{E2977CFF-2AF1-4CC3-930A-DA07898E2D29}" srcOrd="0" destOrd="0" presId="urn:microsoft.com/office/officeart/2009/layout/CircleArrowProcess"/>
    <dgm:cxn modelId="{31855240-C2F3-41CA-89B6-487B9F85D52A}" type="presParOf" srcId="{29CACD32-D96F-43BF-852B-D227FA070387}" destId="{4F1BBDA0-9F67-4C4E-94CD-7B4D98F1A3BC}" srcOrd="10" destOrd="0" presId="urn:microsoft.com/office/officeart/2009/layout/CircleArrowProcess"/>
    <dgm:cxn modelId="{621BD180-D0A5-4B80-B83E-6488B1278B62}" type="presParOf" srcId="{29CACD32-D96F-43BF-852B-D227FA070387}" destId="{D7C57A5E-335E-4857-9439-D6008C5EDC63}" srcOrd="11" destOrd="0" presId="urn:microsoft.com/office/officeart/2009/layout/CircleArrowProcess"/>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D6B4D75-CE75-4FBD-B257-545693C0E3A5}" type="doc">
      <dgm:prSet loTypeId="urn:microsoft.com/office/officeart/2005/8/layout/vProcess5" loCatId="process" qsTypeId="urn:microsoft.com/office/officeart/2005/8/quickstyle/simple1" qsCatId="simple" csTypeId="urn:microsoft.com/office/officeart/2005/8/colors/accent1_3" csCatId="accent1" phldr="1"/>
      <dgm:spPr/>
      <dgm:t>
        <a:bodyPr/>
        <a:lstStyle/>
        <a:p>
          <a:endParaRPr lang="en-GB"/>
        </a:p>
      </dgm:t>
    </dgm:pt>
    <dgm:pt modelId="{79D1F9FE-13C2-4B7C-81D7-90A5E57B9EC4}">
      <dgm:prSet phldrT="[Text]" custT="1"/>
      <dgm:spPr/>
      <dgm:t>
        <a:bodyPr/>
        <a:lstStyle/>
        <a:p>
          <a:r>
            <a:rPr lang="en-US" sz="1100" b="1" dirty="0"/>
            <a:t>Initial broad ‘sweep’ of regulators and approaches </a:t>
          </a:r>
        </a:p>
        <a:p>
          <a:r>
            <a:rPr lang="en-GB" sz="1000" noProof="0" dirty="0"/>
            <a:t>High-level research across a long-list of countries to identify regulators/organisations potentially relevant for regulating telemedicine</a:t>
          </a:r>
          <a:endParaRPr lang="en-GB" sz="1000" dirty="0"/>
        </a:p>
      </dgm:t>
    </dgm:pt>
    <dgm:pt modelId="{075DB95F-E5EA-4883-B72B-23AB74BB322E}" type="parTrans" cxnId="{47EAC8B8-DBE8-40E5-8CA0-C33E04916D4E}">
      <dgm:prSet/>
      <dgm:spPr/>
      <dgm:t>
        <a:bodyPr/>
        <a:lstStyle/>
        <a:p>
          <a:endParaRPr lang="en-GB" sz="1600"/>
        </a:p>
      </dgm:t>
    </dgm:pt>
    <dgm:pt modelId="{CEAA8CD7-1E8A-45A0-AE51-7A9FE148D393}" type="sibTrans" cxnId="{47EAC8B8-DBE8-40E5-8CA0-C33E04916D4E}">
      <dgm:prSet custT="1"/>
      <dgm:spPr/>
      <dgm:t>
        <a:bodyPr/>
        <a:lstStyle/>
        <a:p>
          <a:endParaRPr lang="en-GB" sz="1600"/>
        </a:p>
      </dgm:t>
    </dgm:pt>
    <dgm:pt modelId="{28B4F9A1-D116-4034-9E19-7DB0F032735B}">
      <dgm:prSet phldrT="[Text]" custT="1"/>
      <dgm:spPr/>
      <dgm:t>
        <a:bodyPr/>
        <a:lstStyle/>
        <a:p>
          <a:r>
            <a:rPr lang="en-US" sz="1100" b="1" dirty="0"/>
            <a:t>Selecting core countries of interest</a:t>
          </a:r>
        </a:p>
        <a:p>
          <a:r>
            <a:rPr lang="en-US" sz="1000"/>
            <a:t>UK, USA, Canada, Australia, New Zealand, Singapore, France, Portugal, and </a:t>
          </a:r>
          <a:r>
            <a:rPr lang="en-US" sz="1000" dirty="0"/>
            <a:t>Denmark</a:t>
          </a:r>
          <a:endParaRPr lang="en-GB" sz="1000" dirty="0"/>
        </a:p>
      </dgm:t>
    </dgm:pt>
    <dgm:pt modelId="{9874F3B7-F2A1-422A-96B6-B6B9F88888BB}" type="parTrans" cxnId="{4B98B051-2DDD-4E4C-90EC-AA74CE9D236C}">
      <dgm:prSet/>
      <dgm:spPr/>
      <dgm:t>
        <a:bodyPr/>
        <a:lstStyle/>
        <a:p>
          <a:endParaRPr lang="en-GB" sz="1600"/>
        </a:p>
      </dgm:t>
    </dgm:pt>
    <dgm:pt modelId="{1FC24F9C-F904-49A8-B1A1-CC360603B025}" type="sibTrans" cxnId="{4B98B051-2DDD-4E4C-90EC-AA74CE9D236C}">
      <dgm:prSet custT="1"/>
      <dgm:spPr/>
      <dgm:t>
        <a:bodyPr/>
        <a:lstStyle/>
        <a:p>
          <a:endParaRPr lang="en-GB" sz="1600"/>
        </a:p>
      </dgm:t>
    </dgm:pt>
    <dgm:pt modelId="{E8F6A654-93B4-4995-B0E6-669C589C4F29}">
      <dgm:prSet phldrT="[Text]" custT="1"/>
      <dgm:spPr/>
      <dgm:t>
        <a:bodyPr/>
        <a:lstStyle/>
        <a:p>
          <a:r>
            <a:rPr lang="en-US" sz="1100" b="1" dirty="0"/>
            <a:t>Focusing desk research on selected regulators</a:t>
          </a:r>
        </a:p>
        <a:p>
          <a:r>
            <a:rPr lang="en-GB" sz="1000" noProof="0" dirty="0"/>
            <a:t>Giving priortiy to the most general regulators in the medical sector first, rather than organisations focusing on particular medical professions</a:t>
          </a:r>
          <a:endParaRPr lang="en-GB" sz="1000" dirty="0"/>
        </a:p>
      </dgm:t>
    </dgm:pt>
    <dgm:pt modelId="{65D20B89-E66C-46C8-B9C5-1DB174390F7E}" type="parTrans" cxnId="{DFE34E67-7C11-433F-A912-EE3B73E958B9}">
      <dgm:prSet/>
      <dgm:spPr/>
      <dgm:t>
        <a:bodyPr/>
        <a:lstStyle/>
        <a:p>
          <a:endParaRPr lang="en-GB" sz="1600"/>
        </a:p>
      </dgm:t>
    </dgm:pt>
    <dgm:pt modelId="{261C37E7-F397-45AB-AAC2-00EEDEEB0955}" type="sibTrans" cxnId="{DFE34E67-7C11-433F-A912-EE3B73E958B9}">
      <dgm:prSet/>
      <dgm:spPr/>
      <dgm:t>
        <a:bodyPr/>
        <a:lstStyle/>
        <a:p>
          <a:endParaRPr lang="en-GB" sz="1600"/>
        </a:p>
      </dgm:t>
    </dgm:pt>
    <dgm:pt modelId="{75032601-596E-4A22-A62C-1CA3760A02A3}" type="pres">
      <dgm:prSet presAssocID="{2D6B4D75-CE75-4FBD-B257-545693C0E3A5}" presName="outerComposite" presStyleCnt="0">
        <dgm:presLayoutVars>
          <dgm:chMax val="5"/>
          <dgm:dir/>
          <dgm:resizeHandles val="exact"/>
        </dgm:presLayoutVars>
      </dgm:prSet>
      <dgm:spPr/>
    </dgm:pt>
    <dgm:pt modelId="{334D18F2-1F36-418B-9585-BE29BD529AB9}" type="pres">
      <dgm:prSet presAssocID="{2D6B4D75-CE75-4FBD-B257-545693C0E3A5}" presName="dummyMaxCanvas" presStyleCnt="0">
        <dgm:presLayoutVars/>
      </dgm:prSet>
      <dgm:spPr/>
    </dgm:pt>
    <dgm:pt modelId="{A17C6FBB-8F4E-45BF-AE85-7FC905DA7A4F}" type="pres">
      <dgm:prSet presAssocID="{2D6B4D75-CE75-4FBD-B257-545693C0E3A5}" presName="ThreeNodes_1" presStyleLbl="node1" presStyleIdx="0" presStyleCnt="3">
        <dgm:presLayoutVars>
          <dgm:bulletEnabled val="1"/>
        </dgm:presLayoutVars>
      </dgm:prSet>
      <dgm:spPr/>
    </dgm:pt>
    <dgm:pt modelId="{D3F635EB-FBEA-4369-9443-AB125100C42D}" type="pres">
      <dgm:prSet presAssocID="{2D6B4D75-CE75-4FBD-B257-545693C0E3A5}" presName="ThreeNodes_2" presStyleLbl="node1" presStyleIdx="1" presStyleCnt="3">
        <dgm:presLayoutVars>
          <dgm:bulletEnabled val="1"/>
        </dgm:presLayoutVars>
      </dgm:prSet>
      <dgm:spPr/>
    </dgm:pt>
    <dgm:pt modelId="{0A1D0CFD-B810-417B-B6A0-22738E7AE1B4}" type="pres">
      <dgm:prSet presAssocID="{2D6B4D75-CE75-4FBD-B257-545693C0E3A5}" presName="ThreeNodes_3" presStyleLbl="node1" presStyleIdx="2" presStyleCnt="3">
        <dgm:presLayoutVars>
          <dgm:bulletEnabled val="1"/>
        </dgm:presLayoutVars>
      </dgm:prSet>
      <dgm:spPr/>
    </dgm:pt>
    <dgm:pt modelId="{68E2FEC1-BBEA-44CB-8CD2-08F52054563F}" type="pres">
      <dgm:prSet presAssocID="{2D6B4D75-CE75-4FBD-B257-545693C0E3A5}" presName="ThreeConn_1-2" presStyleLbl="fgAccFollowNode1" presStyleIdx="0" presStyleCnt="2">
        <dgm:presLayoutVars>
          <dgm:bulletEnabled val="1"/>
        </dgm:presLayoutVars>
      </dgm:prSet>
      <dgm:spPr/>
    </dgm:pt>
    <dgm:pt modelId="{BCC02434-A1EF-450D-B317-D59449754702}" type="pres">
      <dgm:prSet presAssocID="{2D6B4D75-CE75-4FBD-B257-545693C0E3A5}" presName="ThreeConn_2-3" presStyleLbl="fgAccFollowNode1" presStyleIdx="1" presStyleCnt="2">
        <dgm:presLayoutVars>
          <dgm:bulletEnabled val="1"/>
        </dgm:presLayoutVars>
      </dgm:prSet>
      <dgm:spPr/>
    </dgm:pt>
    <dgm:pt modelId="{7E670534-CA18-47AC-A94A-F9828105CD03}" type="pres">
      <dgm:prSet presAssocID="{2D6B4D75-CE75-4FBD-B257-545693C0E3A5}" presName="ThreeNodes_1_text" presStyleLbl="node1" presStyleIdx="2" presStyleCnt="3">
        <dgm:presLayoutVars>
          <dgm:bulletEnabled val="1"/>
        </dgm:presLayoutVars>
      </dgm:prSet>
      <dgm:spPr/>
    </dgm:pt>
    <dgm:pt modelId="{BDC2FC19-1E13-4497-9737-32CBF8A08304}" type="pres">
      <dgm:prSet presAssocID="{2D6B4D75-CE75-4FBD-B257-545693C0E3A5}" presName="ThreeNodes_2_text" presStyleLbl="node1" presStyleIdx="2" presStyleCnt="3">
        <dgm:presLayoutVars>
          <dgm:bulletEnabled val="1"/>
        </dgm:presLayoutVars>
      </dgm:prSet>
      <dgm:spPr/>
    </dgm:pt>
    <dgm:pt modelId="{D40E2BDB-5E81-4809-A903-C8CCFE296536}" type="pres">
      <dgm:prSet presAssocID="{2D6B4D75-CE75-4FBD-B257-545693C0E3A5}" presName="ThreeNodes_3_text" presStyleLbl="node1" presStyleIdx="2" presStyleCnt="3">
        <dgm:presLayoutVars>
          <dgm:bulletEnabled val="1"/>
        </dgm:presLayoutVars>
      </dgm:prSet>
      <dgm:spPr/>
    </dgm:pt>
  </dgm:ptLst>
  <dgm:cxnLst>
    <dgm:cxn modelId="{A5452012-C5F5-40D8-99F3-F5FEEF52F05E}" type="presOf" srcId="{CEAA8CD7-1E8A-45A0-AE51-7A9FE148D393}" destId="{68E2FEC1-BBEA-44CB-8CD2-08F52054563F}" srcOrd="0" destOrd="0" presId="urn:microsoft.com/office/officeart/2005/8/layout/vProcess5"/>
    <dgm:cxn modelId="{DFE34E67-7C11-433F-A912-EE3B73E958B9}" srcId="{2D6B4D75-CE75-4FBD-B257-545693C0E3A5}" destId="{E8F6A654-93B4-4995-B0E6-669C589C4F29}" srcOrd="2" destOrd="0" parTransId="{65D20B89-E66C-46C8-B9C5-1DB174390F7E}" sibTransId="{261C37E7-F397-45AB-AAC2-00EEDEEB0955}"/>
    <dgm:cxn modelId="{4B98B051-2DDD-4E4C-90EC-AA74CE9D236C}" srcId="{2D6B4D75-CE75-4FBD-B257-545693C0E3A5}" destId="{28B4F9A1-D116-4034-9E19-7DB0F032735B}" srcOrd="1" destOrd="0" parTransId="{9874F3B7-F2A1-422A-96B6-B6B9F88888BB}" sibTransId="{1FC24F9C-F904-49A8-B1A1-CC360603B025}"/>
    <dgm:cxn modelId="{35A24854-812C-4CE5-AAE5-F570E0FA479D}" type="presOf" srcId="{79D1F9FE-13C2-4B7C-81D7-90A5E57B9EC4}" destId="{7E670534-CA18-47AC-A94A-F9828105CD03}" srcOrd="1" destOrd="0" presId="urn:microsoft.com/office/officeart/2005/8/layout/vProcess5"/>
    <dgm:cxn modelId="{8265AC54-F531-47D8-BC36-F636B33F0C31}" type="presOf" srcId="{28B4F9A1-D116-4034-9E19-7DB0F032735B}" destId="{BDC2FC19-1E13-4497-9737-32CBF8A08304}" srcOrd="1" destOrd="0" presId="urn:microsoft.com/office/officeart/2005/8/layout/vProcess5"/>
    <dgm:cxn modelId="{767C0883-91F7-4B0F-82D5-FE5B453FB0C8}" type="presOf" srcId="{2D6B4D75-CE75-4FBD-B257-545693C0E3A5}" destId="{75032601-596E-4A22-A62C-1CA3760A02A3}" srcOrd="0" destOrd="0" presId="urn:microsoft.com/office/officeart/2005/8/layout/vProcess5"/>
    <dgm:cxn modelId="{052A78AF-ED7D-42CB-A213-78AC510365C9}" type="presOf" srcId="{28B4F9A1-D116-4034-9E19-7DB0F032735B}" destId="{D3F635EB-FBEA-4369-9443-AB125100C42D}" srcOrd="0" destOrd="0" presId="urn:microsoft.com/office/officeart/2005/8/layout/vProcess5"/>
    <dgm:cxn modelId="{419CA1B5-AFA7-4D50-9EDD-A0EE3A1B2F6C}" type="presOf" srcId="{79D1F9FE-13C2-4B7C-81D7-90A5E57B9EC4}" destId="{A17C6FBB-8F4E-45BF-AE85-7FC905DA7A4F}" srcOrd="0" destOrd="0" presId="urn:microsoft.com/office/officeart/2005/8/layout/vProcess5"/>
    <dgm:cxn modelId="{47EAC8B8-DBE8-40E5-8CA0-C33E04916D4E}" srcId="{2D6B4D75-CE75-4FBD-B257-545693C0E3A5}" destId="{79D1F9FE-13C2-4B7C-81D7-90A5E57B9EC4}" srcOrd="0" destOrd="0" parTransId="{075DB95F-E5EA-4883-B72B-23AB74BB322E}" sibTransId="{CEAA8CD7-1E8A-45A0-AE51-7A9FE148D393}"/>
    <dgm:cxn modelId="{240FBFDF-4122-4108-93B1-E0AAAA66CEAD}" type="presOf" srcId="{E8F6A654-93B4-4995-B0E6-669C589C4F29}" destId="{0A1D0CFD-B810-417B-B6A0-22738E7AE1B4}" srcOrd="0" destOrd="0" presId="urn:microsoft.com/office/officeart/2005/8/layout/vProcess5"/>
    <dgm:cxn modelId="{EFDCE5EA-B805-49C8-9DB7-26401846E8C1}" type="presOf" srcId="{1FC24F9C-F904-49A8-B1A1-CC360603B025}" destId="{BCC02434-A1EF-450D-B317-D59449754702}" srcOrd="0" destOrd="0" presId="urn:microsoft.com/office/officeart/2005/8/layout/vProcess5"/>
    <dgm:cxn modelId="{7A8AE4F2-D0FA-467E-B381-5D768201743A}" type="presOf" srcId="{E8F6A654-93B4-4995-B0E6-669C589C4F29}" destId="{D40E2BDB-5E81-4809-A903-C8CCFE296536}" srcOrd="1" destOrd="0" presId="urn:microsoft.com/office/officeart/2005/8/layout/vProcess5"/>
    <dgm:cxn modelId="{3C90FEE2-4D7D-4FDC-8D52-E47ABD216A08}" type="presParOf" srcId="{75032601-596E-4A22-A62C-1CA3760A02A3}" destId="{334D18F2-1F36-418B-9585-BE29BD529AB9}" srcOrd="0" destOrd="0" presId="urn:microsoft.com/office/officeart/2005/8/layout/vProcess5"/>
    <dgm:cxn modelId="{755FDF63-5BCA-40B9-8FA4-9CEE351D0C14}" type="presParOf" srcId="{75032601-596E-4A22-A62C-1CA3760A02A3}" destId="{A17C6FBB-8F4E-45BF-AE85-7FC905DA7A4F}" srcOrd="1" destOrd="0" presId="urn:microsoft.com/office/officeart/2005/8/layout/vProcess5"/>
    <dgm:cxn modelId="{1AF2616E-799E-48E8-99EE-C0D5F3B019AA}" type="presParOf" srcId="{75032601-596E-4A22-A62C-1CA3760A02A3}" destId="{D3F635EB-FBEA-4369-9443-AB125100C42D}" srcOrd="2" destOrd="0" presId="urn:microsoft.com/office/officeart/2005/8/layout/vProcess5"/>
    <dgm:cxn modelId="{E7DAC2E4-C6C5-4305-883A-B64A6345273E}" type="presParOf" srcId="{75032601-596E-4A22-A62C-1CA3760A02A3}" destId="{0A1D0CFD-B810-417B-B6A0-22738E7AE1B4}" srcOrd="3" destOrd="0" presId="urn:microsoft.com/office/officeart/2005/8/layout/vProcess5"/>
    <dgm:cxn modelId="{C774C562-4EA6-498D-B89B-7F933314785A}" type="presParOf" srcId="{75032601-596E-4A22-A62C-1CA3760A02A3}" destId="{68E2FEC1-BBEA-44CB-8CD2-08F52054563F}" srcOrd="4" destOrd="0" presId="urn:microsoft.com/office/officeart/2005/8/layout/vProcess5"/>
    <dgm:cxn modelId="{45A2EDD3-1159-4FE1-AF86-72E86528E6BB}" type="presParOf" srcId="{75032601-596E-4A22-A62C-1CA3760A02A3}" destId="{BCC02434-A1EF-450D-B317-D59449754702}" srcOrd="5" destOrd="0" presId="urn:microsoft.com/office/officeart/2005/8/layout/vProcess5"/>
    <dgm:cxn modelId="{B4671E25-F9F9-478C-BBD1-F924D7116E8C}" type="presParOf" srcId="{75032601-596E-4A22-A62C-1CA3760A02A3}" destId="{7E670534-CA18-47AC-A94A-F9828105CD03}" srcOrd="6" destOrd="0" presId="urn:microsoft.com/office/officeart/2005/8/layout/vProcess5"/>
    <dgm:cxn modelId="{9C25357F-EB69-49D4-B0D7-2195F5911D2B}" type="presParOf" srcId="{75032601-596E-4A22-A62C-1CA3760A02A3}" destId="{BDC2FC19-1E13-4497-9737-32CBF8A08304}" srcOrd="7" destOrd="0" presId="urn:microsoft.com/office/officeart/2005/8/layout/vProcess5"/>
    <dgm:cxn modelId="{F03A6060-0E90-4AB8-8E70-7B55989D3981}" type="presParOf" srcId="{75032601-596E-4A22-A62C-1CA3760A02A3}" destId="{D40E2BDB-5E81-4809-A903-C8CCFE296536}" srcOrd="8" destOrd="0" presId="urn:microsoft.com/office/officeart/2005/8/layout/vProcess5"/>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EFAF2A-594F-4AF4-967D-C4E9EEB676D3}">
      <dsp:nvSpPr>
        <dsp:cNvPr id="0" name=""/>
        <dsp:cNvSpPr/>
      </dsp:nvSpPr>
      <dsp:spPr>
        <a:xfrm>
          <a:off x="1309248" y="0"/>
          <a:ext cx="1368366" cy="1368505"/>
        </a:xfrm>
        <a:prstGeom prst="circularArrow">
          <a:avLst>
            <a:gd name="adj1" fmla="val 10980"/>
            <a:gd name="adj2" fmla="val 1142322"/>
            <a:gd name="adj3" fmla="val 4500000"/>
            <a:gd name="adj4" fmla="val 10800000"/>
            <a:gd name="adj5" fmla="val 12500"/>
          </a:avLst>
        </a:prstGeom>
        <a:solidFill>
          <a:schemeClr val="accent1">
            <a:shade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6EC162C-F73B-4A3B-9836-E9BDED35D256}">
      <dsp:nvSpPr>
        <dsp:cNvPr id="0" name=""/>
        <dsp:cNvSpPr/>
      </dsp:nvSpPr>
      <dsp:spPr>
        <a:xfrm>
          <a:off x="2587983" y="309345"/>
          <a:ext cx="1340266" cy="7378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57150" lvl="1" indent="-57150" algn="l" defTabSz="400050">
            <a:lnSpc>
              <a:spcPct val="90000"/>
            </a:lnSpc>
            <a:spcBef>
              <a:spcPct val="0"/>
            </a:spcBef>
            <a:spcAft>
              <a:spcPct val="15000"/>
            </a:spcAft>
            <a:buChar char="•"/>
          </a:pPr>
          <a:r>
            <a:rPr lang="pl-PL" sz="900" kern="1200" dirty="0"/>
            <a:t>Initial and primary source of information</a:t>
          </a:r>
          <a:endParaRPr lang="en-GB" sz="900" kern="1200" dirty="0"/>
        </a:p>
      </dsp:txBody>
      <dsp:txXfrm>
        <a:off x="2587983" y="309345"/>
        <a:ext cx="1340266" cy="737838"/>
      </dsp:txXfrm>
    </dsp:sp>
    <dsp:sp modelId="{35B9DF28-4757-46E2-BB4B-F576B9258480}">
      <dsp:nvSpPr>
        <dsp:cNvPr id="0" name=""/>
        <dsp:cNvSpPr/>
      </dsp:nvSpPr>
      <dsp:spPr>
        <a:xfrm>
          <a:off x="1611361" y="495361"/>
          <a:ext cx="763625" cy="3817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dirty="0"/>
            <a:t>Desk research</a:t>
          </a:r>
          <a:endParaRPr lang="en-GB" sz="1300" kern="1200" dirty="0"/>
        </a:p>
      </dsp:txBody>
      <dsp:txXfrm>
        <a:off x="1611361" y="495361"/>
        <a:ext cx="763625" cy="381773"/>
      </dsp:txXfrm>
    </dsp:sp>
    <dsp:sp modelId="{663DBE78-A6A5-48B4-AD67-71EA96CCF63F}">
      <dsp:nvSpPr>
        <dsp:cNvPr id="0" name=""/>
        <dsp:cNvSpPr/>
      </dsp:nvSpPr>
      <dsp:spPr>
        <a:xfrm>
          <a:off x="929103" y="786409"/>
          <a:ext cx="1368366" cy="1368505"/>
        </a:xfrm>
        <a:prstGeom prst="leftCircularArrow">
          <a:avLst>
            <a:gd name="adj1" fmla="val 10980"/>
            <a:gd name="adj2" fmla="val 1142322"/>
            <a:gd name="adj3" fmla="val 6300000"/>
            <a:gd name="adj4" fmla="val 18900000"/>
            <a:gd name="adj5" fmla="val 12500"/>
          </a:avLst>
        </a:prstGeom>
        <a:solidFill>
          <a:schemeClr val="accent1">
            <a:shade val="50000"/>
            <a:hueOff val="-223576"/>
            <a:satOff val="-15768"/>
            <a:lumOff val="2403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E48255F-38AA-4518-8641-30556E72CD56}">
      <dsp:nvSpPr>
        <dsp:cNvPr id="0" name=""/>
        <dsp:cNvSpPr/>
      </dsp:nvSpPr>
      <dsp:spPr>
        <a:xfrm>
          <a:off x="2224535" y="1105190"/>
          <a:ext cx="1340266" cy="7378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57150" lvl="1" indent="-57150" algn="l" defTabSz="400050">
            <a:lnSpc>
              <a:spcPct val="90000"/>
            </a:lnSpc>
            <a:spcBef>
              <a:spcPct val="0"/>
            </a:spcBef>
            <a:spcAft>
              <a:spcPct val="15000"/>
            </a:spcAft>
            <a:buChar char="•"/>
          </a:pPr>
          <a:r>
            <a:rPr lang="pl-PL" sz="900" kern="1200" dirty="0"/>
            <a:t>Accessing a broad range of stakeholders</a:t>
          </a:r>
          <a:endParaRPr lang="en-GB" sz="900" kern="1200" dirty="0"/>
        </a:p>
      </dsp:txBody>
      <dsp:txXfrm>
        <a:off x="2224535" y="1105190"/>
        <a:ext cx="1340266" cy="737838"/>
      </dsp:txXfrm>
    </dsp:sp>
    <dsp:sp modelId="{4C370398-5F80-4128-8384-38DD9C282347}">
      <dsp:nvSpPr>
        <dsp:cNvPr id="0" name=""/>
        <dsp:cNvSpPr/>
      </dsp:nvSpPr>
      <dsp:spPr>
        <a:xfrm>
          <a:off x="1229676" y="1283223"/>
          <a:ext cx="763625" cy="3817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dirty="0"/>
            <a:t>Online survey</a:t>
          </a:r>
          <a:endParaRPr lang="en-GB" sz="1300" kern="1200" dirty="0"/>
        </a:p>
      </dsp:txBody>
      <dsp:txXfrm>
        <a:off x="1229676" y="1283223"/>
        <a:ext cx="763625" cy="381773"/>
      </dsp:txXfrm>
    </dsp:sp>
    <dsp:sp modelId="{6595A224-FE2D-446B-8CEC-9E39ECD46C7C}">
      <dsp:nvSpPr>
        <dsp:cNvPr id="0" name=""/>
        <dsp:cNvSpPr/>
      </dsp:nvSpPr>
      <dsp:spPr>
        <a:xfrm>
          <a:off x="1309248" y="1575722"/>
          <a:ext cx="1368366" cy="1368505"/>
        </a:xfrm>
        <a:prstGeom prst="circularArrow">
          <a:avLst>
            <a:gd name="adj1" fmla="val 10980"/>
            <a:gd name="adj2" fmla="val 1142322"/>
            <a:gd name="adj3" fmla="val 4500000"/>
            <a:gd name="adj4" fmla="val 13500000"/>
            <a:gd name="adj5" fmla="val 12500"/>
          </a:avLst>
        </a:prstGeom>
        <a:solidFill>
          <a:schemeClr val="accent1">
            <a:shade val="50000"/>
            <a:hueOff val="-447153"/>
            <a:satOff val="-31536"/>
            <a:lumOff val="4806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56E1E39-93B9-4A22-8661-D2D4E22519FE}">
      <dsp:nvSpPr>
        <dsp:cNvPr id="0" name=""/>
        <dsp:cNvSpPr/>
      </dsp:nvSpPr>
      <dsp:spPr>
        <a:xfrm>
          <a:off x="2548557" y="1819274"/>
          <a:ext cx="1419119" cy="8694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marL="57150" lvl="1" indent="-57150" algn="l" defTabSz="400050">
            <a:lnSpc>
              <a:spcPct val="90000"/>
            </a:lnSpc>
            <a:spcBef>
              <a:spcPct val="0"/>
            </a:spcBef>
            <a:spcAft>
              <a:spcPct val="15000"/>
            </a:spcAft>
            <a:buChar char="•"/>
          </a:pPr>
          <a:r>
            <a:rPr lang="pl-PL" sz="900" kern="1200" dirty="0"/>
            <a:t>Deepening our understanding</a:t>
          </a:r>
          <a:r>
            <a:rPr lang="en-US" sz="900" kern="1200" dirty="0"/>
            <a:t>, </a:t>
          </a:r>
          <a:r>
            <a:rPr lang="pl-PL" sz="900" kern="1200" dirty="0"/>
            <a:t>filling the gaps in desk rese</a:t>
          </a:r>
          <a:r>
            <a:rPr lang="en-US" sz="900" kern="1200" dirty="0"/>
            <a:t>a</a:t>
          </a:r>
          <a:r>
            <a:rPr lang="pl-PL" sz="900" kern="1200" dirty="0"/>
            <a:t>rch</a:t>
          </a:r>
          <a:r>
            <a:rPr lang="en-US" sz="900" kern="1200" dirty="0"/>
            <a:t>, clarifying survey responses</a:t>
          </a:r>
          <a:endParaRPr lang="en-GB" sz="900" kern="1200" dirty="0"/>
        </a:p>
      </dsp:txBody>
      <dsp:txXfrm>
        <a:off x="2548557" y="1819274"/>
        <a:ext cx="1419119" cy="869425"/>
      </dsp:txXfrm>
    </dsp:sp>
    <dsp:sp modelId="{AE914EEB-480E-4EE3-9749-F71D776627A9}">
      <dsp:nvSpPr>
        <dsp:cNvPr id="0" name=""/>
        <dsp:cNvSpPr/>
      </dsp:nvSpPr>
      <dsp:spPr>
        <a:xfrm>
          <a:off x="1611361" y="2071084"/>
          <a:ext cx="763625" cy="3817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dirty="0"/>
            <a:t>Interviews</a:t>
          </a:r>
          <a:endParaRPr lang="en-GB" sz="1300" kern="1200" dirty="0"/>
        </a:p>
      </dsp:txBody>
      <dsp:txXfrm>
        <a:off x="1611361" y="2071084"/>
        <a:ext cx="763625" cy="381773"/>
      </dsp:txXfrm>
    </dsp:sp>
    <dsp:sp modelId="{E2977CFF-2AF1-4CC3-930A-DA07898E2D29}">
      <dsp:nvSpPr>
        <dsp:cNvPr id="0" name=""/>
        <dsp:cNvSpPr/>
      </dsp:nvSpPr>
      <dsp:spPr>
        <a:xfrm>
          <a:off x="1026642" y="2452857"/>
          <a:ext cx="1175598" cy="1176167"/>
        </a:xfrm>
        <a:prstGeom prst="blockArc">
          <a:avLst>
            <a:gd name="adj1" fmla="val 0"/>
            <a:gd name="adj2" fmla="val 18900000"/>
            <a:gd name="adj3" fmla="val 12740"/>
          </a:avLst>
        </a:prstGeom>
        <a:solidFill>
          <a:schemeClr val="accent1">
            <a:shade val="50000"/>
            <a:hueOff val="-223576"/>
            <a:satOff val="-15768"/>
            <a:lumOff val="2403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F1BBDA0-9F67-4C4E-94CD-7B4D98F1A3BC}">
      <dsp:nvSpPr>
        <dsp:cNvPr id="0" name=""/>
        <dsp:cNvSpPr/>
      </dsp:nvSpPr>
      <dsp:spPr>
        <a:xfrm>
          <a:off x="2198013" y="2607070"/>
          <a:ext cx="1027991" cy="8695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kern="1200" dirty="0"/>
            <a:t>Bringing all the reserach strands together in the report</a:t>
          </a:r>
        </a:p>
      </dsp:txBody>
      <dsp:txXfrm>
        <a:off x="2198013" y="2607070"/>
        <a:ext cx="1027991" cy="869556"/>
      </dsp:txXfrm>
    </dsp:sp>
    <dsp:sp modelId="{D7C57A5E-335E-4857-9439-D6008C5EDC63}">
      <dsp:nvSpPr>
        <dsp:cNvPr id="0" name=""/>
        <dsp:cNvSpPr/>
      </dsp:nvSpPr>
      <dsp:spPr>
        <a:xfrm>
          <a:off x="1229676" y="2858945"/>
          <a:ext cx="763625" cy="3817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dirty="0"/>
            <a:t>Synthesis</a:t>
          </a:r>
        </a:p>
      </dsp:txBody>
      <dsp:txXfrm>
        <a:off x="1229676" y="2858945"/>
        <a:ext cx="763625" cy="38177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7C6FBB-8F4E-45BF-AE85-7FC905DA7A4F}">
      <dsp:nvSpPr>
        <dsp:cNvPr id="0" name=""/>
        <dsp:cNvSpPr/>
      </dsp:nvSpPr>
      <dsp:spPr>
        <a:xfrm>
          <a:off x="0" y="0"/>
          <a:ext cx="5202110" cy="572400"/>
        </a:xfrm>
        <a:prstGeom prst="roundRect">
          <a:avLst>
            <a:gd name="adj" fmla="val 10000"/>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US" sz="1100" b="1" kern="1200" dirty="0"/>
            <a:t>Initial broad ‘sweep’ of regulators and approaches </a:t>
          </a:r>
        </a:p>
        <a:p>
          <a:pPr marL="0" lvl="0" indent="0" algn="l" defTabSz="488950">
            <a:lnSpc>
              <a:spcPct val="90000"/>
            </a:lnSpc>
            <a:spcBef>
              <a:spcPct val="0"/>
            </a:spcBef>
            <a:spcAft>
              <a:spcPct val="35000"/>
            </a:spcAft>
            <a:buNone/>
          </a:pPr>
          <a:r>
            <a:rPr lang="en-GB" sz="1000" kern="1200" noProof="0" dirty="0"/>
            <a:t>High-level research across a long-list of countries to identify regulators/organisations potentially relevant for regulating telemedicine</a:t>
          </a:r>
          <a:endParaRPr lang="en-GB" sz="1000" kern="1200" dirty="0"/>
        </a:p>
      </dsp:txBody>
      <dsp:txXfrm>
        <a:off x="16765" y="16765"/>
        <a:ext cx="4584446" cy="538870"/>
      </dsp:txXfrm>
    </dsp:sp>
    <dsp:sp modelId="{D3F635EB-FBEA-4369-9443-AB125100C42D}">
      <dsp:nvSpPr>
        <dsp:cNvPr id="0" name=""/>
        <dsp:cNvSpPr/>
      </dsp:nvSpPr>
      <dsp:spPr>
        <a:xfrm>
          <a:off x="459009" y="667799"/>
          <a:ext cx="5202110" cy="572400"/>
        </a:xfrm>
        <a:prstGeom prst="roundRect">
          <a:avLst>
            <a:gd name="adj" fmla="val 10000"/>
          </a:avLst>
        </a:prstGeom>
        <a:solidFill>
          <a:schemeClr val="accent1">
            <a:shade val="80000"/>
            <a:hueOff val="-200656"/>
            <a:satOff val="-14049"/>
            <a:lumOff val="1603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US" sz="1100" b="1" kern="1200" dirty="0"/>
            <a:t>Selecting core countries of interest</a:t>
          </a:r>
        </a:p>
        <a:p>
          <a:pPr marL="0" lvl="0" indent="0" algn="l" defTabSz="488950">
            <a:lnSpc>
              <a:spcPct val="90000"/>
            </a:lnSpc>
            <a:spcBef>
              <a:spcPct val="0"/>
            </a:spcBef>
            <a:spcAft>
              <a:spcPct val="35000"/>
            </a:spcAft>
            <a:buNone/>
          </a:pPr>
          <a:r>
            <a:rPr lang="en-US" sz="1000" kern="1200"/>
            <a:t>UK, USA, Canada, Australia, New Zealand, Singapore, France, Portugal, and </a:t>
          </a:r>
          <a:r>
            <a:rPr lang="en-US" sz="1000" kern="1200" dirty="0"/>
            <a:t>Denmark</a:t>
          </a:r>
          <a:endParaRPr lang="en-GB" sz="1000" kern="1200" dirty="0"/>
        </a:p>
      </dsp:txBody>
      <dsp:txXfrm>
        <a:off x="475774" y="684564"/>
        <a:ext cx="4337510" cy="538870"/>
      </dsp:txXfrm>
    </dsp:sp>
    <dsp:sp modelId="{0A1D0CFD-B810-417B-B6A0-22738E7AE1B4}">
      <dsp:nvSpPr>
        <dsp:cNvPr id="0" name=""/>
        <dsp:cNvSpPr/>
      </dsp:nvSpPr>
      <dsp:spPr>
        <a:xfrm>
          <a:off x="918019" y="1335599"/>
          <a:ext cx="5202110" cy="572400"/>
        </a:xfrm>
        <a:prstGeom prst="roundRect">
          <a:avLst>
            <a:gd name="adj" fmla="val 10000"/>
          </a:avLst>
        </a:prstGeom>
        <a:solidFill>
          <a:schemeClr val="accent1">
            <a:shade val="80000"/>
            <a:hueOff val="-401312"/>
            <a:satOff val="-28097"/>
            <a:lumOff val="3207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US" sz="1100" b="1" kern="1200" dirty="0"/>
            <a:t>Focusing desk research on selected regulators</a:t>
          </a:r>
        </a:p>
        <a:p>
          <a:pPr marL="0" lvl="0" indent="0" algn="l" defTabSz="488950">
            <a:lnSpc>
              <a:spcPct val="90000"/>
            </a:lnSpc>
            <a:spcBef>
              <a:spcPct val="0"/>
            </a:spcBef>
            <a:spcAft>
              <a:spcPct val="35000"/>
            </a:spcAft>
            <a:buNone/>
          </a:pPr>
          <a:r>
            <a:rPr lang="en-GB" sz="1000" kern="1200" noProof="0" dirty="0"/>
            <a:t>Giving priortiy to the most general regulators in the medical sector first, rather than organisations focusing on particular medical professions</a:t>
          </a:r>
          <a:endParaRPr lang="en-GB" sz="1000" kern="1200" dirty="0"/>
        </a:p>
      </dsp:txBody>
      <dsp:txXfrm>
        <a:off x="934784" y="1352364"/>
        <a:ext cx="4337510" cy="538870"/>
      </dsp:txXfrm>
    </dsp:sp>
    <dsp:sp modelId="{68E2FEC1-BBEA-44CB-8CD2-08F52054563F}">
      <dsp:nvSpPr>
        <dsp:cNvPr id="0" name=""/>
        <dsp:cNvSpPr/>
      </dsp:nvSpPr>
      <dsp:spPr>
        <a:xfrm>
          <a:off x="4830050" y="434070"/>
          <a:ext cx="372060" cy="372060"/>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endParaRPr lang="en-GB" sz="1600" kern="1200"/>
        </a:p>
      </dsp:txBody>
      <dsp:txXfrm>
        <a:off x="4913763" y="434070"/>
        <a:ext cx="204634" cy="279975"/>
      </dsp:txXfrm>
    </dsp:sp>
    <dsp:sp modelId="{BCC02434-A1EF-450D-B317-D59449754702}">
      <dsp:nvSpPr>
        <dsp:cNvPr id="0" name=""/>
        <dsp:cNvSpPr/>
      </dsp:nvSpPr>
      <dsp:spPr>
        <a:xfrm>
          <a:off x="5289060" y="1098054"/>
          <a:ext cx="372060" cy="372060"/>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endParaRPr lang="en-GB" sz="1600" kern="1200"/>
        </a:p>
      </dsp:txBody>
      <dsp:txXfrm>
        <a:off x="5372773" y="1098054"/>
        <a:ext cx="204634" cy="279975"/>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EE">
  <a:themeElements>
    <a:clrScheme name="EE-02">
      <a:dk1>
        <a:sysClr val="windowText" lastClr="000000"/>
      </a:dk1>
      <a:lt1>
        <a:sysClr val="window" lastClr="FFFFFF"/>
      </a:lt1>
      <a:dk2>
        <a:srgbClr val="38383A"/>
      </a:dk2>
      <a:lt2>
        <a:srgbClr val="FFFFFF"/>
      </a:lt2>
      <a:accent1>
        <a:srgbClr val="683493"/>
      </a:accent1>
      <a:accent2>
        <a:srgbClr val="C64187"/>
      </a:accent2>
      <a:accent3>
        <a:srgbClr val="E8B3CF"/>
      </a:accent3>
      <a:accent4>
        <a:srgbClr val="909090"/>
      </a:accent4>
      <a:accent5>
        <a:srgbClr val="18416A"/>
      </a:accent5>
      <a:accent6>
        <a:srgbClr val="D2D3D2"/>
      </a:accent6>
      <a:hlink>
        <a:srgbClr val="C64187"/>
      </a:hlink>
      <a:folHlink>
        <a:srgbClr val="C64187"/>
      </a:folHlink>
    </a:clrScheme>
    <a:fontScheme name="Europe Economics">
      <a:majorFont>
        <a:latin typeface="Garamond"/>
        <a:ea typeface=""/>
        <a:cs typeface=""/>
      </a:majorFont>
      <a:minorFont>
        <a:latin typeface="Gill Sans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09639B-1812-46B2-8CF5-CE7B6753A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 Template - Blank</Template>
  <TotalTime>29</TotalTime>
  <Pages>139</Pages>
  <Words>48161</Words>
  <Characters>274520</Characters>
  <Application>Microsoft Office Word</Application>
  <DocSecurity>0</DocSecurity>
  <Lines>2287</Lines>
  <Paragraphs>644</Paragraphs>
  <ScaleCrop>false</ScaleCrop>
  <HeadingPairs>
    <vt:vector size="2" baseType="variant">
      <vt:variant>
        <vt:lpstr>Title</vt:lpstr>
      </vt:variant>
      <vt:variant>
        <vt:i4>1</vt:i4>
      </vt:variant>
    </vt:vector>
  </HeadingPairs>
  <TitlesOfParts>
    <vt:vector size="1" baseType="lpstr">
      <vt:lpstr/>
    </vt:vector>
  </TitlesOfParts>
  <Company>General Medical Council</Company>
  <LinksUpToDate>false</LinksUpToDate>
  <CharactersWithSpaces>322037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 Kinczyk</dc:creator>
  <cp:keywords/>
  <dc:description/>
  <cp:lastModifiedBy>Edward Fawcett</cp:lastModifiedBy>
  <cp:revision>13</cp:revision>
  <cp:lastPrinted>2017-09-26T12:07:00Z</cp:lastPrinted>
  <dcterms:created xsi:type="dcterms:W3CDTF">2018-01-23T14:56:00Z</dcterms:created>
  <dcterms:modified xsi:type="dcterms:W3CDTF">2025-07-07T13:07:00Z</dcterms:modified>
</cp:coreProperties>
</file>