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73848" w14:textId="19DFB3BC" w:rsidR="007B43A4" w:rsidRPr="00E83090" w:rsidRDefault="00CC0F7A" w:rsidP="00835D8F">
      <w:pPr>
        <w:pStyle w:val="Heading1"/>
        <w:rPr>
          <w:rFonts w:asciiTheme="minorHAnsi" w:eastAsiaTheme="minorHAnsi" w:hAnsiTheme="minorHAnsi" w:cstheme="minorHAnsi"/>
          <w:szCs w:val="52"/>
        </w:rPr>
      </w:pPr>
      <w:r w:rsidRPr="00E83090">
        <w:rPr>
          <w:rFonts w:asciiTheme="minorHAnsi" w:eastAsiaTheme="minorHAnsi" w:hAnsiTheme="minorHAnsi" w:cstheme="minorHAnsi"/>
          <w:szCs w:val="52"/>
        </w:rPr>
        <w:t xml:space="preserve">More </w:t>
      </w:r>
      <w:r w:rsidR="00DA563E">
        <w:rPr>
          <w:rFonts w:asciiTheme="minorHAnsi" w:eastAsiaTheme="minorHAnsi" w:hAnsiTheme="minorHAnsi" w:cstheme="minorHAnsi"/>
          <w:szCs w:val="52"/>
        </w:rPr>
        <w:t>d</w:t>
      </w:r>
      <w:r w:rsidRPr="00E83090">
        <w:rPr>
          <w:rFonts w:asciiTheme="minorHAnsi" w:eastAsiaTheme="minorHAnsi" w:hAnsiTheme="minorHAnsi" w:cstheme="minorHAnsi"/>
          <w:szCs w:val="52"/>
        </w:rPr>
        <w:t xml:space="preserve">etailed </w:t>
      </w:r>
      <w:r w:rsidR="00DA563E">
        <w:rPr>
          <w:rFonts w:asciiTheme="minorHAnsi" w:eastAsiaTheme="minorHAnsi" w:hAnsiTheme="minorHAnsi" w:cstheme="minorHAnsi"/>
          <w:szCs w:val="52"/>
        </w:rPr>
        <w:t>g</w:t>
      </w:r>
      <w:r w:rsidRPr="00E83090">
        <w:rPr>
          <w:rFonts w:asciiTheme="minorHAnsi" w:eastAsiaTheme="minorHAnsi" w:hAnsiTheme="minorHAnsi" w:cstheme="minorHAnsi"/>
          <w:szCs w:val="52"/>
        </w:rPr>
        <w:t xml:space="preserve">uidance </w:t>
      </w:r>
    </w:p>
    <w:p w14:paraId="19319FE9" w14:textId="35FEEE1E" w:rsidR="0049648A" w:rsidRPr="00E83090" w:rsidRDefault="007B43A4" w:rsidP="001A31F8">
      <w:pPr>
        <w:pStyle w:val="Heading2"/>
        <w:rPr>
          <w:rFonts w:eastAsiaTheme="minorHAnsi"/>
        </w:rPr>
      </w:pPr>
      <w:r w:rsidRPr="00E83090">
        <w:rPr>
          <w:rFonts w:eastAsiaTheme="minorHAnsi"/>
        </w:rPr>
        <w:t xml:space="preserve">Equality </w:t>
      </w:r>
      <w:r w:rsidR="00540B83">
        <w:rPr>
          <w:rFonts w:eastAsiaTheme="minorHAnsi"/>
        </w:rPr>
        <w:t>a</w:t>
      </w:r>
      <w:r w:rsidRPr="00E83090">
        <w:rPr>
          <w:rFonts w:eastAsiaTheme="minorHAnsi"/>
        </w:rPr>
        <w:t>nalysis</w:t>
      </w:r>
      <w:r w:rsidR="00C014D4">
        <w:rPr>
          <w:rFonts w:eastAsiaTheme="minorHAnsi"/>
        </w:rPr>
        <w:t>:</w:t>
      </w:r>
      <w:r w:rsidRPr="00E83090">
        <w:rPr>
          <w:rFonts w:eastAsiaTheme="minorHAnsi"/>
        </w:rPr>
        <w:t xml:space="preserve"> </w:t>
      </w:r>
      <w:r w:rsidR="00CC0F7A" w:rsidRPr="00E83090">
        <w:rPr>
          <w:rFonts w:eastAsiaTheme="minorHAnsi"/>
        </w:rPr>
        <w:t>Jan 2023 –</w:t>
      </w:r>
      <w:r w:rsidR="00C014D4">
        <w:rPr>
          <w:rFonts w:eastAsiaTheme="minorHAnsi"/>
        </w:rPr>
        <w:t>Jan 2024</w:t>
      </w:r>
    </w:p>
    <w:p w14:paraId="675F86D0" w14:textId="4FDCA12E" w:rsidR="00A62B54" w:rsidRPr="001A31F8" w:rsidRDefault="00A62B54" w:rsidP="001A31F8">
      <w:pPr>
        <w:pStyle w:val="Heading2"/>
        <w:rPr>
          <w:rFonts w:eastAsiaTheme="minorHAnsi"/>
        </w:rPr>
      </w:pPr>
      <w:r w:rsidRPr="001A31F8">
        <w:t xml:space="preserve">Background </w:t>
      </w:r>
    </w:p>
    <w:p w14:paraId="4A2C0856" w14:textId="77777777" w:rsidR="00C46EED" w:rsidRPr="00C91128" w:rsidRDefault="00C46EED" w:rsidP="00C46EED">
      <w:pPr>
        <w:rPr>
          <w:rFonts w:asciiTheme="minorHAnsi" w:eastAsiaTheme="minorHAnsi" w:hAnsiTheme="minorHAnsi" w:cstheme="minorHAnsi"/>
          <w:sz w:val="28"/>
          <w:szCs w:val="28"/>
        </w:rPr>
      </w:pPr>
    </w:p>
    <w:p w14:paraId="20475649" w14:textId="1001BEEE" w:rsidR="001E7FB0" w:rsidRPr="000E0F5F" w:rsidRDefault="00C56B0D" w:rsidP="00B41639">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This</w:t>
      </w:r>
      <w:r w:rsidR="00B616C8" w:rsidRPr="000E0F5F">
        <w:rPr>
          <w:rFonts w:asciiTheme="minorHAnsi" w:eastAsiaTheme="minorHAnsi" w:hAnsiTheme="minorHAnsi" w:cstheme="minorHAnsi"/>
        </w:rPr>
        <w:t xml:space="preserve"> </w:t>
      </w:r>
      <w:r w:rsidR="00202944" w:rsidRPr="000E0F5F">
        <w:rPr>
          <w:rFonts w:asciiTheme="minorHAnsi" w:eastAsiaTheme="minorHAnsi" w:hAnsiTheme="minorHAnsi" w:cstheme="minorHAnsi"/>
        </w:rPr>
        <w:t xml:space="preserve">is the </w:t>
      </w:r>
      <w:r w:rsidR="008C50E9" w:rsidRPr="000E0F5F">
        <w:rPr>
          <w:rFonts w:asciiTheme="minorHAnsi" w:eastAsiaTheme="minorHAnsi" w:hAnsiTheme="minorHAnsi" w:cstheme="minorHAnsi"/>
        </w:rPr>
        <w:t xml:space="preserve">fourth </w:t>
      </w:r>
      <w:r w:rsidR="00202944" w:rsidRPr="000E0F5F">
        <w:rPr>
          <w:rFonts w:asciiTheme="minorHAnsi" w:eastAsiaTheme="minorHAnsi" w:hAnsiTheme="minorHAnsi" w:cstheme="minorHAnsi"/>
        </w:rPr>
        <w:t xml:space="preserve">instalment of </w:t>
      </w:r>
      <w:r w:rsidR="007A68FB" w:rsidRPr="000E0F5F">
        <w:rPr>
          <w:rFonts w:asciiTheme="minorHAnsi" w:eastAsiaTheme="minorHAnsi" w:hAnsiTheme="minorHAnsi" w:cstheme="minorHAnsi"/>
        </w:rPr>
        <w:t>the</w:t>
      </w:r>
      <w:r w:rsidR="00B616C8" w:rsidRPr="000E0F5F">
        <w:rPr>
          <w:rFonts w:asciiTheme="minorHAnsi" w:eastAsiaTheme="minorHAnsi" w:hAnsiTheme="minorHAnsi" w:cstheme="minorHAnsi"/>
        </w:rPr>
        <w:t xml:space="preserve"> </w:t>
      </w:r>
      <w:r w:rsidR="007B43A4" w:rsidRPr="000E0F5F">
        <w:rPr>
          <w:rFonts w:asciiTheme="minorHAnsi" w:eastAsiaTheme="minorHAnsi" w:hAnsiTheme="minorHAnsi" w:cstheme="minorHAnsi"/>
        </w:rPr>
        <w:t>Equality Analysis (</w:t>
      </w:r>
      <w:r w:rsidR="0051545B" w:rsidRPr="000E0F5F">
        <w:rPr>
          <w:rFonts w:asciiTheme="minorHAnsi" w:eastAsiaTheme="minorHAnsi" w:hAnsiTheme="minorHAnsi" w:cstheme="minorHAnsi"/>
        </w:rPr>
        <w:t>‘</w:t>
      </w:r>
      <w:r w:rsidR="007B43A4" w:rsidRPr="000E0F5F">
        <w:rPr>
          <w:rFonts w:asciiTheme="minorHAnsi" w:eastAsiaTheme="minorHAnsi" w:hAnsiTheme="minorHAnsi" w:cstheme="minorHAnsi"/>
        </w:rPr>
        <w:t>EA</w:t>
      </w:r>
      <w:r w:rsidR="0051545B" w:rsidRPr="000E0F5F">
        <w:rPr>
          <w:rFonts w:asciiTheme="minorHAnsi" w:eastAsiaTheme="minorHAnsi" w:hAnsiTheme="minorHAnsi" w:cstheme="minorHAnsi"/>
        </w:rPr>
        <w:t>’</w:t>
      </w:r>
      <w:r w:rsidR="007B43A4" w:rsidRPr="000E0F5F">
        <w:rPr>
          <w:rFonts w:asciiTheme="minorHAnsi" w:eastAsiaTheme="minorHAnsi" w:hAnsiTheme="minorHAnsi" w:cstheme="minorHAnsi"/>
        </w:rPr>
        <w:t xml:space="preserve">) </w:t>
      </w:r>
      <w:r w:rsidR="00202944" w:rsidRPr="000E0F5F">
        <w:rPr>
          <w:rFonts w:asciiTheme="minorHAnsi" w:eastAsiaTheme="minorHAnsi" w:hAnsiTheme="minorHAnsi" w:cstheme="minorHAnsi"/>
        </w:rPr>
        <w:t xml:space="preserve">which explains </w:t>
      </w:r>
      <w:r w:rsidR="007B43A4" w:rsidRPr="000E0F5F">
        <w:rPr>
          <w:rFonts w:asciiTheme="minorHAnsi" w:eastAsiaTheme="minorHAnsi" w:hAnsiTheme="minorHAnsi" w:cstheme="minorHAnsi"/>
        </w:rPr>
        <w:t>the actio</w:t>
      </w:r>
      <w:r w:rsidR="005D109F" w:rsidRPr="000E0F5F">
        <w:rPr>
          <w:rFonts w:asciiTheme="minorHAnsi" w:eastAsiaTheme="minorHAnsi" w:hAnsiTheme="minorHAnsi" w:cstheme="minorHAnsi"/>
        </w:rPr>
        <w:t xml:space="preserve">ns we’ve </w:t>
      </w:r>
      <w:r w:rsidR="00202944" w:rsidRPr="000E0F5F">
        <w:rPr>
          <w:rFonts w:asciiTheme="minorHAnsi" w:eastAsiaTheme="minorHAnsi" w:hAnsiTheme="minorHAnsi" w:cstheme="minorHAnsi"/>
        </w:rPr>
        <w:t xml:space="preserve">taken since </w:t>
      </w:r>
      <w:r w:rsidR="008C50E9" w:rsidRPr="000E0F5F">
        <w:rPr>
          <w:rFonts w:asciiTheme="minorHAnsi" w:eastAsiaTheme="minorHAnsi" w:hAnsiTheme="minorHAnsi" w:cstheme="minorHAnsi"/>
        </w:rPr>
        <w:t xml:space="preserve">January </w:t>
      </w:r>
      <w:r w:rsidR="00202944" w:rsidRPr="000E0F5F">
        <w:rPr>
          <w:rFonts w:asciiTheme="minorHAnsi" w:eastAsiaTheme="minorHAnsi" w:hAnsiTheme="minorHAnsi" w:cstheme="minorHAnsi"/>
        </w:rPr>
        <w:t>202</w:t>
      </w:r>
      <w:r w:rsidR="008C50E9" w:rsidRPr="000E0F5F">
        <w:rPr>
          <w:rFonts w:asciiTheme="minorHAnsi" w:eastAsiaTheme="minorHAnsi" w:hAnsiTheme="minorHAnsi" w:cstheme="minorHAnsi"/>
        </w:rPr>
        <w:t>3</w:t>
      </w:r>
      <w:r w:rsidR="00202944" w:rsidRPr="000E0F5F">
        <w:rPr>
          <w:rFonts w:asciiTheme="minorHAnsi" w:eastAsiaTheme="minorHAnsi" w:hAnsiTheme="minorHAnsi" w:cstheme="minorHAnsi"/>
        </w:rPr>
        <w:t xml:space="preserve"> </w:t>
      </w:r>
      <w:r w:rsidR="008C50E9" w:rsidRPr="000E0F5F">
        <w:rPr>
          <w:rFonts w:asciiTheme="minorHAnsi" w:eastAsiaTheme="minorHAnsi" w:hAnsiTheme="minorHAnsi" w:cstheme="minorHAnsi"/>
        </w:rPr>
        <w:t xml:space="preserve">to update </w:t>
      </w:r>
      <w:r w:rsidR="00BE3F49" w:rsidRPr="000E0F5F">
        <w:rPr>
          <w:rFonts w:asciiTheme="minorHAnsi" w:eastAsiaTheme="minorHAnsi" w:hAnsiTheme="minorHAnsi" w:cstheme="minorHAnsi"/>
        </w:rPr>
        <w:t>t</w:t>
      </w:r>
      <w:r w:rsidR="00BE3F49">
        <w:rPr>
          <w:rFonts w:asciiTheme="minorHAnsi" w:eastAsiaTheme="minorHAnsi" w:hAnsiTheme="minorHAnsi" w:cstheme="minorHAnsi"/>
        </w:rPr>
        <w:t>welve</w:t>
      </w:r>
      <w:r w:rsidR="00BE3F49" w:rsidRPr="000E0F5F">
        <w:rPr>
          <w:rFonts w:asciiTheme="minorHAnsi" w:eastAsiaTheme="minorHAnsi" w:hAnsiTheme="minorHAnsi" w:cstheme="minorHAnsi"/>
        </w:rPr>
        <w:t xml:space="preserve"> </w:t>
      </w:r>
      <w:r w:rsidR="008C50E9" w:rsidRPr="000E0F5F">
        <w:rPr>
          <w:rFonts w:asciiTheme="minorHAnsi" w:eastAsiaTheme="minorHAnsi" w:hAnsiTheme="minorHAnsi" w:cstheme="minorHAnsi"/>
        </w:rPr>
        <w:t xml:space="preserve">pieces of </w:t>
      </w:r>
      <w:r w:rsidR="00BD463E" w:rsidRPr="000E0F5F">
        <w:rPr>
          <w:rFonts w:asciiTheme="minorHAnsi" w:eastAsiaTheme="minorHAnsi" w:hAnsiTheme="minorHAnsi" w:cstheme="minorHAnsi"/>
        </w:rPr>
        <w:t>more detailed guidance</w:t>
      </w:r>
      <w:r w:rsidR="00481C03" w:rsidRPr="000E0F5F">
        <w:rPr>
          <w:rFonts w:asciiTheme="minorHAnsi" w:eastAsiaTheme="minorHAnsi" w:hAnsiTheme="minorHAnsi" w:cstheme="minorHAnsi"/>
        </w:rPr>
        <w:t xml:space="preserve">.  These publications were previously known as </w:t>
      </w:r>
      <w:r w:rsidR="002F2DB4" w:rsidRPr="000E0F5F">
        <w:rPr>
          <w:rFonts w:asciiTheme="minorHAnsi" w:eastAsiaTheme="minorHAnsi" w:hAnsiTheme="minorHAnsi" w:cstheme="minorHAnsi"/>
        </w:rPr>
        <w:t>‘</w:t>
      </w:r>
      <w:r w:rsidR="008C50E9" w:rsidRPr="000E0F5F">
        <w:rPr>
          <w:rFonts w:asciiTheme="minorHAnsi" w:eastAsiaTheme="minorHAnsi" w:hAnsiTheme="minorHAnsi" w:cstheme="minorHAnsi"/>
        </w:rPr>
        <w:t>explanatory guidance</w:t>
      </w:r>
      <w:r w:rsidR="002F2DB4" w:rsidRPr="000E0F5F">
        <w:rPr>
          <w:rFonts w:asciiTheme="minorHAnsi" w:eastAsiaTheme="minorHAnsi" w:hAnsiTheme="minorHAnsi" w:cstheme="minorHAnsi"/>
        </w:rPr>
        <w:t>’</w:t>
      </w:r>
      <w:r w:rsidR="00DE2E99" w:rsidRPr="000E0F5F">
        <w:rPr>
          <w:rFonts w:asciiTheme="minorHAnsi" w:eastAsiaTheme="minorHAnsi" w:hAnsiTheme="minorHAnsi" w:cstheme="minorHAnsi"/>
        </w:rPr>
        <w:t>.</w:t>
      </w:r>
    </w:p>
    <w:p w14:paraId="747A8D5E" w14:textId="638A9F23" w:rsidR="006E01ED" w:rsidRPr="000E0F5F" w:rsidRDefault="004553AF" w:rsidP="00700B5D">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Updating the </w:t>
      </w:r>
      <w:r w:rsidR="00934FC9">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00700B5D" w:rsidRPr="000E0F5F">
        <w:rPr>
          <w:rFonts w:asciiTheme="minorHAnsi" w:eastAsiaTheme="minorHAnsi" w:hAnsiTheme="minorHAnsi" w:cstheme="minorHAnsi"/>
        </w:rPr>
        <w:t xml:space="preserve"> </w:t>
      </w:r>
      <w:r w:rsidR="008C50E9" w:rsidRPr="000E0F5F">
        <w:rPr>
          <w:rFonts w:asciiTheme="minorHAnsi" w:eastAsiaTheme="minorHAnsi" w:hAnsiTheme="minorHAnsi" w:cstheme="minorHAnsi"/>
        </w:rPr>
        <w:t xml:space="preserve">is part of </w:t>
      </w:r>
      <w:r w:rsidR="006F3258">
        <w:rPr>
          <w:rFonts w:asciiTheme="minorHAnsi" w:eastAsiaTheme="minorHAnsi" w:hAnsiTheme="minorHAnsi" w:cstheme="minorHAnsi"/>
        </w:rPr>
        <w:t xml:space="preserve">the review of </w:t>
      </w:r>
      <w:r w:rsidR="006F3258" w:rsidRPr="000E0F5F">
        <w:rPr>
          <w:rFonts w:asciiTheme="minorHAnsi" w:eastAsiaTheme="minorHAnsi" w:hAnsiTheme="minorHAnsi" w:cstheme="minorHAnsi"/>
          <w:i/>
          <w:iCs/>
        </w:rPr>
        <w:t>Good medical practice</w:t>
      </w:r>
      <w:r w:rsidR="006F3258" w:rsidRPr="000E0F5F">
        <w:rPr>
          <w:rFonts w:asciiTheme="minorHAnsi" w:eastAsiaTheme="minorHAnsi" w:hAnsiTheme="minorHAnsi" w:cstheme="minorHAnsi"/>
        </w:rPr>
        <w:t xml:space="preserve"> </w:t>
      </w:r>
      <w:r w:rsidRPr="000E0F5F">
        <w:rPr>
          <w:rFonts w:asciiTheme="minorHAnsi" w:eastAsiaTheme="minorHAnsi" w:hAnsiTheme="minorHAnsi" w:cstheme="minorHAnsi"/>
        </w:rPr>
        <w:t xml:space="preserve">which began in </w:t>
      </w:r>
      <w:r w:rsidR="008C50E9" w:rsidRPr="000E0F5F">
        <w:rPr>
          <w:rFonts w:asciiTheme="minorHAnsi" w:eastAsiaTheme="minorHAnsi" w:hAnsiTheme="minorHAnsi" w:cstheme="minorHAnsi"/>
        </w:rPr>
        <w:t>February 2021</w:t>
      </w:r>
      <w:r w:rsidR="00AC4550" w:rsidRPr="000E0F5F">
        <w:rPr>
          <w:rFonts w:asciiTheme="minorHAnsi" w:eastAsiaTheme="minorHAnsi" w:hAnsiTheme="minorHAnsi" w:cstheme="minorHAnsi"/>
        </w:rPr>
        <w:t xml:space="preserve">. </w:t>
      </w:r>
      <w:r w:rsidR="006E01ED" w:rsidRPr="000E0F5F">
        <w:rPr>
          <w:rFonts w:asciiTheme="minorHAnsi" w:eastAsiaTheme="minorHAnsi" w:hAnsiTheme="minorHAnsi" w:cstheme="minorHAnsi"/>
        </w:rPr>
        <w:t xml:space="preserve">The </w:t>
      </w:r>
      <w:hyperlink r:id="rId12" w:history="1">
        <w:r w:rsidR="00700B5D" w:rsidRPr="004323C6">
          <w:rPr>
            <w:rFonts w:asciiTheme="minorHAnsi" w:hAnsiTheme="minorHAnsi" w:cstheme="minorHAnsi"/>
            <w:i/>
            <w:iCs/>
            <w:color w:val="0000FF"/>
            <w:u w:val="single"/>
          </w:rPr>
          <w:t>newly updated version of G</w:t>
        </w:r>
        <w:r w:rsidR="00CB37EA" w:rsidRPr="004323C6">
          <w:rPr>
            <w:rFonts w:asciiTheme="minorHAnsi" w:hAnsiTheme="minorHAnsi" w:cstheme="minorHAnsi"/>
            <w:i/>
            <w:iCs/>
            <w:color w:val="0000FF"/>
            <w:u w:val="single"/>
          </w:rPr>
          <w:t>ood medical practice</w:t>
        </w:r>
        <w:r w:rsidR="00700B5D" w:rsidRPr="000E0F5F">
          <w:rPr>
            <w:rFonts w:asciiTheme="minorHAnsi" w:hAnsiTheme="minorHAnsi" w:cstheme="minorHAnsi"/>
            <w:color w:val="0000FF"/>
            <w:u w:val="single"/>
          </w:rPr>
          <w:t xml:space="preserve"> </w:t>
        </w:r>
      </w:hyperlink>
      <w:r w:rsidR="006E01ED" w:rsidRPr="000E0F5F">
        <w:rPr>
          <w:rFonts w:asciiTheme="minorHAnsi" w:eastAsiaTheme="minorHAnsi" w:hAnsiTheme="minorHAnsi" w:cstheme="minorHAnsi"/>
        </w:rPr>
        <w:t xml:space="preserve">was published on 22 August 2023 and will come into effect on 30 January 2024.  </w:t>
      </w:r>
    </w:p>
    <w:p w14:paraId="2C0AD64E" w14:textId="3C2EEA73" w:rsidR="000F3EAF" w:rsidRPr="000E0F5F" w:rsidRDefault="00CB37EA" w:rsidP="00EA49A3">
      <w:pPr>
        <w:pStyle w:val="BodyText1"/>
        <w:numPr>
          <w:ilvl w:val="0"/>
          <w:numId w:val="7"/>
        </w:numPr>
        <w:rPr>
          <w:rFonts w:asciiTheme="minorHAnsi" w:eastAsiaTheme="minorHAnsi" w:hAnsiTheme="minorHAnsi" w:cstheme="minorHAnsi"/>
        </w:rPr>
      </w:pPr>
      <w:r w:rsidRPr="004323C6">
        <w:rPr>
          <w:rFonts w:asciiTheme="minorHAnsi" w:eastAsiaTheme="minorHAnsi" w:hAnsiTheme="minorHAnsi" w:cstheme="minorHAnsi"/>
          <w:i/>
          <w:iCs/>
        </w:rPr>
        <w:t>Good medical practice</w:t>
      </w:r>
      <w:r>
        <w:rPr>
          <w:rFonts w:asciiTheme="minorHAnsi" w:eastAsiaTheme="minorHAnsi" w:hAnsiTheme="minorHAnsi" w:cstheme="minorHAnsi"/>
        </w:rPr>
        <w:t xml:space="preserve"> </w:t>
      </w:r>
      <w:r w:rsidR="000F3EAF" w:rsidRPr="000E0F5F">
        <w:rPr>
          <w:rFonts w:asciiTheme="minorHAnsi" w:eastAsiaTheme="minorHAnsi" w:hAnsiTheme="minorHAnsi" w:cstheme="minorHAnsi"/>
        </w:rPr>
        <w:t xml:space="preserve">is the </w:t>
      </w:r>
      <w:r w:rsidR="00481C03" w:rsidRPr="000E0F5F">
        <w:rPr>
          <w:rFonts w:asciiTheme="minorHAnsi" w:eastAsiaTheme="minorHAnsi" w:hAnsiTheme="minorHAnsi" w:cstheme="minorHAnsi"/>
        </w:rPr>
        <w:t xml:space="preserve">publication </w:t>
      </w:r>
      <w:r w:rsidR="000F3EAF" w:rsidRPr="000E0F5F">
        <w:rPr>
          <w:rFonts w:asciiTheme="minorHAnsi" w:eastAsiaTheme="minorHAnsi" w:hAnsiTheme="minorHAnsi" w:cstheme="minorHAnsi"/>
        </w:rPr>
        <w:t xml:space="preserve">which </w:t>
      </w:r>
      <w:r w:rsidR="00481C03" w:rsidRPr="000E0F5F">
        <w:rPr>
          <w:rFonts w:asciiTheme="minorHAnsi" w:eastAsiaTheme="minorHAnsi" w:hAnsiTheme="minorHAnsi" w:cstheme="minorHAnsi"/>
        </w:rPr>
        <w:t xml:space="preserve">sets out </w:t>
      </w:r>
      <w:r w:rsidR="000F3EAF" w:rsidRPr="000E0F5F">
        <w:rPr>
          <w:rFonts w:asciiTheme="minorHAnsi" w:eastAsiaTheme="minorHAnsi" w:hAnsiTheme="minorHAnsi" w:cstheme="minorHAnsi"/>
        </w:rPr>
        <w:t xml:space="preserve">the professional standards applicable to all UK medical professionals.  </w:t>
      </w:r>
      <w:r w:rsidR="00481C03" w:rsidRPr="000E0F5F">
        <w:rPr>
          <w:rFonts w:asciiTheme="minorHAnsi" w:eastAsiaTheme="minorHAnsi" w:hAnsiTheme="minorHAnsi" w:cstheme="minorHAnsi"/>
        </w:rPr>
        <w:t>In</w:t>
      </w:r>
      <w:r w:rsidR="000175C7">
        <w:rPr>
          <w:rFonts w:asciiTheme="minorHAnsi" w:eastAsiaTheme="minorHAnsi" w:hAnsiTheme="minorHAnsi" w:cstheme="minorHAnsi"/>
        </w:rPr>
        <w:t xml:space="preserve"> </w:t>
      </w:r>
      <w:r w:rsidRPr="002F10C6">
        <w:rPr>
          <w:rFonts w:asciiTheme="minorHAnsi" w:eastAsiaTheme="minorHAnsi" w:hAnsiTheme="minorHAnsi" w:cstheme="minorHAnsi"/>
          <w:i/>
          <w:iCs/>
        </w:rPr>
        <w:t xml:space="preserve">Good medical </w:t>
      </w:r>
      <w:r w:rsidR="000175C7" w:rsidRPr="002F10C6">
        <w:rPr>
          <w:rFonts w:asciiTheme="minorHAnsi" w:eastAsiaTheme="minorHAnsi" w:hAnsiTheme="minorHAnsi" w:cstheme="minorHAnsi"/>
          <w:i/>
          <w:iCs/>
        </w:rPr>
        <w:t>practice</w:t>
      </w:r>
      <w:r w:rsidR="000175C7">
        <w:rPr>
          <w:rFonts w:asciiTheme="minorHAnsi" w:eastAsiaTheme="minorHAnsi" w:hAnsiTheme="minorHAnsi" w:cstheme="minorHAnsi"/>
        </w:rPr>
        <w:t>,</w:t>
      </w:r>
      <w:r w:rsidR="00481C03" w:rsidRPr="000E0F5F">
        <w:rPr>
          <w:rFonts w:asciiTheme="minorHAnsi" w:eastAsiaTheme="minorHAnsi" w:hAnsiTheme="minorHAnsi" w:cstheme="minorHAnsi"/>
        </w:rPr>
        <w:t xml:space="preserve"> the standards are expressed as h</w:t>
      </w:r>
      <w:r w:rsidR="000F3EAF" w:rsidRPr="000E0F5F">
        <w:rPr>
          <w:rFonts w:asciiTheme="minorHAnsi" w:eastAsiaTheme="minorHAnsi" w:hAnsiTheme="minorHAnsi" w:cstheme="minorHAnsi"/>
        </w:rPr>
        <w:t>igh-level principles and duties</w:t>
      </w:r>
      <w:r w:rsidR="00481C03" w:rsidRPr="000E0F5F">
        <w:rPr>
          <w:rFonts w:asciiTheme="minorHAnsi" w:eastAsiaTheme="minorHAnsi" w:hAnsiTheme="minorHAnsi" w:cstheme="minorHAnsi"/>
        </w:rPr>
        <w:t>, whereas there is more</w:t>
      </w:r>
      <w:r w:rsidR="000F3EAF" w:rsidRPr="000E0F5F">
        <w:rPr>
          <w:rFonts w:asciiTheme="minorHAnsi" w:eastAsiaTheme="minorHAnsi" w:hAnsiTheme="minorHAnsi" w:cstheme="minorHAnsi"/>
        </w:rPr>
        <w:t xml:space="preserve"> situation-specific detail </w:t>
      </w:r>
      <w:r w:rsidR="00481C03" w:rsidRPr="000E0F5F">
        <w:rPr>
          <w:rFonts w:asciiTheme="minorHAnsi" w:eastAsiaTheme="minorHAnsi" w:hAnsiTheme="minorHAnsi" w:cstheme="minorHAnsi"/>
        </w:rPr>
        <w:t xml:space="preserve">to be found </w:t>
      </w:r>
      <w:r w:rsidR="000F3EAF" w:rsidRPr="000E0F5F">
        <w:rPr>
          <w:rFonts w:asciiTheme="minorHAnsi" w:eastAsiaTheme="minorHAnsi" w:hAnsiTheme="minorHAnsi" w:cstheme="minorHAnsi"/>
        </w:rPr>
        <w:t xml:space="preserve">in </w:t>
      </w:r>
      <w:r w:rsidR="00481C03" w:rsidRPr="000E0F5F">
        <w:rPr>
          <w:rFonts w:asciiTheme="minorHAnsi" w:eastAsiaTheme="minorHAnsi" w:hAnsiTheme="minorHAnsi" w:cstheme="minorHAnsi"/>
        </w:rPr>
        <w:t xml:space="preserve">the </w:t>
      </w:r>
      <w:r w:rsidR="00153268">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000F3EAF" w:rsidRPr="000E0F5F">
        <w:rPr>
          <w:rFonts w:asciiTheme="minorHAnsi" w:eastAsiaTheme="minorHAnsi" w:hAnsiTheme="minorHAnsi" w:cstheme="minorHAnsi"/>
        </w:rPr>
        <w:t xml:space="preserve">. </w:t>
      </w:r>
    </w:p>
    <w:p w14:paraId="1785CAD2" w14:textId="07365E53" w:rsidR="00FD347F" w:rsidRPr="000E0F5F" w:rsidRDefault="007A68FB" w:rsidP="00470EAD">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The EA </w:t>
      </w:r>
      <w:r w:rsidR="00FD347F" w:rsidRPr="000E0F5F">
        <w:rPr>
          <w:rFonts w:asciiTheme="minorHAnsi" w:eastAsiaTheme="minorHAnsi" w:hAnsiTheme="minorHAnsi" w:cstheme="minorHAnsi"/>
        </w:rPr>
        <w:t xml:space="preserve">details the equality, </w:t>
      </w:r>
      <w:proofErr w:type="gramStart"/>
      <w:r w:rsidR="00FD347F" w:rsidRPr="000E0F5F">
        <w:rPr>
          <w:rFonts w:asciiTheme="minorHAnsi" w:eastAsiaTheme="minorHAnsi" w:hAnsiTheme="minorHAnsi" w:cstheme="minorHAnsi"/>
        </w:rPr>
        <w:t>diversity</w:t>
      </w:r>
      <w:proofErr w:type="gramEnd"/>
      <w:r w:rsidR="00FD347F" w:rsidRPr="000E0F5F">
        <w:rPr>
          <w:rFonts w:asciiTheme="minorHAnsi" w:eastAsiaTheme="minorHAnsi" w:hAnsiTheme="minorHAnsi" w:cstheme="minorHAnsi"/>
        </w:rPr>
        <w:t xml:space="preserve"> and inclusion (‘EDI’) considerations that have arisen during the life of the project and </w:t>
      </w:r>
      <w:r w:rsidRPr="000E0F5F">
        <w:rPr>
          <w:rFonts w:asciiTheme="minorHAnsi" w:eastAsiaTheme="minorHAnsi" w:hAnsiTheme="minorHAnsi" w:cstheme="minorHAnsi"/>
        </w:rPr>
        <w:t xml:space="preserve">sets out the steps we have taken to comply with the </w:t>
      </w:r>
      <w:r w:rsidR="00FD347F" w:rsidRPr="000E0F5F">
        <w:rPr>
          <w:rFonts w:asciiTheme="minorHAnsi" w:eastAsiaTheme="minorHAnsi" w:hAnsiTheme="minorHAnsi" w:cstheme="minorHAnsi"/>
        </w:rPr>
        <w:t>p</w:t>
      </w:r>
      <w:r w:rsidRPr="000E0F5F">
        <w:rPr>
          <w:rFonts w:asciiTheme="minorHAnsi" w:eastAsiaTheme="minorHAnsi" w:hAnsiTheme="minorHAnsi" w:cstheme="minorHAnsi"/>
        </w:rPr>
        <w:t xml:space="preserve">ublic </w:t>
      </w:r>
      <w:r w:rsidR="00FD347F" w:rsidRPr="000E0F5F">
        <w:rPr>
          <w:rFonts w:asciiTheme="minorHAnsi" w:eastAsiaTheme="minorHAnsi" w:hAnsiTheme="minorHAnsi" w:cstheme="minorHAnsi"/>
        </w:rPr>
        <w:t>s</w:t>
      </w:r>
      <w:r w:rsidRPr="000E0F5F">
        <w:rPr>
          <w:rFonts w:asciiTheme="minorHAnsi" w:eastAsiaTheme="minorHAnsi" w:hAnsiTheme="minorHAnsi" w:cstheme="minorHAnsi"/>
        </w:rPr>
        <w:t xml:space="preserve">ector </w:t>
      </w:r>
      <w:r w:rsidR="00FD347F" w:rsidRPr="000E0F5F">
        <w:rPr>
          <w:rFonts w:asciiTheme="minorHAnsi" w:eastAsiaTheme="minorHAnsi" w:hAnsiTheme="minorHAnsi" w:cstheme="minorHAnsi"/>
        </w:rPr>
        <w:t>e</w:t>
      </w:r>
      <w:r w:rsidRPr="000E0F5F">
        <w:rPr>
          <w:rFonts w:asciiTheme="minorHAnsi" w:eastAsiaTheme="minorHAnsi" w:hAnsiTheme="minorHAnsi" w:cstheme="minorHAnsi"/>
        </w:rPr>
        <w:t xml:space="preserve">quality </w:t>
      </w:r>
      <w:r w:rsidR="00FD347F" w:rsidRPr="000E0F5F">
        <w:rPr>
          <w:rFonts w:asciiTheme="minorHAnsi" w:eastAsiaTheme="minorHAnsi" w:hAnsiTheme="minorHAnsi" w:cstheme="minorHAnsi"/>
        </w:rPr>
        <w:t>d</w:t>
      </w:r>
      <w:r w:rsidRPr="000E0F5F">
        <w:rPr>
          <w:rFonts w:asciiTheme="minorHAnsi" w:eastAsiaTheme="minorHAnsi" w:hAnsiTheme="minorHAnsi" w:cstheme="minorHAnsi"/>
        </w:rPr>
        <w:t xml:space="preserve">uty. </w:t>
      </w:r>
      <w:r w:rsidR="00C014D4" w:rsidRPr="000E0F5F">
        <w:rPr>
          <w:rFonts w:asciiTheme="minorHAnsi" w:eastAsiaTheme="minorHAnsi" w:hAnsiTheme="minorHAnsi" w:cstheme="minorHAnsi"/>
        </w:rPr>
        <w:t>At each stage we have examined the issues which might have a differential impact on individuals who share protected</w:t>
      </w:r>
      <w:r w:rsidR="00EB300C" w:rsidRPr="000E0F5F">
        <w:rPr>
          <w:rFonts w:asciiTheme="minorHAnsi" w:eastAsiaTheme="minorHAnsi" w:hAnsiTheme="minorHAnsi" w:cstheme="minorHAnsi"/>
        </w:rPr>
        <w:t>, and other relevant</w:t>
      </w:r>
      <w:r w:rsidR="00C014D4" w:rsidRPr="000E0F5F">
        <w:rPr>
          <w:rFonts w:asciiTheme="minorHAnsi" w:eastAsiaTheme="minorHAnsi" w:hAnsiTheme="minorHAnsi" w:cstheme="minorHAnsi"/>
        </w:rPr>
        <w:t xml:space="preserve"> characteristics. </w:t>
      </w:r>
    </w:p>
    <w:p w14:paraId="0147A71D" w14:textId="77777777" w:rsidR="00C014D4" w:rsidRPr="000E0F5F" w:rsidRDefault="00C014D4" w:rsidP="00C014D4">
      <w:pPr>
        <w:pStyle w:val="ListParagraph"/>
        <w:rPr>
          <w:rFonts w:asciiTheme="minorHAnsi" w:eastAsiaTheme="minorHAnsi" w:hAnsiTheme="minorHAnsi" w:cstheme="minorHAnsi"/>
        </w:rPr>
      </w:pPr>
    </w:p>
    <w:p w14:paraId="5DB6C431" w14:textId="33C0D9F2" w:rsidR="00FD347F" w:rsidRPr="000E0F5F" w:rsidRDefault="007A68FB" w:rsidP="00677881">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Due to scale of the project and the ongoing nature of the</w:t>
      </w:r>
      <w:r w:rsidR="00700B5D" w:rsidRPr="000E0F5F">
        <w:rPr>
          <w:rFonts w:asciiTheme="minorHAnsi" w:eastAsiaTheme="minorHAnsi" w:hAnsiTheme="minorHAnsi" w:cstheme="minorHAnsi"/>
        </w:rPr>
        <w:t xml:space="preserve"> public sector equality</w:t>
      </w:r>
      <w:r w:rsidRPr="000E0F5F">
        <w:rPr>
          <w:rFonts w:asciiTheme="minorHAnsi" w:eastAsiaTheme="minorHAnsi" w:hAnsiTheme="minorHAnsi" w:cstheme="minorHAnsi"/>
        </w:rPr>
        <w:t xml:space="preserve"> duty</w:t>
      </w:r>
      <w:r w:rsidR="00700B5D" w:rsidRPr="000E0F5F">
        <w:rPr>
          <w:rFonts w:asciiTheme="minorHAnsi" w:eastAsiaTheme="minorHAnsi" w:hAnsiTheme="minorHAnsi" w:cstheme="minorHAnsi"/>
        </w:rPr>
        <w:t>,</w:t>
      </w:r>
      <w:r w:rsidRPr="000E0F5F">
        <w:rPr>
          <w:rFonts w:asciiTheme="minorHAnsi" w:eastAsiaTheme="minorHAnsi" w:hAnsiTheme="minorHAnsi" w:cstheme="minorHAnsi"/>
        </w:rPr>
        <w:t xml:space="preserve"> </w:t>
      </w:r>
      <w:r w:rsidR="00FD347F" w:rsidRPr="000E0F5F">
        <w:rPr>
          <w:rFonts w:asciiTheme="minorHAnsi" w:eastAsiaTheme="minorHAnsi" w:hAnsiTheme="minorHAnsi" w:cstheme="minorHAnsi"/>
        </w:rPr>
        <w:t xml:space="preserve">the EA has been drafted in </w:t>
      </w:r>
      <w:r w:rsidRPr="000E0F5F">
        <w:rPr>
          <w:rFonts w:asciiTheme="minorHAnsi" w:eastAsiaTheme="minorHAnsi" w:hAnsiTheme="minorHAnsi" w:cstheme="minorHAnsi"/>
        </w:rPr>
        <w:t xml:space="preserve">instalments. </w:t>
      </w:r>
      <w:r w:rsidR="00FD347F" w:rsidRPr="000E0F5F">
        <w:rPr>
          <w:rFonts w:asciiTheme="minorHAnsi" w:eastAsiaTheme="minorHAnsi" w:hAnsiTheme="minorHAnsi" w:cstheme="minorHAnsi"/>
        </w:rPr>
        <w:t xml:space="preserve"> </w:t>
      </w:r>
      <w:hyperlink r:id="rId13" w:history="1">
        <w:r w:rsidR="00C61D22" w:rsidRPr="000E0F5F">
          <w:rPr>
            <w:rFonts w:asciiTheme="minorHAnsi" w:eastAsiaTheme="minorHAnsi" w:hAnsiTheme="minorHAnsi" w:cstheme="minorHAnsi"/>
            <w:color w:val="2CA6C2" w:themeColor="hyperlink"/>
            <w:u w:val="single"/>
            <w:lang w:eastAsia="en-GB" w:bidi="en-GB"/>
          </w:rPr>
          <w:t>Part one</w:t>
        </w:r>
      </w:hyperlink>
      <w:r w:rsidR="00C61D22" w:rsidRPr="000E0F5F">
        <w:rPr>
          <w:rFonts w:asciiTheme="minorHAnsi" w:eastAsiaTheme="minorHAnsi" w:hAnsiTheme="minorHAnsi" w:cstheme="minorHAnsi"/>
          <w:color w:val="2CA6C2" w:themeColor="hyperlink"/>
          <w:u w:val="single"/>
          <w:lang w:eastAsia="en-GB" w:bidi="en-GB"/>
        </w:rPr>
        <w:t xml:space="preserve">  </w:t>
      </w:r>
      <w:r w:rsidR="004E00FA" w:rsidRPr="000E0F5F">
        <w:rPr>
          <w:rFonts w:asciiTheme="minorHAnsi" w:eastAsiaTheme="minorHAnsi" w:hAnsiTheme="minorHAnsi" w:cstheme="minorHAnsi"/>
        </w:rPr>
        <w:t xml:space="preserve">examined </w:t>
      </w:r>
      <w:r w:rsidR="004553AF" w:rsidRPr="000E0F5F">
        <w:rPr>
          <w:rFonts w:asciiTheme="minorHAnsi" w:eastAsiaTheme="minorHAnsi" w:hAnsiTheme="minorHAnsi" w:cstheme="minorHAnsi"/>
        </w:rPr>
        <w:t xml:space="preserve">the initial </w:t>
      </w:r>
      <w:r w:rsidR="00FE774B" w:rsidRPr="000E0F5F">
        <w:rPr>
          <w:rFonts w:asciiTheme="minorHAnsi" w:eastAsiaTheme="minorHAnsi" w:hAnsiTheme="minorHAnsi" w:cstheme="minorHAnsi"/>
        </w:rPr>
        <w:t xml:space="preserve">research and </w:t>
      </w:r>
      <w:r w:rsidR="004E00FA" w:rsidRPr="000E0F5F">
        <w:rPr>
          <w:rFonts w:asciiTheme="minorHAnsi" w:eastAsiaTheme="minorHAnsi" w:hAnsiTheme="minorHAnsi" w:cstheme="minorHAnsi"/>
        </w:rPr>
        <w:t xml:space="preserve">intelligence gathering </w:t>
      </w:r>
      <w:r w:rsidR="00FE774B" w:rsidRPr="000E0F5F">
        <w:rPr>
          <w:rFonts w:asciiTheme="minorHAnsi" w:eastAsiaTheme="minorHAnsi" w:hAnsiTheme="minorHAnsi" w:cstheme="minorHAnsi"/>
        </w:rPr>
        <w:t xml:space="preserve">that </w:t>
      </w:r>
      <w:r w:rsidR="00C91128" w:rsidRPr="000E0F5F">
        <w:rPr>
          <w:rFonts w:asciiTheme="minorHAnsi" w:eastAsiaTheme="minorHAnsi" w:hAnsiTheme="minorHAnsi" w:cstheme="minorHAnsi"/>
        </w:rPr>
        <w:t xml:space="preserve">formed the basis of the questions we </w:t>
      </w:r>
      <w:r w:rsidR="00481C03" w:rsidRPr="000E0F5F">
        <w:rPr>
          <w:rFonts w:asciiTheme="minorHAnsi" w:eastAsiaTheme="minorHAnsi" w:hAnsiTheme="minorHAnsi" w:cstheme="minorHAnsi"/>
        </w:rPr>
        <w:t xml:space="preserve">posed </w:t>
      </w:r>
      <w:r w:rsidR="00FD347F" w:rsidRPr="000E0F5F">
        <w:rPr>
          <w:rFonts w:asciiTheme="minorHAnsi" w:eastAsiaTheme="minorHAnsi" w:hAnsiTheme="minorHAnsi" w:cstheme="minorHAnsi"/>
        </w:rPr>
        <w:t xml:space="preserve">in the </w:t>
      </w:r>
      <w:r w:rsidR="00F46F2D" w:rsidRPr="000E0F5F">
        <w:rPr>
          <w:rFonts w:asciiTheme="minorHAnsi" w:eastAsiaTheme="minorHAnsi" w:hAnsiTheme="minorHAnsi" w:cstheme="minorHAnsi"/>
        </w:rPr>
        <w:t>public consultation</w:t>
      </w:r>
      <w:r w:rsidR="00FD347F" w:rsidRPr="000E0F5F">
        <w:rPr>
          <w:rFonts w:asciiTheme="minorHAnsi" w:eastAsiaTheme="minorHAnsi" w:hAnsiTheme="minorHAnsi" w:cstheme="minorHAnsi"/>
        </w:rPr>
        <w:t xml:space="preserve">. </w:t>
      </w:r>
      <w:hyperlink r:id="rId14" w:history="1">
        <w:r w:rsidR="00C61D22" w:rsidRPr="000E0F5F">
          <w:rPr>
            <w:rFonts w:asciiTheme="minorHAnsi" w:eastAsiaTheme="minorHAnsi" w:hAnsiTheme="minorHAnsi" w:cstheme="minorHAnsi"/>
            <w:color w:val="2CA6C2" w:themeColor="hyperlink"/>
            <w:u w:val="single"/>
            <w:lang w:eastAsia="en-GB" w:bidi="en-GB"/>
          </w:rPr>
          <w:t xml:space="preserve">Part two </w:t>
        </w:r>
      </w:hyperlink>
      <w:r w:rsidR="00C61D22" w:rsidRPr="000E0F5F">
        <w:rPr>
          <w:rFonts w:asciiTheme="minorHAnsi" w:eastAsiaTheme="minorHAnsi" w:hAnsiTheme="minorHAnsi" w:cstheme="minorHAnsi"/>
        </w:rPr>
        <w:t>des</w:t>
      </w:r>
      <w:r w:rsidR="0051545B" w:rsidRPr="000E0F5F">
        <w:rPr>
          <w:rFonts w:asciiTheme="minorHAnsi" w:eastAsiaTheme="minorHAnsi" w:hAnsiTheme="minorHAnsi" w:cstheme="minorHAnsi"/>
        </w:rPr>
        <w:t xml:space="preserve">cribed the </w:t>
      </w:r>
      <w:r w:rsidR="00FD347F" w:rsidRPr="000E0F5F">
        <w:rPr>
          <w:rFonts w:asciiTheme="minorHAnsi" w:eastAsiaTheme="minorHAnsi" w:hAnsiTheme="minorHAnsi" w:cstheme="minorHAnsi"/>
        </w:rPr>
        <w:t xml:space="preserve">outcomes from the </w:t>
      </w:r>
      <w:r w:rsidR="004E00FA" w:rsidRPr="000E0F5F">
        <w:rPr>
          <w:rFonts w:asciiTheme="minorHAnsi" w:eastAsiaTheme="minorHAnsi" w:hAnsiTheme="minorHAnsi" w:cstheme="minorHAnsi"/>
        </w:rPr>
        <w:t>public consultation</w:t>
      </w:r>
      <w:r w:rsidR="00481C03" w:rsidRPr="000E0F5F">
        <w:rPr>
          <w:rFonts w:asciiTheme="minorHAnsi" w:eastAsiaTheme="minorHAnsi" w:hAnsiTheme="minorHAnsi" w:cstheme="minorHAnsi"/>
        </w:rPr>
        <w:t xml:space="preserve"> and</w:t>
      </w:r>
      <w:r w:rsidR="004E00FA" w:rsidRPr="000E0F5F">
        <w:rPr>
          <w:rFonts w:asciiTheme="minorHAnsi" w:eastAsiaTheme="minorHAnsi" w:hAnsiTheme="minorHAnsi" w:cstheme="minorHAnsi"/>
        </w:rPr>
        <w:t xml:space="preserve"> </w:t>
      </w:r>
      <w:r w:rsidR="00D50E35" w:rsidRPr="000E0F5F">
        <w:rPr>
          <w:rFonts w:asciiTheme="minorHAnsi" w:eastAsiaTheme="minorHAnsi" w:hAnsiTheme="minorHAnsi" w:cstheme="minorHAnsi"/>
        </w:rPr>
        <w:t xml:space="preserve">the </w:t>
      </w:r>
      <w:r w:rsidR="00B17C23" w:rsidRPr="000E0F5F">
        <w:rPr>
          <w:rFonts w:asciiTheme="minorHAnsi" w:eastAsiaTheme="minorHAnsi" w:hAnsiTheme="minorHAnsi" w:cstheme="minorHAnsi"/>
        </w:rPr>
        <w:t xml:space="preserve">commissioned </w:t>
      </w:r>
      <w:r w:rsidR="00FD347F" w:rsidRPr="000E0F5F">
        <w:rPr>
          <w:rFonts w:asciiTheme="minorHAnsi" w:eastAsiaTheme="minorHAnsi" w:hAnsiTheme="minorHAnsi" w:cstheme="minorHAnsi"/>
        </w:rPr>
        <w:t>patient research</w:t>
      </w:r>
      <w:r w:rsidR="00481C03" w:rsidRPr="000E0F5F">
        <w:rPr>
          <w:rFonts w:asciiTheme="minorHAnsi" w:eastAsiaTheme="minorHAnsi" w:hAnsiTheme="minorHAnsi" w:cstheme="minorHAnsi"/>
        </w:rPr>
        <w:t xml:space="preserve">. It also examined </w:t>
      </w:r>
      <w:r w:rsidR="00677881" w:rsidRPr="000E0F5F">
        <w:rPr>
          <w:rFonts w:asciiTheme="minorHAnsi" w:eastAsiaTheme="minorHAnsi" w:hAnsiTheme="minorHAnsi" w:cstheme="minorHAnsi"/>
        </w:rPr>
        <w:t>the steps taken to ensure we involved and listened to diverse perspectives.</w:t>
      </w:r>
      <w:r w:rsidR="00FD347F" w:rsidRPr="000E0F5F">
        <w:rPr>
          <w:rFonts w:asciiTheme="minorHAnsi" w:eastAsiaTheme="minorHAnsi" w:hAnsiTheme="minorHAnsi" w:cstheme="minorHAnsi"/>
        </w:rPr>
        <w:t xml:space="preserve"> </w:t>
      </w:r>
      <w:r w:rsidR="0051545B" w:rsidRPr="000E0F5F">
        <w:rPr>
          <w:rFonts w:asciiTheme="minorHAnsi" w:eastAsiaTheme="minorHAnsi" w:hAnsiTheme="minorHAnsi" w:cstheme="minorHAnsi"/>
        </w:rPr>
        <w:t xml:space="preserve"> </w:t>
      </w:r>
      <w:hyperlink r:id="rId15" w:history="1">
        <w:r w:rsidR="00FD347F" w:rsidRPr="000E0F5F">
          <w:rPr>
            <w:rStyle w:val="Hyperlink"/>
            <w:rFonts w:asciiTheme="minorHAnsi" w:hAnsiTheme="minorHAnsi" w:cstheme="minorHAnsi"/>
          </w:rPr>
          <w:t xml:space="preserve">Part three </w:t>
        </w:r>
      </w:hyperlink>
      <w:r w:rsidR="00C61D22" w:rsidRPr="000E0F5F">
        <w:rPr>
          <w:rFonts w:asciiTheme="minorHAnsi" w:eastAsiaTheme="minorHAnsi" w:hAnsiTheme="minorHAnsi" w:cstheme="minorHAnsi"/>
        </w:rPr>
        <w:t xml:space="preserve"> </w:t>
      </w:r>
      <w:r w:rsidR="00FD347F" w:rsidRPr="000E0F5F">
        <w:rPr>
          <w:rFonts w:asciiTheme="minorHAnsi" w:eastAsiaTheme="minorHAnsi" w:hAnsiTheme="minorHAnsi" w:cstheme="minorHAnsi"/>
        </w:rPr>
        <w:t xml:space="preserve">outlined </w:t>
      </w:r>
      <w:r w:rsidR="0051545B" w:rsidRPr="000E0F5F">
        <w:rPr>
          <w:rFonts w:asciiTheme="minorHAnsi" w:eastAsiaTheme="minorHAnsi" w:hAnsiTheme="minorHAnsi" w:cstheme="minorHAnsi"/>
        </w:rPr>
        <w:t xml:space="preserve">the implementation plan </w:t>
      </w:r>
      <w:r w:rsidR="00A62B54" w:rsidRPr="000E0F5F">
        <w:rPr>
          <w:rFonts w:asciiTheme="minorHAnsi" w:eastAsiaTheme="minorHAnsi" w:hAnsiTheme="minorHAnsi" w:cstheme="minorHAnsi"/>
        </w:rPr>
        <w:t>for</w:t>
      </w:r>
      <w:r w:rsidR="00CB37EA">
        <w:rPr>
          <w:rFonts w:asciiTheme="minorHAnsi" w:eastAsiaTheme="minorHAnsi" w:hAnsiTheme="minorHAnsi" w:cstheme="minorHAnsi"/>
        </w:rPr>
        <w:t xml:space="preserve"> </w:t>
      </w:r>
      <w:r w:rsidR="00CB37EA" w:rsidRPr="002F10C6">
        <w:rPr>
          <w:rFonts w:asciiTheme="minorHAnsi" w:eastAsiaTheme="minorHAnsi" w:hAnsiTheme="minorHAnsi" w:cstheme="minorHAnsi"/>
          <w:i/>
          <w:iCs/>
        </w:rPr>
        <w:t>Good medical practice</w:t>
      </w:r>
      <w:r w:rsidR="004553AF" w:rsidRPr="000E0F5F">
        <w:rPr>
          <w:rFonts w:asciiTheme="minorHAnsi" w:eastAsiaTheme="minorHAnsi" w:hAnsiTheme="minorHAnsi" w:cstheme="minorHAnsi"/>
        </w:rPr>
        <w:t>.</w:t>
      </w:r>
      <w:r w:rsidR="00A62B54" w:rsidRPr="000E0F5F">
        <w:rPr>
          <w:rFonts w:asciiTheme="minorHAnsi" w:eastAsiaTheme="minorHAnsi" w:hAnsiTheme="minorHAnsi" w:cstheme="minorHAnsi"/>
        </w:rPr>
        <w:t xml:space="preserve"> </w:t>
      </w:r>
    </w:p>
    <w:p w14:paraId="50C34315" w14:textId="77777777" w:rsidR="00FD347F" w:rsidRPr="000E0F5F" w:rsidRDefault="00FD347F" w:rsidP="00FD347F">
      <w:pPr>
        <w:pStyle w:val="ListParagraph"/>
        <w:rPr>
          <w:rFonts w:asciiTheme="minorHAnsi" w:eastAsiaTheme="minorHAnsi" w:hAnsiTheme="minorHAnsi" w:cstheme="minorHAnsi"/>
        </w:rPr>
      </w:pPr>
    </w:p>
    <w:p w14:paraId="4B01B381" w14:textId="4BFB07EE" w:rsidR="00C014D4" w:rsidRPr="000E0F5F" w:rsidRDefault="00FD347F" w:rsidP="00C014D4">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lastRenderedPageBreak/>
        <w:t>T</w:t>
      </w:r>
      <w:r w:rsidR="0051545B" w:rsidRPr="000E0F5F">
        <w:rPr>
          <w:rFonts w:asciiTheme="minorHAnsi" w:eastAsiaTheme="minorHAnsi" w:hAnsiTheme="minorHAnsi" w:cstheme="minorHAnsi"/>
        </w:rPr>
        <w:t xml:space="preserve">his instalment </w:t>
      </w:r>
      <w:r w:rsidR="006E01ED" w:rsidRPr="000E0F5F">
        <w:rPr>
          <w:rFonts w:asciiTheme="minorHAnsi" w:eastAsiaTheme="minorHAnsi" w:hAnsiTheme="minorHAnsi" w:cstheme="minorHAnsi"/>
        </w:rPr>
        <w:t xml:space="preserve">will look at EDI considerations that have arisen during the </w:t>
      </w:r>
      <w:r w:rsidR="00EB300C" w:rsidRPr="000E0F5F">
        <w:rPr>
          <w:rFonts w:asciiTheme="minorHAnsi" w:eastAsiaTheme="minorHAnsi" w:hAnsiTheme="minorHAnsi" w:cstheme="minorHAnsi"/>
        </w:rPr>
        <w:t>review and re</w:t>
      </w:r>
      <w:r w:rsidR="000F3EAF" w:rsidRPr="000E0F5F">
        <w:rPr>
          <w:rFonts w:asciiTheme="minorHAnsi" w:eastAsiaTheme="minorHAnsi" w:hAnsiTheme="minorHAnsi" w:cstheme="minorHAnsi"/>
        </w:rPr>
        <w:t>drafting</w:t>
      </w:r>
      <w:r w:rsidR="006E01ED" w:rsidRPr="000E0F5F">
        <w:rPr>
          <w:rFonts w:asciiTheme="minorHAnsi" w:eastAsiaTheme="minorHAnsi" w:hAnsiTheme="minorHAnsi" w:cstheme="minorHAnsi"/>
        </w:rPr>
        <w:t xml:space="preserve"> of the </w:t>
      </w:r>
      <w:r w:rsidR="00934FC9">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006E01ED" w:rsidRPr="000E0F5F">
        <w:rPr>
          <w:rFonts w:asciiTheme="minorHAnsi" w:eastAsiaTheme="minorHAnsi" w:hAnsiTheme="minorHAnsi" w:cstheme="minorHAnsi"/>
        </w:rPr>
        <w:t xml:space="preserve">. </w:t>
      </w:r>
    </w:p>
    <w:p w14:paraId="08E82245" w14:textId="6774E227" w:rsidR="008D2969" w:rsidRPr="001A31F8" w:rsidRDefault="008D2969" w:rsidP="001A31F8">
      <w:pPr>
        <w:pStyle w:val="Heading2"/>
        <w:rPr>
          <w:rFonts w:eastAsiaTheme="minorHAnsi"/>
        </w:rPr>
      </w:pPr>
      <w:r w:rsidRPr="001A31F8">
        <w:rPr>
          <w:rFonts w:eastAsiaTheme="minorHAnsi"/>
        </w:rPr>
        <w:t>Identifying EDI issues from scoping in 2021 and 2023</w:t>
      </w:r>
    </w:p>
    <w:p w14:paraId="50AEFCA7" w14:textId="77777777" w:rsidR="008D2969" w:rsidRPr="008D2969" w:rsidRDefault="008D2969" w:rsidP="008D2969">
      <w:pPr>
        <w:pStyle w:val="ListParagraph"/>
        <w:rPr>
          <w:rFonts w:asciiTheme="minorHAnsi" w:eastAsiaTheme="minorHAnsi" w:hAnsiTheme="minorHAnsi" w:cstheme="minorHAnsi"/>
          <w:sz w:val="28"/>
          <w:szCs w:val="28"/>
        </w:rPr>
      </w:pPr>
    </w:p>
    <w:p w14:paraId="56FF5AED" w14:textId="3A67ECBA" w:rsidR="00E03C1A" w:rsidRPr="000E0F5F" w:rsidRDefault="00047188" w:rsidP="00047188">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During the first 12 months, all staff working on the project had to </w:t>
      </w:r>
      <w:r w:rsidR="00481C03" w:rsidRPr="000E0F5F">
        <w:rPr>
          <w:rFonts w:asciiTheme="minorHAnsi" w:eastAsiaTheme="minorHAnsi" w:hAnsiTheme="minorHAnsi" w:cstheme="minorHAnsi"/>
        </w:rPr>
        <w:t xml:space="preserve">log the </w:t>
      </w:r>
      <w:r w:rsidRPr="000E0F5F">
        <w:rPr>
          <w:rFonts w:asciiTheme="minorHAnsi" w:eastAsiaTheme="minorHAnsi" w:hAnsiTheme="minorHAnsi" w:cstheme="minorHAnsi"/>
        </w:rPr>
        <w:t>EDI issues for every report they read or</w:t>
      </w:r>
      <w:r w:rsidR="00E03C1A" w:rsidRPr="000E0F5F">
        <w:rPr>
          <w:rFonts w:asciiTheme="minorHAnsi" w:eastAsiaTheme="minorHAnsi" w:hAnsiTheme="minorHAnsi" w:cstheme="minorHAnsi"/>
        </w:rPr>
        <w:t xml:space="preserve"> data</w:t>
      </w:r>
      <w:r w:rsidR="00BA597E" w:rsidRPr="000E0F5F">
        <w:rPr>
          <w:rFonts w:asciiTheme="minorHAnsi" w:eastAsiaTheme="minorHAnsi" w:hAnsiTheme="minorHAnsi" w:cstheme="minorHAnsi"/>
        </w:rPr>
        <w:t>set</w:t>
      </w:r>
      <w:r w:rsidRPr="000E0F5F">
        <w:rPr>
          <w:rFonts w:asciiTheme="minorHAnsi" w:eastAsiaTheme="minorHAnsi" w:hAnsiTheme="minorHAnsi" w:cstheme="minorHAnsi"/>
        </w:rPr>
        <w:t xml:space="preserve"> </w:t>
      </w:r>
      <w:r w:rsidR="00E03C1A" w:rsidRPr="000E0F5F">
        <w:rPr>
          <w:rFonts w:asciiTheme="minorHAnsi" w:eastAsiaTheme="minorHAnsi" w:hAnsiTheme="minorHAnsi" w:cstheme="minorHAnsi"/>
        </w:rPr>
        <w:t>they analysed.</w:t>
      </w:r>
      <w:r w:rsidRPr="000E0F5F">
        <w:rPr>
          <w:rFonts w:asciiTheme="minorHAnsi" w:eastAsiaTheme="minorHAnsi" w:hAnsiTheme="minorHAnsi" w:cstheme="minorHAnsi"/>
        </w:rPr>
        <w:t xml:space="preserve">  The EDI issues were collated in accordance </w:t>
      </w:r>
      <w:r w:rsidR="00F17AD3">
        <w:rPr>
          <w:rFonts w:asciiTheme="minorHAnsi" w:eastAsiaTheme="minorHAnsi" w:hAnsiTheme="minorHAnsi" w:cstheme="minorHAnsi"/>
        </w:rPr>
        <w:t xml:space="preserve">with the </w:t>
      </w:r>
      <w:r w:rsidR="00E34BA5">
        <w:rPr>
          <w:rFonts w:asciiTheme="minorHAnsi" w:eastAsiaTheme="minorHAnsi" w:hAnsiTheme="minorHAnsi" w:cstheme="minorHAnsi"/>
        </w:rPr>
        <w:t xml:space="preserve">nine </w:t>
      </w:r>
      <w:r w:rsidR="00E34BA5" w:rsidRPr="000E0F5F">
        <w:rPr>
          <w:rFonts w:asciiTheme="minorHAnsi" w:eastAsiaTheme="minorHAnsi" w:hAnsiTheme="minorHAnsi" w:cstheme="minorHAnsi"/>
        </w:rPr>
        <w:t>protected</w:t>
      </w:r>
      <w:r w:rsidRPr="000E0F5F">
        <w:rPr>
          <w:rFonts w:asciiTheme="minorHAnsi" w:eastAsiaTheme="minorHAnsi" w:hAnsiTheme="minorHAnsi" w:cstheme="minorHAnsi"/>
        </w:rPr>
        <w:t xml:space="preserve"> </w:t>
      </w:r>
      <w:r w:rsidR="00F17AD3">
        <w:rPr>
          <w:rFonts w:asciiTheme="minorHAnsi" w:eastAsiaTheme="minorHAnsi" w:hAnsiTheme="minorHAnsi" w:cstheme="minorHAnsi"/>
        </w:rPr>
        <w:t xml:space="preserve">characteristics described </w:t>
      </w:r>
      <w:r w:rsidR="00E34BA5">
        <w:rPr>
          <w:rFonts w:asciiTheme="minorHAnsi" w:eastAsiaTheme="minorHAnsi" w:hAnsiTheme="minorHAnsi" w:cstheme="minorHAnsi"/>
        </w:rPr>
        <w:t xml:space="preserve">in </w:t>
      </w:r>
      <w:r w:rsidR="00E34BA5" w:rsidRPr="000E0F5F">
        <w:rPr>
          <w:rFonts w:asciiTheme="minorHAnsi" w:eastAsiaTheme="minorHAnsi" w:hAnsiTheme="minorHAnsi" w:cstheme="minorHAnsi"/>
        </w:rPr>
        <w:t>the</w:t>
      </w:r>
      <w:r w:rsidRPr="000E0F5F">
        <w:rPr>
          <w:rFonts w:asciiTheme="minorHAnsi" w:eastAsiaTheme="minorHAnsi" w:hAnsiTheme="minorHAnsi" w:cstheme="minorHAnsi"/>
        </w:rPr>
        <w:t xml:space="preserve"> Equality Act 2010,</w:t>
      </w:r>
      <w:r w:rsidR="00BA597E" w:rsidRPr="000E0F5F">
        <w:rPr>
          <w:rFonts w:asciiTheme="minorHAnsi" w:eastAsiaTheme="minorHAnsi" w:hAnsiTheme="minorHAnsi" w:cstheme="minorHAnsi"/>
        </w:rPr>
        <w:t xml:space="preserve"> and i</w:t>
      </w:r>
      <w:r w:rsidR="00E03C1A" w:rsidRPr="000E0F5F">
        <w:rPr>
          <w:rFonts w:asciiTheme="minorHAnsi" w:eastAsiaTheme="minorHAnsi" w:hAnsiTheme="minorHAnsi" w:cstheme="minorHAnsi"/>
        </w:rPr>
        <w:t>n addition</w:t>
      </w:r>
      <w:r w:rsidR="00481C03" w:rsidRPr="000E0F5F">
        <w:rPr>
          <w:rFonts w:asciiTheme="minorHAnsi" w:eastAsiaTheme="minorHAnsi" w:hAnsiTheme="minorHAnsi" w:cstheme="minorHAnsi"/>
        </w:rPr>
        <w:t xml:space="preserve"> to this</w:t>
      </w:r>
      <w:r w:rsidR="00BA597E" w:rsidRPr="000E0F5F">
        <w:rPr>
          <w:rFonts w:asciiTheme="minorHAnsi" w:eastAsiaTheme="minorHAnsi" w:hAnsiTheme="minorHAnsi" w:cstheme="minorHAnsi"/>
        </w:rPr>
        <w:t>,</w:t>
      </w:r>
      <w:r w:rsidR="00E03C1A" w:rsidRPr="000E0F5F">
        <w:rPr>
          <w:rFonts w:asciiTheme="minorHAnsi" w:eastAsiaTheme="minorHAnsi" w:hAnsiTheme="minorHAnsi" w:cstheme="minorHAnsi"/>
        </w:rPr>
        <w:t xml:space="preserve"> we also </w:t>
      </w:r>
      <w:r w:rsidR="00481C03" w:rsidRPr="000E0F5F">
        <w:rPr>
          <w:rFonts w:asciiTheme="minorHAnsi" w:eastAsiaTheme="minorHAnsi" w:hAnsiTheme="minorHAnsi" w:cstheme="minorHAnsi"/>
        </w:rPr>
        <w:t xml:space="preserve">logged any </w:t>
      </w:r>
      <w:r w:rsidRPr="000E0F5F">
        <w:rPr>
          <w:rFonts w:asciiTheme="minorHAnsi" w:eastAsiaTheme="minorHAnsi" w:hAnsiTheme="minorHAnsi" w:cstheme="minorHAnsi"/>
        </w:rPr>
        <w:t xml:space="preserve">differential impacts </w:t>
      </w:r>
      <w:r w:rsidR="00481C03" w:rsidRPr="000E0F5F">
        <w:rPr>
          <w:rFonts w:asciiTheme="minorHAnsi" w:eastAsiaTheme="minorHAnsi" w:hAnsiTheme="minorHAnsi" w:cstheme="minorHAnsi"/>
        </w:rPr>
        <w:t>we found which affected</w:t>
      </w:r>
      <w:r w:rsidR="00E03C1A" w:rsidRPr="000E0F5F">
        <w:rPr>
          <w:rFonts w:asciiTheme="minorHAnsi" w:eastAsiaTheme="minorHAnsi" w:hAnsiTheme="minorHAnsi" w:cstheme="minorHAnsi"/>
        </w:rPr>
        <w:t>:</w:t>
      </w:r>
    </w:p>
    <w:p w14:paraId="7069B07E" w14:textId="77777777" w:rsidR="00481C03" w:rsidRPr="000E0F5F" w:rsidRDefault="00481C03" w:rsidP="00481C03">
      <w:pPr>
        <w:pStyle w:val="ListParagraph"/>
        <w:rPr>
          <w:rFonts w:asciiTheme="minorHAnsi" w:eastAsiaTheme="minorHAnsi" w:hAnsiTheme="minorHAnsi" w:cstheme="minorHAnsi"/>
        </w:rPr>
      </w:pPr>
    </w:p>
    <w:p w14:paraId="2ED1306D" w14:textId="606756E1" w:rsidR="00E03C1A" w:rsidRPr="000E0F5F" w:rsidRDefault="00047188" w:rsidP="00E03C1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 xml:space="preserve">people </w:t>
      </w:r>
      <w:r w:rsidR="00481C03" w:rsidRPr="000E0F5F">
        <w:rPr>
          <w:rFonts w:asciiTheme="minorHAnsi" w:eastAsiaTheme="minorHAnsi" w:hAnsiTheme="minorHAnsi" w:cstheme="minorHAnsi"/>
        </w:rPr>
        <w:t xml:space="preserve">(patients or medical professionals) </w:t>
      </w:r>
      <w:r w:rsidRPr="000E0F5F">
        <w:rPr>
          <w:rFonts w:asciiTheme="minorHAnsi" w:eastAsiaTheme="minorHAnsi" w:hAnsiTheme="minorHAnsi" w:cstheme="minorHAnsi"/>
        </w:rPr>
        <w:t xml:space="preserve">from different socio-economic backgrounds </w:t>
      </w:r>
      <w:r w:rsidR="00E03C1A" w:rsidRPr="000E0F5F">
        <w:rPr>
          <w:rFonts w:asciiTheme="minorHAnsi" w:eastAsiaTheme="minorHAnsi" w:hAnsiTheme="minorHAnsi" w:cstheme="minorHAnsi"/>
        </w:rPr>
        <w:t xml:space="preserve">and </w:t>
      </w:r>
    </w:p>
    <w:p w14:paraId="06359558" w14:textId="6428A249" w:rsidR="008D2969" w:rsidRPr="000E0F5F" w:rsidRDefault="00E03C1A" w:rsidP="00E03C1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i</w:t>
      </w:r>
      <w:r w:rsidR="00047188" w:rsidRPr="000E0F5F">
        <w:rPr>
          <w:rFonts w:asciiTheme="minorHAnsi" w:eastAsiaTheme="minorHAnsi" w:hAnsiTheme="minorHAnsi" w:cstheme="minorHAnsi"/>
        </w:rPr>
        <w:t xml:space="preserve">nternational medical graduates </w:t>
      </w:r>
      <w:r w:rsidR="00115922">
        <w:rPr>
          <w:rFonts w:asciiTheme="minorHAnsi" w:eastAsiaTheme="minorHAnsi" w:hAnsiTheme="minorHAnsi" w:cstheme="minorHAnsi"/>
        </w:rPr>
        <w:t xml:space="preserve">(‘IMGs') </w:t>
      </w:r>
      <w:r w:rsidR="00047188" w:rsidRPr="000E0F5F">
        <w:rPr>
          <w:rFonts w:asciiTheme="minorHAnsi" w:eastAsiaTheme="minorHAnsi" w:hAnsiTheme="minorHAnsi" w:cstheme="minorHAnsi"/>
        </w:rPr>
        <w:t xml:space="preserve">who obtained their primary medical qualification outside the UK.  </w:t>
      </w:r>
    </w:p>
    <w:p w14:paraId="3EF31C2F" w14:textId="77777777" w:rsidR="00E03C1A" w:rsidRPr="000E0F5F" w:rsidRDefault="00E03C1A" w:rsidP="00E03C1A">
      <w:pPr>
        <w:pStyle w:val="ListParagraph"/>
        <w:rPr>
          <w:rFonts w:asciiTheme="minorHAnsi" w:eastAsiaTheme="minorHAnsi" w:hAnsiTheme="minorHAnsi" w:cstheme="minorHAnsi"/>
        </w:rPr>
      </w:pPr>
    </w:p>
    <w:p w14:paraId="33C0E381" w14:textId="34A226AB" w:rsidR="00B012BB" w:rsidRPr="000E0F5F" w:rsidRDefault="00E03C1A" w:rsidP="00B012BB">
      <w:pPr>
        <w:pStyle w:val="ListParagraph"/>
        <w:numPr>
          <w:ilvl w:val="0"/>
          <w:numId w:val="7"/>
        </w:numPr>
        <w:ind w:left="714" w:hanging="357"/>
        <w:rPr>
          <w:rFonts w:asciiTheme="minorHAnsi" w:hAnsiTheme="minorHAnsi" w:cstheme="minorHAnsi"/>
        </w:rPr>
      </w:pPr>
      <w:r w:rsidRPr="000E0F5F">
        <w:rPr>
          <w:rFonts w:asciiTheme="minorHAnsi" w:eastAsiaTheme="minorHAnsi" w:hAnsiTheme="minorHAnsi" w:cstheme="minorHAnsi"/>
        </w:rPr>
        <w:t>The initial research and intelligence gathering</w:t>
      </w:r>
      <w:r w:rsidR="00E35F23" w:rsidRPr="000E0F5F">
        <w:rPr>
          <w:rFonts w:asciiTheme="minorHAnsi" w:eastAsiaTheme="minorHAnsi" w:hAnsiTheme="minorHAnsi" w:cstheme="minorHAnsi"/>
        </w:rPr>
        <w:t xml:space="preserve"> in 2021 involved scrutinising </w:t>
      </w:r>
      <w:r w:rsidR="00B64134">
        <w:rPr>
          <w:rFonts w:asciiTheme="minorHAnsi" w:eastAsiaTheme="minorHAnsi" w:hAnsiTheme="minorHAnsi" w:cstheme="minorHAnsi"/>
        </w:rPr>
        <w:t>our</w:t>
      </w:r>
      <w:r w:rsidR="00115922">
        <w:rPr>
          <w:rFonts w:asciiTheme="minorHAnsi" w:eastAsiaTheme="minorHAnsi" w:hAnsiTheme="minorHAnsi" w:cstheme="minorHAnsi"/>
        </w:rPr>
        <w:t xml:space="preserve"> </w:t>
      </w:r>
      <w:r w:rsidR="00B64134">
        <w:rPr>
          <w:rFonts w:asciiTheme="minorHAnsi" w:eastAsiaTheme="minorHAnsi" w:hAnsiTheme="minorHAnsi" w:cstheme="minorHAnsi"/>
        </w:rPr>
        <w:t>d</w:t>
      </w:r>
      <w:r w:rsidR="00E35F23" w:rsidRPr="000E0F5F">
        <w:rPr>
          <w:rFonts w:asciiTheme="minorHAnsi" w:eastAsiaTheme="minorHAnsi" w:hAnsiTheme="minorHAnsi" w:cstheme="minorHAnsi"/>
        </w:rPr>
        <w:t xml:space="preserve">atabases </w:t>
      </w:r>
      <w:r w:rsidR="00BA597E" w:rsidRPr="000E0F5F">
        <w:rPr>
          <w:rFonts w:asciiTheme="minorHAnsi" w:eastAsiaTheme="minorHAnsi" w:hAnsiTheme="minorHAnsi" w:cstheme="minorHAnsi"/>
        </w:rPr>
        <w:t xml:space="preserve">and other sources </w:t>
      </w:r>
      <w:r w:rsidRPr="000E0F5F">
        <w:rPr>
          <w:rFonts w:asciiTheme="minorHAnsi" w:eastAsiaTheme="minorHAnsi" w:hAnsiTheme="minorHAnsi" w:cstheme="minorHAnsi"/>
        </w:rPr>
        <w:t xml:space="preserve">for issues relating to </w:t>
      </w:r>
      <w:r w:rsidR="00CB37EA" w:rsidRPr="002F10C6">
        <w:rPr>
          <w:rFonts w:asciiTheme="minorHAnsi" w:eastAsiaTheme="minorHAnsi" w:hAnsiTheme="minorHAnsi" w:cstheme="minorHAnsi"/>
          <w:i/>
          <w:iCs/>
        </w:rPr>
        <w:t>Good medical practice</w:t>
      </w:r>
      <w:r w:rsidR="00CB37EA">
        <w:rPr>
          <w:rFonts w:asciiTheme="minorHAnsi" w:eastAsiaTheme="minorHAnsi" w:hAnsiTheme="minorHAnsi" w:cstheme="minorHAnsi"/>
        </w:rPr>
        <w:t xml:space="preserve"> </w:t>
      </w:r>
      <w:r w:rsidRPr="000E0F5F">
        <w:rPr>
          <w:rFonts w:asciiTheme="minorHAnsi" w:eastAsiaTheme="minorHAnsi" w:hAnsiTheme="minorHAnsi" w:cstheme="minorHAnsi"/>
          <w:i/>
          <w:iCs/>
        </w:rPr>
        <w:t>and</w:t>
      </w:r>
      <w:r w:rsidRPr="000E0F5F">
        <w:rPr>
          <w:rFonts w:asciiTheme="minorHAnsi" w:eastAsiaTheme="minorHAnsi" w:hAnsiTheme="minorHAnsi" w:cstheme="minorHAnsi"/>
        </w:rPr>
        <w:t xml:space="preserve"> </w:t>
      </w:r>
      <w:r w:rsidR="00B012BB" w:rsidRPr="000E0F5F">
        <w:rPr>
          <w:rFonts w:asciiTheme="minorHAnsi" w:eastAsiaTheme="minorHAnsi" w:hAnsiTheme="minorHAnsi" w:cstheme="minorHAnsi"/>
        </w:rPr>
        <w:t xml:space="preserve">for </w:t>
      </w:r>
      <w:r w:rsidRPr="000E0F5F">
        <w:rPr>
          <w:rFonts w:asciiTheme="minorHAnsi" w:eastAsiaTheme="minorHAnsi" w:hAnsiTheme="minorHAnsi" w:cstheme="minorHAnsi"/>
        </w:rPr>
        <w:t xml:space="preserve">issues relating to the pieces of </w:t>
      </w:r>
      <w:r w:rsidR="003D16A5">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Pr="000E0F5F">
        <w:rPr>
          <w:rFonts w:asciiTheme="minorHAnsi" w:eastAsiaTheme="minorHAnsi" w:hAnsiTheme="minorHAnsi" w:cstheme="minorHAnsi"/>
        </w:rPr>
        <w:t xml:space="preserve"> in scope for review.</w:t>
      </w:r>
      <w:r w:rsidR="00481C03" w:rsidRPr="000E0F5F">
        <w:rPr>
          <w:rFonts w:asciiTheme="minorHAnsi" w:eastAsiaTheme="minorHAnsi" w:hAnsiTheme="minorHAnsi" w:cstheme="minorHAnsi"/>
        </w:rPr>
        <w:t xml:space="preserve"> </w:t>
      </w:r>
      <w:r w:rsidR="00B42969" w:rsidRPr="000E0F5F">
        <w:rPr>
          <w:rFonts w:asciiTheme="minorHAnsi" w:eastAsiaTheme="minorHAnsi" w:hAnsiTheme="minorHAnsi" w:cstheme="minorHAnsi"/>
        </w:rPr>
        <w:t>At the start these were</w:t>
      </w:r>
      <w:r w:rsidR="00481C03" w:rsidRPr="000E0F5F">
        <w:rPr>
          <w:rFonts w:asciiTheme="minorHAnsi" w:eastAsiaTheme="minorHAnsi" w:hAnsiTheme="minorHAnsi" w:cstheme="minorHAnsi"/>
        </w:rPr>
        <w:t xml:space="preserve">: </w:t>
      </w:r>
    </w:p>
    <w:p w14:paraId="5C90A196" w14:textId="540022F6" w:rsidR="00856A99" w:rsidRPr="00856A99"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 xml:space="preserve">Acting as a witness in legal proceedings </w:t>
      </w:r>
    </w:p>
    <w:p w14:paraId="3525865D" w14:textId="72B50BE9" w:rsidR="00BE3F49"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 xml:space="preserve">Consent to research </w:t>
      </w:r>
    </w:p>
    <w:p w14:paraId="3393CDA9" w14:textId="0A41B404" w:rsidR="00856A99" w:rsidRPr="00856A99" w:rsidRDefault="00BE3F49" w:rsidP="00856A99">
      <w:pPr>
        <w:pStyle w:val="BodyText1"/>
        <w:numPr>
          <w:ilvl w:val="0"/>
          <w:numId w:val="28"/>
        </w:numPr>
        <w:rPr>
          <w:rFonts w:asciiTheme="minorHAnsi" w:eastAsiaTheme="minorHAnsi" w:hAnsiTheme="minorHAnsi" w:cstheme="minorHAnsi"/>
        </w:rPr>
      </w:pPr>
      <w:r>
        <w:rPr>
          <w:rFonts w:asciiTheme="minorHAnsi" w:eastAsiaTheme="minorHAnsi" w:hAnsiTheme="minorHAnsi" w:cstheme="minorHAnsi"/>
        </w:rPr>
        <w:t>G</w:t>
      </w:r>
      <w:r w:rsidR="00856A99" w:rsidRPr="00856A99">
        <w:rPr>
          <w:rFonts w:asciiTheme="minorHAnsi" w:eastAsiaTheme="minorHAnsi" w:hAnsiTheme="minorHAnsi" w:cstheme="minorHAnsi"/>
        </w:rPr>
        <w:t>ood practice in research</w:t>
      </w:r>
    </w:p>
    <w:p w14:paraId="4845A1E3" w14:textId="19182A3A" w:rsidR="00856A99" w:rsidRPr="00856A99"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Delegation and referral</w:t>
      </w:r>
    </w:p>
    <w:p w14:paraId="326064F9" w14:textId="033AF230" w:rsidR="00856A99" w:rsidRPr="00856A99"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Doctors use of social media</w:t>
      </w:r>
    </w:p>
    <w:p w14:paraId="370E6053" w14:textId="7E2B9B99" w:rsidR="00856A99" w:rsidRPr="00856A99"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Ending your professional relationship with a patient</w:t>
      </w:r>
    </w:p>
    <w:p w14:paraId="3D922F03" w14:textId="30B89BDC" w:rsidR="00856A99" w:rsidRPr="00856A99"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Financial and commercial arrangements and conflicts of interest</w:t>
      </w:r>
    </w:p>
    <w:p w14:paraId="2C225E48" w14:textId="76C2DB31" w:rsidR="00856A99" w:rsidRPr="00856A99"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Intimate examinations and chaperones</w:t>
      </w:r>
    </w:p>
    <w:p w14:paraId="3D87C1FA" w14:textId="754ACD40" w:rsidR="00856A99" w:rsidRPr="00856A99"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Maintaining a professional boundary between you and your patient</w:t>
      </w:r>
    </w:p>
    <w:p w14:paraId="1C297B26" w14:textId="0DCBC6C1" w:rsidR="00856A99" w:rsidRPr="00856A99"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Sexual behaviour and your duty to report colleagues</w:t>
      </w:r>
    </w:p>
    <w:p w14:paraId="7E6626C9" w14:textId="2875BB1B" w:rsidR="00856A99" w:rsidRPr="00856A99"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Personal beliefs and medical practice</w:t>
      </w:r>
    </w:p>
    <w:p w14:paraId="5F1CFBE9" w14:textId="2302C14E" w:rsidR="00481C03" w:rsidRPr="000E0F5F" w:rsidRDefault="00856A99" w:rsidP="00856A99">
      <w:pPr>
        <w:pStyle w:val="BodyText1"/>
        <w:numPr>
          <w:ilvl w:val="0"/>
          <w:numId w:val="28"/>
        </w:numPr>
        <w:rPr>
          <w:rFonts w:asciiTheme="minorHAnsi" w:eastAsiaTheme="minorHAnsi" w:hAnsiTheme="minorHAnsi" w:cstheme="minorHAnsi"/>
        </w:rPr>
      </w:pPr>
      <w:r w:rsidRPr="00856A99">
        <w:rPr>
          <w:rFonts w:asciiTheme="minorHAnsi" w:eastAsiaTheme="minorHAnsi" w:hAnsiTheme="minorHAnsi" w:cstheme="minorHAnsi"/>
        </w:rPr>
        <w:t>Writing references</w:t>
      </w:r>
    </w:p>
    <w:p w14:paraId="24E01482" w14:textId="77777777" w:rsidR="009F4EAE" w:rsidRPr="000E0F5F" w:rsidRDefault="009F4EAE" w:rsidP="009F4EAE">
      <w:pPr>
        <w:pStyle w:val="ListParagraph"/>
        <w:rPr>
          <w:rFonts w:asciiTheme="minorHAnsi" w:eastAsiaTheme="minorHAnsi" w:hAnsiTheme="minorHAnsi" w:cstheme="minorHAnsi"/>
        </w:rPr>
      </w:pPr>
    </w:p>
    <w:p w14:paraId="09E7757B" w14:textId="033685AC" w:rsidR="009E3A4C" w:rsidRPr="000E0F5F" w:rsidRDefault="00B012BB" w:rsidP="009E3A4C">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lastRenderedPageBreak/>
        <w:t xml:space="preserve">The EDI issues </w:t>
      </w:r>
      <w:r w:rsidR="00B42969" w:rsidRPr="000E0F5F">
        <w:rPr>
          <w:rFonts w:asciiTheme="minorHAnsi" w:eastAsiaTheme="minorHAnsi" w:hAnsiTheme="minorHAnsi" w:cstheme="minorHAnsi"/>
        </w:rPr>
        <w:t>were then</w:t>
      </w:r>
      <w:r w:rsidRPr="000E0F5F">
        <w:rPr>
          <w:rFonts w:asciiTheme="minorHAnsi" w:eastAsiaTheme="minorHAnsi" w:hAnsiTheme="minorHAnsi" w:cstheme="minorHAnsi"/>
        </w:rPr>
        <w:t xml:space="preserve"> considered by the</w:t>
      </w:r>
      <w:r w:rsidR="009F4EAE" w:rsidRPr="000E0F5F">
        <w:rPr>
          <w:rFonts w:asciiTheme="minorHAnsi" w:eastAsiaTheme="minorHAnsi" w:hAnsiTheme="minorHAnsi" w:cstheme="minorHAnsi"/>
        </w:rPr>
        <w:t xml:space="preserve"> </w:t>
      </w:r>
      <w:r w:rsidR="00E35F23" w:rsidRPr="000E0F5F">
        <w:rPr>
          <w:rFonts w:asciiTheme="minorHAnsi" w:eastAsiaTheme="minorHAnsi" w:hAnsiTheme="minorHAnsi" w:cstheme="minorHAnsi"/>
        </w:rPr>
        <w:t xml:space="preserve">team’s </w:t>
      </w:r>
      <w:r w:rsidR="009F4EAE" w:rsidRPr="000E0F5F">
        <w:rPr>
          <w:rFonts w:asciiTheme="minorHAnsi" w:eastAsiaTheme="minorHAnsi" w:hAnsiTheme="minorHAnsi" w:cstheme="minorHAnsi"/>
        </w:rPr>
        <w:t xml:space="preserve">EDI working group. Issues relating to the </w:t>
      </w:r>
      <w:r w:rsidR="003D16A5">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009F4EAE" w:rsidRPr="000E0F5F">
        <w:rPr>
          <w:rFonts w:asciiTheme="minorHAnsi" w:eastAsiaTheme="minorHAnsi" w:hAnsiTheme="minorHAnsi" w:cstheme="minorHAnsi"/>
        </w:rPr>
        <w:t xml:space="preserve"> were isolated for separate </w:t>
      </w:r>
      <w:r w:rsidR="00BA597E" w:rsidRPr="000E0F5F">
        <w:rPr>
          <w:rFonts w:asciiTheme="minorHAnsi" w:eastAsiaTheme="minorHAnsi" w:hAnsiTheme="minorHAnsi" w:cstheme="minorHAnsi"/>
        </w:rPr>
        <w:t>consideration to</w:t>
      </w:r>
      <w:r w:rsidR="009F4EAE" w:rsidRPr="000E0F5F">
        <w:rPr>
          <w:rFonts w:asciiTheme="minorHAnsi" w:eastAsiaTheme="minorHAnsi" w:hAnsiTheme="minorHAnsi" w:cstheme="minorHAnsi"/>
        </w:rPr>
        <w:t xml:space="preserve"> assess whether </w:t>
      </w:r>
      <w:r w:rsidR="00B17C23" w:rsidRPr="000E0F5F">
        <w:rPr>
          <w:rFonts w:asciiTheme="minorHAnsi" w:eastAsiaTheme="minorHAnsi" w:hAnsiTheme="minorHAnsi" w:cstheme="minorHAnsi"/>
        </w:rPr>
        <w:t xml:space="preserve">they </w:t>
      </w:r>
      <w:r w:rsidR="009F4EAE" w:rsidRPr="000E0F5F">
        <w:rPr>
          <w:rFonts w:asciiTheme="minorHAnsi" w:eastAsiaTheme="minorHAnsi" w:hAnsiTheme="minorHAnsi" w:cstheme="minorHAnsi"/>
        </w:rPr>
        <w:t xml:space="preserve">needed to be </w:t>
      </w:r>
      <w:r w:rsidR="00F17AD3">
        <w:rPr>
          <w:rFonts w:asciiTheme="minorHAnsi" w:eastAsiaTheme="minorHAnsi" w:hAnsiTheme="minorHAnsi" w:cstheme="minorHAnsi"/>
        </w:rPr>
        <w:t>highlighted i</w:t>
      </w:r>
      <w:r w:rsidR="00512248" w:rsidRPr="000E0F5F">
        <w:rPr>
          <w:rFonts w:asciiTheme="minorHAnsi" w:eastAsiaTheme="minorHAnsi" w:hAnsiTheme="minorHAnsi" w:cstheme="minorHAnsi"/>
        </w:rPr>
        <w:t xml:space="preserve">n </w:t>
      </w:r>
      <w:r w:rsidR="009F4EAE" w:rsidRPr="000E0F5F">
        <w:rPr>
          <w:rFonts w:asciiTheme="minorHAnsi" w:eastAsiaTheme="minorHAnsi" w:hAnsiTheme="minorHAnsi" w:cstheme="minorHAnsi"/>
        </w:rPr>
        <w:t>the public consultation</w:t>
      </w:r>
      <w:r w:rsidR="00512248" w:rsidRPr="000E0F5F">
        <w:rPr>
          <w:rFonts w:asciiTheme="minorHAnsi" w:eastAsiaTheme="minorHAnsi" w:hAnsiTheme="minorHAnsi" w:cstheme="minorHAnsi"/>
        </w:rPr>
        <w:t xml:space="preserve"> and/</w:t>
      </w:r>
      <w:r w:rsidR="00B17C23" w:rsidRPr="000E0F5F">
        <w:rPr>
          <w:rFonts w:asciiTheme="minorHAnsi" w:eastAsiaTheme="minorHAnsi" w:hAnsiTheme="minorHAnsi" w:cstheme="minorHAnsi"/>
        </w:rPr>
        <w:t xml:space="preserve">or the </w:t>
      </w:r>
      <w:r w:rsidR="00B42969" w:rsidRPr="000E0F5F">
        <w:rPr>
          <w:rFonts w:asciiTheme="minorHAnsi" w:eastAsiaTheme="minorHAnsi" w:hAnsiTheme="minorHAnsi" w:cstheme="minorHAnsi"/>
        </w:rPr>
        <w:t xml:space="preserve">commissioned </w:t>
      </w:r>
      <w:r w:rsidR="00512248" w:rsidRPr="000E0F5F">
        <w:rPr>
          <w:rFonts w:asciiTheme="minorHAnsi" w:eastAsiaTheme="minorHAnsi" w:hAnsiTheme="minorHAnsi" w:cstheme="minorHAnsi"/>
        </w:rPr>
        <w:t>patient research</w:t>
      </w:r>
      <w:r w:rsidR="00B42969" w:rsidRPr="000E0F5F">
        <w:rPr>
          <w:rFonts w:asciiTheme="minorHAnsi" w:eastAsiaTheme="minorHAnsi" w:hAnsiTheme="minorHAnsi" w:cstheme="minorHAnsi"/>
        </w:rPr>
        <w:t xml:space="preserve">. </w:t>
      </w:r>
    </w:p>
    <w:p w14:paraId="09505923" w14:textId="77777777" w:rsidR="009E3A4C" w:rsidRPr="000E0F5F" w:rsidRDefault="009E3A4C" w:rsidP="009E3A4C">
      <w:pPr>
        <w:pStyle w:val="ListParagraph"/>
        <w:rPr>
          <w:rFonts w:asciiTheme="minorHAnsi" w:eastAsiaTheme="minorHAnsi" w:hAnsiTheme="minorHAnsi" w:cstheme="minorHAnsi"/>
        </w:rPr>
      </w:pPr>
    </w:p>
    <w:p w14:paraId="39A81AC2" w14:textId="6DAD6201" w:rsidR="009E3A4C" w:rsidRDefault="009E3A4C" w:rsidP="00E40B24">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The criteria used to decide whether the EDI issue that related to the </w:t>
      </w:r>
      <w:r w:rsidR="003D16A5">
        <w:rPr>
          <w:rFonts w:asciiTheme="minorHAnsi" w:eastAsiaTheme="minorHAnsi" w:hAnsiTheme="minorHAnsi" w:cstheme="minorHAnsi"/>
        </w:rPr>
        <w:t xml:space="preserve">more detailed </w:t>
      </w:r>
      <w:r w:rsidRPr="000E0F5F">
        <w:rPr>
          <w:rFonts w:asciiTheme="minorHAnsi" w:eastAsiaTheme="minorHAnsi" w:hAnsiTheme="minorHAnsi" w:cstheme="minorHAnsi"/>
        </w:rPr>
        <w:t>guidance should be included in the consultation were, whether the EDI issues were:</w:t>
      </w:r>
    </w:p>
    <w:p w14:paraId="1F627F6B" w14:textId="77777777" w:rsidR="00115922" w:rsidRPr="00115922" w:rsidRDefault="00115922" w:rsidP="00115922">
      <w:pPr>
        <w:pStyle w:val="ListParagraph"/>
        <w:rPr>
          <w:rFonts w:asciiTheme="minorHAnsi" w:eastAsiaTheme="minorHAnsi" w:hAnsiTheme="minorHAnsi" w:cstheme="minorHAnsi"/>
        </w:rPr>
      </w:pPr>
    </w:p>
    <w:p w14:paraId="6BABCF76" w14:textId="2696E474" w:rsidR="009E3A4C" w:rsidRPr="000E0F5F" w:rsidRDefault="009E3A4C" w:rsidP="00BF40EB">
      <w:pPr>
        <w:pStyle w:val="ListParagraph"/>
        <w:numPr>
          <w:ilvl w:val="0"/>
          <w:numId w:val="15"/>
        </w:numPr>
        <w:rPr>
          <w:rFonts w:asciiTheme="minorHAnsi" w:eastAsiaTheme="minorHAnsi" w:hAnsiTheme="minorHAnsi" w:cstheme="minorHAnsi"/>
        </w:rPr>
      </w:pPr>
      <w:r w:rsidRPr="000E0F5F">
        <w:rPr>
          <w:rFonts w:asciiTheme="minorHAnsi" w:eastAsiaTheme="minorHAnsi" w:hAnsiTheme="minorHAnsi" w:cstheme="minorHAnsi"/>
        </w:rPr>
        <w:t xml:space="preserve">standalone issues that had not been raised in the review of </w:t>
      </w:r>
      <w:r w:rsidR="00CB37EA" w:rsidRPr="002F10C6">
        <w:rPr>
          <w:rFonts w:asciiTheme="minorHAnsi" w:eastAsiaTheme="minorHAnsi" w:hAnsiTheme="minorHAnsi" w:cstheme="minorHAnsi"/>
          <w:i/>
          <w:iCs/>
        </w:rPr>
        <w:t>Good medical practice</w:t>
      </w:r>
    </w:p>
    <w:p w14:paraId="69497D2A" w14:textId="59376FB1" w:rsidR="009E3A4C" w:rsidRPr="000E0F5F" w:rsidRDefault="009E3A4C" w:rsidP="00BF40EB">
      <w:pPr>
        <w:pStyle w:val="ListParagraph"/>
        <w:numPr>
          <w:ilvl w:val="0"/>
          <w:numId w:val="15"/>
        </w:numPr>
        <w:rPr>
          <w:rFonts w:asciiTheme="minorHAnsi" w:eastAsiaTheme="minorHAnsi" w:hAnsiTheme="minorHAnsi" w:cstheme="minorHAnsi"/>
        </w:rPr>
      </w:pPr>
      <w:r w:rsidRPr="000E0F5F">
        <w:rPr>
          <w:rFonts w:asciiTheme="minorHAnsi" w:eastAsiaTheme="minorHAnsi" w:hAnsiTheme="minorHAnsi" w:cstheme="minorHAnsi"/>
        </w:rPr>
        <w:t>related to parts of the existing</w:t>
      </w:r>
      <w:r w:rsidR="003D16A5">
        <w:rPr>
          <w:rFonts w:asciiTheme="minorHAnsi" w:eastAsiaTheme="minorHAnsi" w:hAnsiTheme="minorHAnsi" w:cstheme="minorHAnsi"/>
        </w:rPr>
        <w:t xml:space="preserve"> explanatory/more detailed</w:t>
      </w:r>
      <w:r w:rsidR="00E32B50">
        <w:rPr>
          <w:rFonts w:asciiTheme="minorHAnsi" w:eastAsiaTheme="minorHAnsi" w:hAnsiTheme="minorHAnsi" w:cstheme="minorHAnsi"/>
        </w:rPr>
        <w:t xml:space="preserve"> </w:t>
      </w:r>
      <w:r w:rsidRPr="000E0F5F">
        <w:rPr>
          <w:rFonts w:asciiTheme="minorHAnsi" w:eastAsiaTheme="minorHAnsi" w:hAnsiTheme="minorHAnsi" w:cstheme="minorHAnsi"/>
        </w:rPr>
        <w:t xml:space="preserve">guidance </w:t>
      </w:r>
    </w:p>
    <w:p w14:paraId="3942C932" w14:textId="0882B1E1" w:rsidR="009E3A4C" w:rsidRPr="000E0F5F" w:rsidRDefault="009E3A4C" w:rsidP="00BF40EB">
      <w:pPr>
        <w:pStyle w:val="ListParagraph"/>
        <w:numPr>
          <w:ilvl w:val="0"/>
          <w:numId w:val="15"/>
        </w:numPr>
        <w:rPr>
          <w:rFonts w:asciiTheme="minorHAnsi" w:eastAsiaTheme="minorHAnsi" w:hAnsiTheme="minorHAnsi" w:cstheme="minorHAnsi"/>
        </w:rPr>
      </w:pPr>
      <w:r w:rsidRPr="000E0F5F">
        <w:rPr>
          <w:rFonts w:asciiTheme="minorHAnsi" w:eastAsiaTheme="minorHAnsi" w:hAnsiTheme="minorHAnsi" w:cstheme="minorHAnsi"/>
        </w:rPr>
        <w:t xml:space="preserve">issues we would seriously consider including in the new </w:t>
      </w:r>
      <w:r w:rsidR="003D16A5">
        <w:rPr>
          <w:rFonts w:asciiTheme="minorHAnsi" w:eastAsiaTheme="minorHAnsi" w:hAnsiTheme="minorHAnsi" w:cstheme="minorHAnsi"/>
        </w:rPr>
        <w:t xml:space="preserve">more detailed </w:t>
      </w:r>
      <w:r w:rsidRPr="000E0F5F">
        <w:rPr>
          <w:rFonts w:asciiTheme="minorHAnsi" w:eastAsiaTheme="minorHAnsi" w:hAnsiTheme="minorHAnsi" w:cstheme="minorHAnsi"/>
        </w:rPr>
        <w:t>guidance drafts</w:t>
      </w:r>
    </w:p>
    <w:p w14:paraId="6D4EF60A" w14:textId="1C4A4466" w:rsidR="009E3A4C" w:rsidRPr="000E0F5F" w:rsidRDefault="009E3A4C" w:rsidP="00BF40EB">
      <w:pPr>
        <w:pStyle w:val="ListParagraph"/>
        <w:numPr>
          <w:ilvl w:val="0"/>
          <w:numId w:val="15"/>
        </w:numPr>
        <w:rPr>
          <w:rFonts w:asciiTheme="minorHAnsi" w:eastAsiaTheme="minorHAnsi" w:hAnsiTheme="minorHAnsi" w:cstheme="minorHAnsi"/>
        </w:rPr>
      </w:pPr>
      <w:r w:rsidRPr="000E0F5F">
        <w:rPr>
          <w:rFonts w:asciiTheme="minorHAnsi" w:eastAsiaTheme="minorHAnsi" w:hAnsiTheme="minorHAnsi" w:cstheme="minorHAnsi"/>
        </w:rPr>
        <w:t xml:space="preserve">live issues, in that no workable and clear resolution had been suggested </w:t>
      </w:r>
    </w:p>
    <w:p w14:paraId="31CE7B9B" w14:textId="62019762" w:rsidR="009E3A4C" w:rsidRPr="000E0F5F" w:rsidRDefault="009E3A4C" w:rsidP="00BF40EB">
      <w:pPr>
        <w:pStyle w:val="ListParagraph"/>
        <w:numPr>
          <w:ilvl w:val="0"/>
          <w:numId w:val="15"/>
        </w:numPr>
        <w:rPr>
          <w:rFonts w:asciiTheme="minorHAnsi" w:eastAsiaTheme="minorHAnsi" w:hAnsiTheme="minorHAnsi" w:cstheme="minorHAnsi"/>
        </w:rPr>
      </w:pPr>
      <w:r w:rsidRPr="000E0F5F">
        <w:rPr>
          <w:rFonts w:asciiTheme="minorHAnsi" w:eastAsiaTheme="minorHAnsi" w:hAnsiTheme="minorHAnsi" w:cstheme="minorHAnsi"/>
        </w:rPr>
        <w:t>the type of issue</w:t>
      </w:r>
      <w:r w:rsidR="00B928E4" w:rsidRPr="000E0F5F">
        <w:rPr>
          <w:rFonts w:asciiTheme="minorHAnsi" w:eastAsiaTheme="minorHAnsi" w:hAnsiTheme="minorHAnsi" w:cstheme="minorHAnsi"/>
        </w:rPr>
        <w:t>s</w:t>
      </w:r>
      <w:r w:rsidRPr="000E0F5F">
        <w:rPr>
          <w:rFonts w:asciiTheme="minorHAnsi" w:eastAsiaTheme="minorHAnsi" w:hAnsiTheme="minorHAnsi" w:cstheme="minorHAnsi"/>
        </w:rPr>
        <w:t xml:space="preserve"> that could be </w:t>
      </w:r>
      <w:r w:rsidR="00B928E4" w:rsidRPr="000E0F5F">
        <w:rPr>
          <w:rFonts w:asciiTheme="minorHAnsi" w:eastAsiaTheme="minorHAnsi" w:hAnsiTheme="minorHAnsi" w:cstheme="minorHAnsi"/>
        </w:rPr>
        <w:t xml:space="preserve">benefit from </w:t>
      </w:r>
      <w:r w:rsidRPr="000E0F5F">
        <w:rPr>
          <w:rFonts w:asciiTheme="minorHAnsi" w:eastAsiaTheme="minorHAnsi" w:hAnsiTheme="minorHAnsi" w:cstheme="minorHAnsi"/>
        </w:rPr>
        <w:t>inclusion in the consultation</w:t>
      </w:r>
    </w:p>
    <w:p w14:paraId="5968AF11" w14:textId="40C1B4B5" w:rsidR="009E3A4C" w:rsidRPr="000E0F5F" w:rsidRDefault="009E3A4C" w:rsidP="00BF40EB">
      <w:pPr>
        <w:pStyle w:val="ListParagraph"/>
        <w:numPr>
          <w:ilvl w:val="0"/>
          <w:numId w:val="15"/>
        </w:numPr>
        <w:rPr>
          <w:rFonts w:asciiTheme="minorHAnsi" w:eastAsiaTheme="minorHAnsi" w:hAnsiTheme="minorHAnsi" w:cstheme="minorHAnsi"/>
        </w:rPr>
      </w:pPr>
      <w:r w:rsidRPr="000E0F5F">
        <w:rPr>
          <w:rFonts w:asciiTheme="minorHAnsi" w:eastAsiaTheme="minorHAnsi" w:hAnsiTheme="minorHAnsi" w:cstheme="minorHAnsi"/>
        </w:rPr>
        <w:t xml:space="preserve">not </w:t>
      </w:r>
      <w:r w:rsidR="00B928E4" w:rsidRPr="000E0F5F">
        <w:rPr>
          <w:rFonts w:asciiTheme="minorHAnsi" w:eastAsiaTheme="minorHAnsi" w:hAnsiTheme="minorHAnsi" w:cstheme="minorHAnsi"/>
        </w:rPr>
        <w:t xml:space="preserve">requiring </w:t>
      </w:r>
      <w:r w:rsidRPr="000E0F5F">
        <w:rPr>
          <w:rFonts w:asciiTheme="minorHAnsi" w:eastAsiaTheme="minorHAnsi" w:hAnsiTheme="minorHAnsi" w:cstheme="minorHAnsi"/>
        </w:rPr>
        <w:t xml:space="preserve">significant preparatory work </w:t>
      </w:r>
      <w:r w:rsidR="00B928E4" w:rsidRPr="000E0F5F">
        <w:rPr>
          <w:rFonts w:asciiTheme="minorHAnsi" w:eastAsiaTheme="minorHAnsi" w:hAnsiTheme="minorHAnsi" w:cstheme="minorHAnsi"/>
        </w:rPr>
        <w:t xml:space="preserve">before </w:t>
      </w:r>
      <w:r w:rsidRPr="000E0F5F">
        <w:rPr>
          <w:rFonts w:asciiTheme="minorHAnsi" w:eastAsiaTheme="minorHAnsi" w:hAnsiTheme="minorHAnsi" w:cstheme="minorHAnsi"/>
        </w:rPr>
        <w:t>the consultation.</w:t>
      </w:r>
    </w:p>
    <w:p w14:paraId="020E7709" w14:textId="77777777" w:rsidR="00B42969" w:rsidRPr="000E0F5F" w:rsidRDefault="00B42969" w:rsidP="00B42969">
      <w:pPr>
        <w:pStyle w:val="ListParagraph"/>
        <w:rPr>
          <w:rFonts w:asciiTheme="minorHAnsi" w:eastAsiaTheme="minorHAnsi" w:hAnsiTheme="minorHAnsi" w:cstheme="minorHAnsi"/>
        </w:rPr>
      </w:pPr>
    </w:p>
    <w:p w14:paraId="492DD346" w14:textId="59A553F8" w:rsidR="00280C04" w:rsidRPr="000E0F5F" w:rsidRDefault="00B17C23" w:rsidP="007D132F">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As a result of the </w:t>
      </w:r>
      <w:r w:rsidR="00EF43B1" w:rsidRPr="000E0F5F">
        <w:rPr>
          <w:rFonts w:asciiTheme="minorHAnsi" w:eastAsiaTheme="minorHAnsi" w:hAnsiTheme="minorHAnsi" w:cstheme="minorHAnsi"/>
        </w:rPr>
        <w:t xml:space="preserve">discussions held by </w:t>
      </w:r>
      <w:r w:rsidR="00B42969" w:rsidRPr="000E0F5F">
        <w:rPr>
          <w:rFonts w:asciiTheme="minorHAnsi" w:eastAsiaTheme="minorHAnsi" w:hAnsiTheme="minorHAnsi" w:cstheme="minorHAnsi"/>
        </w:rPr>
        <w:t xml:space="preserve">the </w:t>
      </w:r>
      <w:r w:rsidR="007D132F" w:rsidRPr="000E0F5F">
        <w:rPr>
          <w:rFonts w:asciiTheme="minorHAnsi" w:eastAsiaTheme="minorHAnsi" w:hAnsiTheme="minorHAnsi" w:cstheme="minorHAnsi"/>
        </w:rPr>
        <w:t>EDI working group</w:t>
      </w:r>
      <w:r w:rsidRPr="000E0F5F">
        <w:rPr>
          <w:rFonts w:asciiTheme="minorHAnsi" w:eastAsiaTheme="minorHAnsi" w:hAnsiTheme="minorHAnsi" w:cstheme="minorHAnsi"/>
        </w:rPr>
        <w:t xml:space="preserve">, </w:t>
      </w:r>
      <w:r w:rsidR="00B42969" w:rsidRPr="000E0F5F">
        <w:rPr>
          <w:rFonts w:asciiTheme="minorHAnsi" w:eastAsiaTheme="minorHAnsi" w:hAnsiTheme="minorHAnsi" w:cstheme="minorHAnsi"/>
        </w:rPr>
        <w:t xml:space="preserve">questions about </w:t>
      </w:r>
      <w:r w:rsidR="00280C04" w:rsidRPr="000E0F5F">
        <w:rPr>
          <w:rFonts w:asciiTheme="minorHAnsi" w:eastAsiaTheme="minorHAnsi" w:hAnsiTheme="minorHAnsi" w:cstheme="minorHAnsi"/>
        </w:rPr>
        <w:t xml:space="preserve">the following </w:t>
      </w:r>
      <w:r w:rsidR="003D16A5">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Pr="000E0F5F">
        <w:rPr>
          <w:rFonts w:asciiTheme="minorHAnsi" w:eastAsiaTheme="minorHAnsi" w:hAnsiTheme="minorHAnsi" w:cstheme="minorHAnsi"/>
        </w:rPr>
        <w:t xml:space="preserve"> </w:t>
      </w:r>
      <w:r w:rsidR="00280C04" w:rsidRPr="000E0F5F">
        <w:rPr>
          <w:rFonts w:asciiTheme="minorHAnsi" w:eastAsiaTheme="minorHAnsi" w:hAnsiTheme="minorHAnsi" w:cstheme="minorHAnsi"/>
        </w:rPr>
        <w:t xml:space="preserve">issues </w:t>
      </w:r>
      <w:r w:rsidRPr="000E0F5F">
        <w:rPr>
          <w:rFonts w:asciiTheme="minorHAnsi" w:eastAsiaTheme="minorHAnsi" w:hAnsiTheme="minorHAnsi" w:cstheme="minorHAnsi"/>
        </w:rPr>
        <w:t>were</w:t>
      </w:r>
      <w:r w:rsidR="007D132F" w:rsidRPr="000E0F5F">
        <w:rPr>
          <w:rFonts w:asciiTheme="minorHAnsi" w:eastAsiaTheme="minorHAnsi" w:hAnsiTheme="minorHAnsi" w:cstheme="minorHAnsi"/>
        </w:rPr>
        <w:t xml:space="preserve"> </w:t>
      </w:r>
      <w:r w:rsidR="00280C04" w:rsidRPr="000E0F5F">
        <w:rPr>
          <w:rFonts w:asciiTheme="minorHAnsi" w:eastAsiaTheme="minorHAnsi" w:hAnsiTheme="minorHAnsi" w:cstheme="minorHAnsi"/>
        </w:rPr>
        <w:t>included in the main survey (aimed at stakeholder</w:t>
      </w:r>
      <w:r w:rsidR="007D132F" w:rsidRPr="000E0F5F">
        <w:rPr>
          <w:rFonts w:asciiTheme="minorHAnsi" w:eastAsiaTheme="minorHAnsi" w:hAnsiTheme="minorHAnsi" w:cstheme="minorHAnsi"/>
        </w:rPr>
        <w:t>s</w:t>
      </w:r>
      <w:r w:rsidR="00280C04" w:rsidRPr="000E0F5F">
        <w:rPr>
          <w:rFonts w:asciiTheme="minorHAnsi" w:eastAsiaTheme="minorHAnsi" w:hAnsiTheme="minorHAnsi" w:cstheme="minorHAnsi"/>
        </w:rPr>
        <w:t xml:space="preserve">) and the healthcare </w:t>
      </w:r>
      <w:r w:rsidRPr="000E0F5F">
        <w:rPr>
          <w:rFonts w:asciiTheme="minorHAnsi" w:eastAsiaTheme="minorHAnsi" w:hAnsiTheme="minorHAnsi" w:cstheme="minorHAnsi"/>
        </w:rPr>
        <w:t xml:space="preserve">(‘HCP’) </w:t>
      </w:r>
      <w:r w:rsidR="00280C04" w:rsidRPr="000E0F5F">
        <w:rPr>
          <w:rFonts w:asciiTheme="minorHAnsi" w:eastAsiaTheme="minorHAnsi" w:hAnsiTheme="minorHAnsi" w:cstheme="minorHAnsi"/>
        </w:rPr>
        <w:t xml:space="preserve">survey </w:t>
      </w:r>
      <w:r w:rsidR="007D132F" w:rsidRPr="000E0F5F">
        <w:rPr>
          <w:rFonts w:asciiTheme="minorHAnsi" w:eastAsiaTheme="minorHAnsi" w:hAnsiTheme="minorHAnsi" w:cstheme="minorHAnsi"/>
        </w:rPr>
        <w:t xml:space="preserve">for medical and other health </w:t>
      </w:r>
      <w:r w:rsidRPr="000E0F5F">
        <w:rPr>
          <w:rFonts w:asciiTheme="minorHAnsi" w:eastAsiaTheme="minorHAnsi" w:hAnsiTheme="minorHAnsi" w:cstheme="minorHAnsi"/>
        </w:rPr>
        <w:t xml:space="preserve">or </w:t>
      </w:r>
      <w:r w:rsidR="007D132F" w:rsidRPr="000E0F5F">
        <w:rPr>
          <w:rFonts w:asciiTheme="minorHAnsi" w:eastAsiaTheme="minorHAnsi" w:hAnsiTheme="minorHAnsi" w:cstheme="minorHAnsi"/>
        </w:rPr>
        <w:t>social care professionals:</w:t>
      </w:r>
    </w:p>
    <w:p w14:paraId="7E069B42" w14:textId="77777777" w:rsidR="00EF43B1" w:rsidRPr="000E0F5F" w:rsidRDefault="00EF43B1" w:rsidP="00EF43B1">
      <w:pPr>
        <w:pStyle w:val="ListParagraph"/>
        <w:rPr>
          <w:rFonts w:asciiTheme="minorHAnsi" w:eastAsiaTheme="minorHAnsi" w:hAnsiTheme="minorHAnsi" w:cstheme="minorHAnsi"/>
        </w:rPr>
      </w:pPr>
    </w:p>
    <w:p w14:paraId="60032B92" w14:textId="4A3E826F" w:rsidR="00280C04" w:rsidRPr="000E0F5F" w:rsidRDefault="00996D24" w:rsidP="00EF43B1">
      <w:pPr>
        <w:pStyle w:val="ListParagraph"/>
        <w:numPr>
          <w:ilvl w:val="1"/>
          <w:numId w:val="7"/>
        </w:numPr>
        <w:ind w:left="1434" w:hanging="357"/>
        <w:rPr>
          <w:rFonts w:asciiTheme="minorHAnsi" w:eastAsiaTheme="minorHAnsi" w:hAnsiTheme="minorHAnsi" w:cstheme="minorHAnsi"/>
        </w:rPr>
      </w:pPr>
      <w:r w:rsidRPr="000E0F5F">
        <w:rPr>
          <w:rFonts w:asciiTheme="minorHAnsi" w:eastAsiaTheme="minorHAnsi" w:hAnsiTheme="minorHAnsi" w:cstheme="minorHAnsi"/>
        </w:rPr>
        <w:t>Conflict</w:t>
      </w:r>
      <w:r w:rsidR="00B42969" w:rsidRPr="000E0F5F">
        <w:rPr>
          <w:rFonts w:asciiTheme="minorHAnsi" w:eastAsiaTheme="minorHAnsi" w:hAnsiTheme="minorHAnsi" w:cstheme="minorHAnsi"/>
        </w:rPr>
        <w:t>s</w:t>
      </w:r>
      <w:r w:rsidRPr="000E0F5F">
        <w:rPr>
          <w:rFonts w:asciiTheme="minorHAnsi" w:eastAsiaTheme="minorHAnsi" w:hAnsiTheme="minorHAnsi" w:cstheme="minorHAnsi"/>
        </w:rPr>
        <w:t xml:space="preserve"> of interest </w:t>
      </w:r>
    </w:p>
    <w:p w14:paraId="36268B58" w14:textId="77777777" w:rsidR="004C09C0" w:rsidRPr="000E0F5F" w:rsidRDefault="00280C04" w:rsidP="00EF43B1">
      <w:pPr>
        <w:pStyle w:val="ListParagraph"/>
        <w:numPr>
          <w:ilvl w:val="1"/>
          <w:numId w:val="7"/>
        </w:numPr>
        <w:ind w:left="1434" w:hanging="357"/>
        <w:rPr>
          <w:rFonts w:asciiTheme="minorHAnsi" w:eastAsiaTheme="minorHAnsi" w:hAnsiTheme="minorHAnsi" w:cstheme="minorHAnsi"/>
        </w:rPr>
      </w:pPr>
      <w:r w:rsidRPr="000E0F5F">
        <w:rPr>
          <w:rFonts w:asciiTheme="minorHAnsi" w:eastAsiaTheme="minorHAnsi" w:hAnsiTheme="minorHAnsi" w:cstheme="minorHAnsi"/>
        </w:rPr>
        <w:t>Research</w:t>
      </w:r>
    </w:p>
    <w:p w14:paraId="5EB26146" w14:textId="450871E0" w:rsidR="004C09C0" w:rsidRPr="000E0F5F" w:rsidRDefault="004C09C0" w:rsidP="00EF43B1">
      <w:pPr>
        <w:pStyle w:val="ListParagraph"/>
        <w:numPr>
          <w:ilvl w:val="1"/>
          <w:numId w:val="7"/>
        </w:numPr>
        <w:ind w:left="1434" w:hanging="357"/>
        <w:rPr>
          <w:rFonts w:asciiTheme="minorHAnsi" w:eastAsiaTheme="minorHAnsi" w:hAnsiTheme="minorHAnsi" w:cstheme="minorHAnsi"/>
        </w:rPr>
      </w:pPr>
      <w:r w:rsidRPr="000E0F5F">
        <w:rPr>
          <w:rFonts w:asciiTheme="minorHAnsi" w:eastAsiaTheme="minorHAnsi" w:hAnsiTheme="minorHAnsi" w:cstheme="minorHAnsi"/>
        </w:rPr>
        <w:t>P</w:t>
      </w:r>
      <w:r w:rsidR="006433F5" w:rsidRPr="000E0F5F">
        <w:rPr>
          <w:rFonts w:asciiTheme="minorHAnsi" w:eastAsiaTheme="minorHAnsi" w:hAnsiTheme="minorHAnsi" w:cstheme="minorHAnsi"/>
        </w:rPr>
        <w:t xml:space="preserve">atients who pose risks </w:t>
      </w:r>
      <w:r w:rsidRPr="000E0F5F">
        <w:rPr>
          <w:rFonts w:asciiTheme="minorHAnsi" w:eastAsiaTheme="minorHAnsi" w:hAnsiTheme="minorHAnsi" w:cstheme="minorHAnsi"/>
        </w:rPr>
        <w:t xml:space="preserve">(relevant to </w:t>
      </w:r>
      <w:r w:rsidR="00B42969" w:rsidRPr="000E0F5F">
        <w:rPr>
          <w:rFonts w:asciiTheme="minorHAnsi" w:eastAsiaTheme="minorHAnsi" w:hAnsiTheme="minorHAnsi" w:cstheme="minorHAnsi"/>
          <w:i/>
          <w:iCs/>
        </w:rPr>
        <w:t>E</w:t>
      </w:r>
      <w:r w:rsidRPr="000E0F5F">
        <w:rPr>
          <w:rFonts w:asciiTheme="minorHAnsi" w:eastAsiaTheme="minorHAnsi" w:hAnsiTheme="minorHAnsi" w:cstheme="minorHAnsi"/>
          <w:i/>
          <w:iCs/>
        </w:rPr>
        <w:t>nding professional relationships</w:t>
      </w:r>
      <w:r w:rsidRPr="000E0F5F">
        <w:rPr>
          <w:rFonts w:asciiTheme="minorHAnsi" w:eastAsiaTheme="minorHAnsi" w:hAnsiTheme="minorHAnsi" w:cstheme="minorHAnsi"/>
        </w:rPr>
        <w:t>)</w:t>
      </w:r>
    </w:p>
    <w:p w14:paraId="3B471046" w14:textId="4EBBC9C9" w:rsidR="006433F5" w:rsidRPr="000E0F5F" w:rsidRDefault="006433F5" w:rsidP="00EF43B1">
      <w:pPr>
        <w:pStyle w:val="ListParagraph"/>
        <w:numPr>
          <w:ilvl w:val="1"/>
          <w:numId w:val="7"/>
        </w:numPr>
        <w:ind w:left="1434" w:hanging="357"/>
        <w:rPr>
          <w:rFonts w:asciiTheme="minorHAnsi" w:eastAsiaTheme="minorHAnsi" w:hAnsiTheme="minorHAnsi" w:cstheme="minorHAnsi"/>
        </w:rPr>
      </w:pPr>
      <w:r w:rsidRPr="000E0F5F">
        <w:rPr>
          <w:rFonts w:asciiTheme="minorHAnsi" w:eastAsiaTheme="minorHAnsi" w:hAnsiTheme="minorHAnsi" w:cstheme="minorHAnsi"/>
        </w:rPr>
        <w:t xml:space="preserve">Social media </w:t>
      </w:r>
    </w:p>
    <w:p w14:paraId="661BBA34" w14:textId="7B2ED951" w:rsidR="006433F5" w:rsidRPr="000E0F5F" w:rsidRDefault="006433F5" w:rsidP="00EF43B1">
      <w:pPr>
        <w:pStyle w:val="ListParagraph"/>
        <w:numPr>
          <w:ilvl w:val="1"/>
          <w:numId w:val="7"/>
        </w:numPr>
        <w:ind w:left="1434" w:hanging="357"/>
        <w:rPr>
          <w:rFonts w:asciiTheme="minorHAnsi" w:eastAsiaTheme="minorHAnsi" w:hAnsiTheme="minorHAnsi" w:cstheme="minorHAnsi"/>
        </w:rPr>
      </w:pPr>
      <w:r w:rsidRPr="000E0F5F">
        <w:rPr>
          <w:rFonts w:asciiTheme="minorHAnsi" w:eastAsiaTheme="minorHAnsi" w:hAnsiTheme="minorHAnsi" w:cstheme="minorHAnsi"/>
        </w:rPr>
        <w:t>Conscientious objection</w:t>
      </w:r>
    </w:p>
    <w:p w14:paraId="28178BE7" w14:textId="77777777" w:rsidR="00512248" w:rsidRPr="000E0F5F" w:rsidRDefault="00512248" w:rsidP="00512248">
      <w:pPr>
        <w:pStyle w:val="ListParagraph"/>
        <w:rPr>
          <w:rFonts w:asciiTheme="minorHAnsi" w:eastAsiaTheme="minorHAnsi" w:hAnsiTheme="minorHAnsi" w:cstheme="minorHAnsi"/>
        </w:rPr>
      </w:pPr>
    </w:p>
    <w:p w14:paraId="39A66C2E" w14:textId="6490DBDA" w:rsidR="0074151C" w:rsidRPr="000E0F5F" w:rsidRDefault="0074151C" w:rsidP="000275A6">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In addition to the above, both the main and HCP surveys asked respondents specifically about the pieces of </w:t>
      </w:r>
      <w:r w:rsidR="00153268">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Pr="000E0F5F">
        <w:rPr>
          <w:rFonts w:asciiTheme="minorHAnsi" w:eastAsiaTheme="minorHAnsi" w:hAnsiTheme="minorHAnsi" w:cstheme="minorHAnsi"/>
        </w:rPr>
        <w:t xml:space="preserve"> and </w:t>
      </w:r>
      <w:r w:rsidR="00264F82" w:rsidRPr="000E0F5F">
        <w:rPr>
          <w:rFonts w:asciiTheme="minorHAnsi" w:eastAsiaTheme="minorHAnsi" w:hAnsiTheme="minorHAnsi" w:cstheme="minorHAnsi"/>
        </w:rPr>
        <w:t xml:space="preserve">particularly </w:t>
      </w:r>
      <w:r w:rsidRPr="000E0F5F">
        <w:rPr>
          <w:rFonts w:asciiTheme="minorHAnsi" w:eastAsiaTheme="minorHAnsi" w:hAnsiTheme="minorHAnsi" w:cstheme="minorHAnsi"/>
        </w:rPr>
        <w:t xml:space="preserve">which pieces should be prioritised for redrafting and why, </w:t>
      </w:r>
      <w:r w:rsidR="00264F82" w:rsidRPr="000E0F5F">
        <w:rPr>
          <w:rFonts w:asciiTheme="minorHAnsi" w:eastAsiaTheme="minorHAnsi" w:hAnsiTheme="minorHAnsi" w:cstheme="minorHAnsi"/>
        </w:rPr>
        <w:t>whether</w:t>
      </w:r>
      <w:r w:rsidRPr="000E0F5F">
        <w:rPr>
          <w:rFonts w:asciiTheme="minorHAnsi" w:eastAsiaTheme="minorHAnsi" w:hAnsiTheme="minorHAnsi" w:cstheme="minorHAnsi"/>
        </w:rPr>
        <w:t xml:space="preserve"> more detail </w:t>
      </w:r>
      <w:r w:rsidR="00B17C23" w:rsidRPr="000E0F5F">
        <w:rPr>
          <w:rFonts w:asciiTheme="minorHAnsi" w:eastAsiaTheme="minorHAnsi" w:hAnsiTheme="minorHAnsi" w:cstheme="minorHAnsi"/>
        </w:rPr>
        <w:t>wa</w:t>
      </w:r>
      <w:r w:rsidRPr="000E0F5F">
        <w:rPr>
          <w:rFonts w:asciiTheme="minorHAnsi" w:eastAsiaTheme="minorHAnsi" w:hAnsiTheme="minorHAnsi" w:cstheme="minorHAnsi"/>
        </w:rPr>
        <w:t xml:space="preserve">s </w:t>
      </w:r>
      <w:r w:rsidR="00264F82" w:rsidRPr="000E0F5F">
        <w:rPr>
          <w:rFonts w:asciiTheme="minorHAnsi" w:eastAsiaTheme="minorHAnsi" w:hAnsiTheme="minorHAnsi" w:cstheme="minorHAnsi"/>
        </w:rPr>
        <w:t>required</w:t>
      </w:r>
      <w:r w:rsidRPr="000E0F5F">
        <w:rPr>
          <w:rFonts w:asciiTheme="minorHAnsi" w:eastAsiaTheme="minorHAnsi" w:hAnsiTheme="minorHAnsi" w:cstheme="minorHAnsi"/>
        </w:rPr>
        <w:t xml:space="preserve">, and </w:t>
      </w:r>
      <w:r w:rsidR="00B17C23" w:rsidRPr="000E0F5F">
        <w:rPr>
          <w:rFonts w:asciiTheme="minorHAnsi" w:eastAsiaTheme="minorHAnsi" w:hAnsiTheme="minorHAnsi" w:cstheme="minorHAnsi"/>
        </w:rPr>
        <w:t xml:space="preserve">whether </w:t>
      </w:r>
      <w:r w:rsidRPr="000E0F5F">
        <w:rPr>
          <w:rFonts w:asciiTheme="minorHAnsi" w:eastAsiaTheme="minorHAnsi" w:hAnsiTheme="minorHAnsi" w:cstheme="minorHAnsi"/>
        </w:rPr>
        <w:t>anything could be added/removed.</w:t>
      </w:r>
    </w:p>
    <w:p w14:paraId="1AAA24C4" w14:textId="403A0680" w:rsidR="004C09C0" w:rsidRPr="000E0F5F" w:rsidRDefault="004C09C0" w:rsidP="000275A6">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The following </w:t>
      </w:r>
      <w:r w:rsidR="00B17C23" w:rsidRPr="000E0F5F">
        <w:rPr>
          <w:rFonts w:asciiTheme="minorHAnsi" w:eastAsiaTheme="minorHAnsi" w:hAnsiTheme="minorHAnsi" w:cstheme="minorHAnsi"/>
        </w:rPr>
        <w:t>q</w:t>
      </w:r>
      <w:r w:rsidRPr="000E0F5F">
        <w:rPr>
          <w:rFonts w:asciiTheme="minorHAnsi" w:eastAsiaTheme="minorHAnsi" w:hAnsiTheme="minorHAnsi" w:cstheme="minorHAnsi"/>
        </w:rPr>
        <w:t xml:space="preserve">uestions </w:t>
      </w:r>
      <w:r w:rsidR="00B42969" w:rsidRPr="000E0F5F">
        <w:rPr>
          <w:rFonts w:asciiTheme="minorHAnsi" w:eastAsiaTheme="minorHAnsi" w:hAnsiTheme="minorHAnsi" w:cstheme="minorHAnsi"/>
        </w:rPr>
        <w:t xml:space="preserve">relating to the </w:t>
      </w:r>
      <w:r w:rsidR="00153268">
        <w:rPr>
          <w:rFonts w:asciiTheme="minorHAnsi" w:eastAsiaTheme="minorHAnsi" w:hAnsiTheme="minorHAnsi" w:cstheme="minorHAnsi"/>
        </w:rPr>
        <w:t xml:space="preserve">more detailed </w:t>
      </w:r>
      <w:r w:rsidR="00B42969" w:rsidRPr="000E0F5F">
        <w:rPr>
          <w:rFonts w:asciiTheme="minorHAnsi" w:eastAsiaTheme="minorHAnsi" w:hAnsiTheme="minorHAnsi" w:cstheme="minorHAnsi"/>
        </w:rPr>
        <w:t xml:space="preserve">guidance </w:t>
      </w:r>
      <w:r w:rsidRPr="000E0F5F">
        <w:rPr>
          <w:rFonts w:asciiTheme="minorHAnsi" w:eastAsiaTheme="minorHAnsi" w:hAnsiTheme="minorHAnsi" w:cstheme="minorHAnsi"/>
        </w:rPr>
        <w:t>were included in the patient survey:</w:t>
      </w:r>
    </w:p>
    <w:p w14:paraId="6F7053F9" w14:textId="459D168F" w:rsidR="004C09C0" w:rsidRPr="000E0F5F" w:rsidRDefault="004C09C0" w:rsidP="00A33D6D">
      <w:pPr>
        <w:pStyle w:val="BodyText1"/>
        <w:numPr>
          <w:ilvl w:val="1"/>
          <w:numId w:val="7"/>
        </w:numPr>
        <w:ind w:left="1077" w:firstLine="0"/>
        <w:contextualSpacing/>
        <w:rPr>
          <w:rFonts w:asciiTheme="minorHAnsi" w:eastAsiaTheme="minorHAnsi" w:hAnsiTheme="minorHAnsi" w:cstheme="minorHAnsi"/>
        </w:rPr>
      </w:pPr>
      <w:r w:rsidRPr="000E0F5F">
        <w:rPr>
          <w:rFonts w:asciiTheme="minorHAnsi" w:eastAsiaTheme="minorHAnsi" w:hAnsiTheme="minorHAnsi" w:cstheme="minorHAnsi"/>
        </w:rPr>
        <w:t xml:space="preserve">Access to care (connected to </w:t>
      </w:r>
      <w:r w:rsidR="00B42969" w:rsidRPr="000E0F5F">
        <w:rPr>
          <w:rFonts w:asciiTheme="minorHAnsi" w:eastAsiaTheme="minorHAnsi" w:hAnsiTheme="minorHAnsi" w:cstheme="minorHAnsi"/>
          <w:i/>
          <w:iCs/>
        </w:rPr>
        <w:t>E</w:t>
      </w:r>
      <w:r w:rsidRPr="000E0F5F">
        <w:rPr>
          <w:rFonts w:asciiTheme="minorHAnsi" w:eastAsiaTheme="minorHAnsi" w:hAnsiTheme="minorHAnsi" w:cstheme="minorHAnsi"/>
          <w:i/>
          <w:iCs/>
        </w:rPr>
        <w:t>nding professional relationships</w:t>
      </w:r>
      <w:r w:rsidRPr="000E0F5F">
        <w:rPr>
          <w:rFonts w:asciiTheme="minorHAnsi" w:eastAsiaTheme="minorHAnsi" w:hAnsiTheme="minorHAnsi" w:cstheme="minorHAnsi"/>
        </w:rPr>
        <w:t>)</w:t>
      </w:r>
    </w:p>
    <w:p w14:paraId="1B4C30E4" w14:textId="7243DA24" w:rsidR="000C548E" w:rsidRPr="000E0F5F" w:rsidRDefault="000C548E" w:rsidP="00A33D6D">
      <w:pPr>
        <w:pStyle w:val="BodyText1"/>
        <w:numPr>
          <w:ilvl w:val="1"/>
          <w:numId w:val="7"/>
        </w:numPr>
        <w:ind w:left="1077" w:firstLine="0"/>
        <w:contextualSpacing/>
        <w:rPr>
          <w:rFonts w:asciiTheme="minorHAnsi" w:eastAsiaTheme="minorHAnsi" w:hAnsiTheme="minorHAnsi" w:cstheme="minorHAnsi"/>
        </w:rPr>
      </w:pPr>
      <w:r w:rsidRPr="000E0F5F">
        <w:rPr>
          <w:rFonts w:asciiTheme="minorHAnsi" w:eastAsiaTheme="minorHAnsi" w:hAnsiTheme="minorHAnsi" w:cstheme="minorHAnsi"/>
        </w:rPr>
        <w:t xml:space="preserve">Social media </w:t>
      </w:r>
    </w:p>
    <w:p w14:paraId="301485AC" w14:textId="4F102202" w:rsidR="000C548E" w:rsidRPr="000E0F5F" w:rsidRDefault="000C548E" w:rsidP="00A33D6D">
      <w:pPr>
        <w:pStyle w:val="BodyText1"/>
        <w:numPr>
          <w:ilvl w:val="1"/>
          <w:numId w:val="7"/>
        </w:numPr>
        <w:ind w:left="1077" w:firstLine="0"/>
        <w:contextualSpacing/>
        <w:rPr>
          <w:rFonts w:asciiTheme="minorHAnsi" w:eastAsiaTheme="minorHAnsi" w:hAnsiTheme="minorHAnsi" w:cstheme="minorHAnsi"/>
        </w:rPr>
      </w:pPr>
      <w:r w:rsidRPr="000E0F5F">
        <w:rPr>
          <w:rFonts w:asciiTheme="minorHAnsi" w:eastAsiaTheme="minorHAnsi" w:hAnsiTheme="minorHAnsi" w:cstheme="minorHAnsi"/>
        </w:rPr>
        <w:t>Conflicts of interest</w:t>
      </w:r>
    </w:p>
    <w:p w14:paraId="38F59313" w14:textId="1AA5D212" w:rsidR="000C548E" w:rsidRPr="000E0F5F" w:rsidRDefault="000C548E" w:rsidP="00A33D6D">
      <w:pPr>
        <w:pStyle w:val="BodyText1"/>
        <w:numPr>
          <w:ilvl w:val="1"/>
          <w:numId w:val="7"/>
        </w:numPr>
        <w:ind w:left="1077" w:firstLine="0"/>
        <w:contextualSpacing/>
        <w:rPr>
          <w:rFonts w:asciiTheme="minorHAnsi" w:eastAsiaTheme="minorHAnsi" w:hAnsiTheme="minorHAnsi" w:cstheme="minorHAnsi"/>
        </w:rPr>
      </w:pPr>
      <w:r w:rsidRPr="000E0F5F">
        <w:rPr>
          <w:rFonts w:asciiTheme="minorHAnsi" w:eastAsiaTheme="minorHAnsi" w:hAnsiTheme="minorHAnsi" w:cstheme="minorHAnsi"/>
        </w:rPr>
        <w:t xml:space="preserve">Personal beliefs </w:t>
      </w:r>
      <w:r w:rsidR="00B42969" w:rsidRPr="000E0F5F">
        <w:rPr>
          <w:rFonts w:asciiTheme="minorHAnsi" w:eastAsiaTheme="minorHAnsi" w:hAnsiTheme="minorHAnsi" w:cstheme="minorHAnsi"/>
        </w:rPr>
        <w:t>a</w:t>
      </w:r>
      <w:r w:rsidRPr="000E0F5F">
        <w:rPr>
          <w:rFonts w:asciiTheme="minorHAnsi" w:eastAsiaTheme="minorHAnsi" w:hAnsiTheme="minorHAnsi" w:cstheme="minorHAnsi"/>
        </w:rPr>
        <w:t xml:space="preserve">nd conscientious objection </w:t>
      </w:r>
    </w:p>
    <w:p w14:paraId="5EA9674D" w14:textId="77777777" w:rsidR="00104133" w:rsidRPr="000E0F5F" w:rsidRDefault="00104133" w:rsidP="00A33D6D">
      <w:pPr>
        <w:pStyle w:val="BodyText1"/>
        <w:ind w:left="1434" w:hanging="357"/>
        <w:rPr>
          <w:rFonts w:asciiTheme="minorHAnsi" w:eastAsiaTheme="minorHAnsi" w:hAnsiTheme="minorHAnsi" w:cstheme="minorHAnsi"/>
        </w:rPr>
      </w:pPr>
    </w:p>
    <w:p w14:paraId="3F12253E" w14:textId="4537CE5B" w:rsidR="008429DF" w:rsidRPr="000E0F5F" w:rsidRDefault="006B5CB7" w:rsidP="008429DF">
      <w:pPr>
        <w:pStyle w:val="BodyText1"/>
        <w:numPr>
          <w:ilvl w:val="0"/>
          <w:numId w:val="7"/>
        </w:numPr>
        <w:rPr>
          <w:rFonts w:asciiTheme="minorHAnsi" w:eastAsiaTheme="minorHAnsi" w:hAnsiTheme="minorHAnsi" w:cstheme="minorHAnsi"/>
        </w:rPr>
      </w:pPr>
      <w:hyperlink r:id="rId16" w:history="1">
        <w:r w:rsidR="00104133" w:rsidRPr="000E0F5F">
          <w:rPr>
            <w:rStyle w:val="Hyperlink"/>
            <w:rFonts w:asciiTheme="minorHAnsi" w:eastAsiaTheme="minorEastAsia" w:hAnsiTheme="minorHAnsi" w:cstheme="minorHAnsi"/>
          </w:rPr>
          <w:t xml:space="preserve">In the first phase </w:t>
        </w:r>
      </w:hyperlink>
      <w:r w:rsidR="00104133" w:rsidRPr="000E0F5F">
        <w:rPr>
          <w:rFonts w:asciiTheme="minorHAnsi" w:eastAsiaTheme="minorEastAsia" w:hAnsiTheme="minorHAnsi" w:cstheme="minorHAnsi"/>
        </w:rPr>
        <w:t xml:space="preserve"> of </w:t>
      </w:r>
      <w:r w:rsidR="00FC62C9" w:rsidRPr="000E0F5F">
        <w:rPr>
          <w:rFonts w:asciiTheme="minorHAnsi" w:eastAsiaTheme="minorEastAsia" w:hAnsiTheme="minorHAnsi" w:cstheme="minorHAnsi"/>
        </w:rPr>
        <w:t>the commissioned patient research</w:t>
      </w:r>
      <w:r w:rsidR="00104133" w:rsidRPr="000E0F5F">
        <w:rPr>
          <w:rFonts w:asciiTheme="minorHAnsi" w:eastAsiaTheme="minorEastAsia" w:hAnsiTheme="minorHAnsi" w:cstheme="minorHAnsi"/>
        </w:rPr>
        <w:t>,</w:t>
      </w:r>
      <w:r w:rsidR="00FC62C9" w:rsidRPr="000E0F5F">
        <w:rPr>
          <w:rFonts w:asciiTheme="minorHAnsi" w:eastAsiaTheme="minorEastAsia" w:hAnsiTheme="minorHAnsi" w:cstheme="minorHAnsi"/>
        </w:rPr>
        <w:t xml:space="preserve"> questions were asked </w:t>
      </w:r>
      <w:bookmarkStart w:id="0" w:name="_Hlk149091589"/>
      <w:r w:rsidR="00FC62C9" w:rsidRPr="000E0F5F">
        <w:rPr>
          <w:rFonts w:asciiTheme="minorHAnsi" w:eastAsiaTheme="minorEastAsia" w:hAnsiTheme="minorHAnsi" w:cstheme="minorHAnsi"/>
        </w:rPr>
        <w:t xml:space="preserve">relating to following pieces of </w:t>
      </w:r>
      <w:r w:rsidR="00153268">
        <w:rPr>
          <w:rFonts w:asciiTheme="minorHAnsi" w:eastAsiaTheme="minorEastAsia" w:hAnsiTheme="minorHAnsi" w:cstheme="minorHAnsi"/>
        </w:rPr>
        <w:t xml:space="preserve">more detailed </w:t>
      </w:r>
      <w:r w:rsidR="00481C03" w:rsidRPr="000E0F5F">
        <w:rPr>
          <w:rFonts w:asciiTheme="minorHAnsi" w:eastAsiaTheme="minorEastAsia" w:hAnsiTheme="minorHAnsi" w:cstheme="minorHAnsi"/>
        </w:rPr>
        <w:t>guidance</w:t>
      </w:r>
      <w:r w:rsidR="00FC62C9" w:rsidRPr="000E0F5F">
        <w:rPr>
          <w:rFonts w:asciiTheme="minorHAnsi" w:eastAsiaTheme="minorEastAsia" w:hAnsiTheme="minorHAnsi" w:cstheme="minorHAnsi"/>
        </w:rPr>
        <w:t>:</w:t>
      </w:r>
      <w:bookmarkEnd w:id="0"/>
    </w:p>
    <w:p w14:paraId="3C947F55" w14:textId="77777777" w:rsidR="008429DF" w:rsidRPr="000E0F5F" w:rsidRDefault="008429DF" w:rsidP="00A33D6D">
      <w:pPr>
        <w:pStyle w:val="BodyText1"/>
        <w:numPr>
          <w:ilvl w:val="1"/>
          <w:numId w:val="7"/>
        </w:numPr>
        <w:ind w:left="1434" w:hanging="357"/>
        <w:contextualSpacing/>
        <w:rPr>
          <w:rFonts w:asciiTheme="minorHAnsi" w:eastAsiaTheme="minorHAnsi" w:hAnsiTheme="minorHAnsi" w:cstheme="minorHAnsi"/>
        </w:rPr>
      </w:pPr>
      <w:r w:rsidRPr="000E0F5F">
        <w:rPr>
          <w:rFonts w:asciiTheme="minorHAnsi" w:eastAsiaTheme="minorHAnsi" w:hAnsiTheme="minorHAnsi" w:cstheme="minorHAnsi"/>
        </w:rPr>
        <w:t xml:space="preserve">Receiving care from multiple professionals (connected to </w:t>
      </w:r>
      <w:r w:rsidRPr="000E0F5F">
        <w:rPr>
          <w:rFonts w:asciiTheme="minorHAnsi" w:eastAsiaTheme="minorHAnsi" w:hAnsiTheme="minorHAnsi" w:cstheme="minorHAnsi"/>
          <w:i/>
          <w:iCs/>
        </w:rPr>
        <w:t>Delegation and Referral</w:t>
      </w:r>
      <w:r w:rsidRPr="000E0F5F">
        <w:rPr>
          <w:rFonts w:asciiTheme="minorHAnsi" w:eastAsiaTheme="minorHAnsi" w:hAnsiTheme="minorHAnsi" w:cstheme="minorHAnsi"/>
        </w:rPr>
        <w:t>)</w:t>
      </w:r>
    </w:p>
    <w:p w14:paraId="27E5C3D6" w14:textId="4332AB04" w:rsidR="008429DF" w:rsidRPr="000E0F5F" w:rsidRDefault="008429DF" w:rsidP="00A33D6D">
      <w:pPr>
        <w:pStyle w:val="BodyText1"/>
        <w:numPr>
          <w:ilvl w:val="1"/>
          <w:numId w:val="7"/>
        </w:numPr>
        <w:ind w:left="1434" w:hanging="357"/>
        <w:contextualSpacing/>
        <w:rPr>
          <w:rFonts w:asciiTheme="minorHAnsi" w:eastAsiaTheme="minorHAnsi" w:hAnsiTheme="minorHAnsi" w:cstheme="minorHAnsi"/>
        </w:rPr>
      </w:pPr>
      <w:r w:rsidRPr="000E0F5F">
        <w:rPr>
          <w:rFonts w:asciiTheme="minorHAnsi" w:eastAsiaTheme="minorHAnsi" w:hAnsiTheme="minorHAnsi" w:cstheme="minorHAnsi"/>
        </w:rPr>
        <w:t xml:space="preserve">When patients pose a risk to medical professionals (connected to </w:t>
      </w:r>
      <w:r w:rsidR="00B42969" w:rsidRPr="000E0F5F">
        <w:rPr>
          <w:rFonts w:asciiTheme="minorHAnsi" w:eastAsiaTheme="minorHAnsi" w:hAnsiTheme="minorHAnsi" w:cstheme="minorHAnsi"/>
          <w:i/>
          <w:iCs/>
        </w:rPr>
        <w:t>E</w:t>
      </w:r>
      <w:r w:rsidRPr="000E0F5F">
        <w:rPr>
          <w:rFonts w:asciiTheme="minorHAnsi" w:eastAsiaTheme="minorHAnsi" w:hAnsiTheme="minorHAnsi" w:cstheme="minorHAnsi"/>
          <w:i/>
          <w:iCs/>
        </w:rPr>
        <w:t>nding professional relationships</w:t>
      </w:r>
      <w:r w:rsidRPr="000E0F5F">
        <w:rPr>
          <w:rFonts w:asciiTheme="minorHAnsi" w:eastAsiaTheme="minorHAnsi" w:hAnsiTheme="minorHAnsi" w:cstheme="minorHAnsi"/>
        </w:rPr>
        <w:t>)</w:t>
      </w:r>
    </w:p>
    <w:p w14:paraId="3496BF10" w14:textId="5BE6933A" w:rsidR="008429DF" w:rsidRPr="000E0F5F" w:rsidRDefault="008429DF" w:rsidP="00A33D6D">
      <w:pPr>
        <w:pStyle w:val="BodyText1"/>
        <w:numPr>
          <w:ilvl w:val="1"/>
          <w:numId w:val="7"/>
        </w:numPr>
        <w:ind w:left="1434" w:hanging="357"/>
        <w:contextualSpacing/>
        <w:rPr>
          <w:rFonts w:asciiTheme="minorHAnsi" w:eastAsiaTheme="minorHAnsi" w:hAnsiTheme="minorHAnsi" w:cstheme="minorHAnsi"/>
        </w:rPr>
      </w:pPr>
      <w:r w:rsidRPr="000E0F5F">
        <w:rPr>
          <w:rFonts w:asciiTheme="minorHAnsi" w:eastAsiaTheme="minorHAnsi" w:hAnsiTheme="minorHAnsi" w:cstheme="minorHAnsi"/>
        </w:rPr>
        <w:t>Conflict</w:t>
      </w:r>
      <w:r w:rsidR="00B42969" w:rsidRPr="000E0F5F">
        <w:rPr>
          <w:rFonts w:asciiTheme="minorHAnsi" w:eastAsiaTheme="minorHAnsi" w:hAnsiTheme="minorHAnsi" w:cstheme="minorHAnsi"/>
        </w:rPr>
        <w:t>s</w:t>
      </w:r>
      <w:r w:rsidRPr="000E0F5F">
        <w:rPr>
          <w:rFonts w:asciiTheme="minorHAnsi" w:eastAsiaTheme="minorHAnsi" w:hAnsiTheme="minorHAnsi" w:cstheme="minorHAnsi"/>
        </w:rPr>
        <w:t xml:space="preserve"> of interests</w:t>
      </w:r>
    </w:p>
    <w:p w14:paraId="162C85E2" w14:textId="77777777" w:rsidR="008429DF" w:rsidRPr="000E0F5F" w:rsidRDefault="008429DF" w:rsidP="00A33D6D">
      <w:pPr>
        <w:pStyle w:val="BodyText1"/>
        <w:numPr>
          <w:ilvl w:val="1"/>
          <w:numId w:val="7"/>
        </w:numPr>
        <w:ind w:left="1434" w:hanging="357"/>
        <w:contextualSpacing/>
        <w:rPr>
          <w:rFonts w:asciiTheme="minorHAnsi" w:eastAsiaTheme="minorHAnsi" w:hAnsiTheme="minorHAnsi" w:cstheme="minorHAnsi"/>
        </w:rPr>
      </w:pPr>
      <w:r w:rsidRPr="000E0F5F">
        <w:rPr>
          <w:rFonts w:asciiTheme="minorHAnsi" w:eastAsiaTheme="minorHAnsi" w:hAnsiTheme="minorHAnsi" w:cstheme="minorHAnsi"/>
        </w:rPr>
        <w:t>Conscientious objection</w:t>
      </w:r>
    </w:p>
    <w:p w14:paraId="4518E400" w14:textId="64C68D00" w:rsidR="008429DF" w:rsidRPr="000E0F5F" w:rsidRDefault="008429DF" w:rsidP="00A33D6D">
      <w:pPr>
        <w:pStyle w:val="BodyText1"/>
        <w:numPr>
          <w:ilvl w:val="1"/>
          <w:numId w:val="7"/>
        </w:numPr>
        <w:ind w:left="1434" w:hanging="357"/>
        <w:contextualSpacing/>
        <w:rPr>
          <w:rFonts w:asciiTheme="minorHAnsi" w:eastAsiaTheme="minorHAnsi" w:hAnsiTheme="minorHAnsi" w:cstheme="minorHAnsi"/>
        </w:rPr>
      </w:pPr>
      <w:r w:rsidRPr="000E0F5F">
        <w:rPr>
          <w:rFonts w:asciiTheme="minorHAnsi" w:eastAsiaTheme="minorHAnsi" w:hAnsiTheme="minorHAnsi" w:cstheme="minorHAnsi"/>
        </w:rPr>
        <w:t xml:space="preserve">Public/private comments (connected to </w:t>
      </w:r>
      <w:r w:rsidR="001E4834" w:rsidRPr="000E0F5F">
        <w:rPr>
          <w:rFonts w:asciiTheme="minorHAnsi" w:eastAsiaTheme="minorHAnsi" w:hAnsiTheme="minorHAnsi" w:cstheme="minorHAnsi"/>
          <w:i/>
          <w:iCs/>
        </w:rPr>
        <w:t>Doctors’ use of s</w:t>
      </w:r>
      <w:r w:rsidRPr="000E0F5F">
        <w:rPr>
          <w:rFonts w:asciiTheme="minorHAnsi" w:eastAsiaTheme="minorHAnsi" w:hAnsiTheme="minorHAnsi" w:cstheme="minorHAnsi"/>
          <w:i/>
          <w:iCs/>
        </w:rPr>
        <w:t>ocial media</w:t>
      </w:r>
      <w:r w:rsidRPr="000E0F5F">
        <w:rPr>
          <w:rFonts w:asciiTheme="minorHAnsi" w:eastAsiaTheme="minorHAnsi" w:hAnsiTheme="minorHAnsi" w:cstheme="minorHAnsi"/>
        </w:rPr>
        <w:t xml:space="preserve">) </w:t>
      </w:r>
    </w:p>
    <w:p w14:paraId="2833FAEF" w14:textId="77777777" w:rsidR="008429DF" w:rsidRPr="000E0F5F" w:rsidRDefault="008429DF" w:rsidP="008429DF">
      <w:pPr>
        <w:pStyle w:val="BodyText1"/>
        <w:ind w:left="720"/>
        <w:rPr>
          <w:rFonts w:asciiTheme="minorHAnsi" w:eastAsiaTheme="minorHAnsi" w:hAnsiTheme="minorHAnsi" w:cstheme="minorHAnsi"/>
        </w:rPr>
      </w:pPr>
    </w:p>
    <w:p w14:paraId="71ADB1DF" w14:textId="4A166B96" w:rsidR="008429DF" w:rsidRPr="000E0F5F" w:rsidRDefault="006B5CB7" w:rsidP="008429DF">
      <w:pPr>
        <w:pStyle w:val="BodyText1"/>
        <w:numPr>
          <w:ilvl w:val="0"/>
          <w:numId w:val="7"/>
        </w:numPr>
        <w:rPr>
          <w:rFonts w:asciiTheme="minorHAnsi" w:eastAsiaTheme="minorHAnsi" w:hAnsiTheme="minorHAnsi" w:cstheme="minorHAnsi"/>
        </w:rPr>
      </w:pPr>
      <w:hyperlink r:id="rId17" w:history="1">
        <w:r w:rsidR="00104133" w:rsidRPr="000E0F5F">
          <w:rPr>
            <w:rStyle w:val="Hyperlink"/>
            <w:rFonts w:asciiTheme="minorHAnsi" w:eastAsiaTheme="minorHAnsi" w:hAnsiTheme="minorHAnsi" w:cstheme="minorHAnsi"/>
          </w:rPr>
          <w:t xml:space="preserve">In the second phase  </w:t>
        </w:r>
      </w:hyperlink>
      <w:r w:rsidR="00104133" w:rsidRPr="000E0F5F">
        <w:rPr>
          <w:rFonts w:asciiTheme="minorHAnsi" w:eastAsiaTheme="minorHAnsi" w:hAnsiTheme="minorHAnsi" w:cstheme="minorHAnsi"/>
        </w:rPr>
        <w:t xml:space="preserve">of </w:t>
      </w:r>
      <w:r w:rsidR="00104133" w:rsidRPr="000E0F5F">
        <w:rPr>
          <w:rFonts w:asciiTheme="minorHAnsi" w:eastAsiaTheme="minorEastAsia" w:hAnsiTheme="minorHAnsi" w:cstheme="minorHAnsi"/>
        </w:rPr>
        <w:t>the commissioned patient research</w:t>
      </w:r>
      <w:r w:rsidR="00104133" w:rsidRPr="000E0F5F">
        <w:rPr>
          <w:rFonts w:asciiTheme="minorHAnsi" w:eastAsiaTheme="minorHAnsi" w:hAnsiTheme="minorHAnsi" w:cstheme="minorHAnsi"/>
        </w:rPr>
        <w:t xml:space="preserve">, questions were asked </w:t>
      </w:r>
      <w:r w:rsidR="00104133" w:rsidRPr="000E0F5F">
        <w:rPr>
          <w:rFonts w:asciiTheme="minorHAnsi" w:eastAsiaTheme="minorEastAsia" w:hAnsiTheme="minorHAnsi" w:cstheme="minorHAnsi"/>
        </w:rPr>
        <w:t xml:space="preserve">relating to following pieces of </w:t>
      </w:r>
      <w:r w:rsidR="00153268">
        <w:rPr>
          <w:rFonts w:asciiTheme="minorHAnsi" w:eastAsiaTheme="minorEastAsia" w:hAnsiTheme="minorHAnsi" w:cstheme="minorHAnsi"/>
        </w:rPr>
        <w:t xml:space="preserve">more detailed </w:t>
      </w:r>
      <w:r w:rsidR="00481C03" w:rsidRPr="000E0F5F">
        <w:rPr>
          <w:rFonts w:asciiTheme="minorHAnsi" w:eastAsiaTheme="minorEastAsia" w:hAnsiTheme="minorHAnsi" w:cstheme="minorHAnsi"/>
        </w:rPr>
        <w:t>guidance</w:t>
      </w:r>
      <w:r w:rsidR="00104133" w:rsidRPr="000E0F5F">
        <w:rPr>
          <w:rFonts w:asciiTheme="minorHAnsi" w:eastAsiaTheme="minorEastAsia" w:hAnsiTheme="minorHAnsi" w:cstheme="minorHAnsi"/>
        </w:rPr>
        <w:t>:</w:t>
      </w:r>
    </w:p>
    <w:p w14:paraId="21E5ABCB" w14:textId="6317DE81" w:rsidR="008429DF" w:rsidRPr="000E0F5F" w:rsidRDefault="008429DF" w:rsidP="003D16A5">
      <w:pPr>
        <w:pStyle w:val="ListParagraph"/>
        <w:numPr>
          <w:ilvl w:val="1"/>
          <w:numId w:val="7"/>
        </w:numPr>
        <w:ind w:left="1434" w:hanging="357"/>
        <w:rPr>
          <w:rFonts w:asciiTheme="minorHAnsi" w:eastAsiaTheme="minorHAnsi" w:hAnsiTheme="minorHAnsi" w:cstheme="minorHAnsi"/>
        </w:rPr>
      </w:pPr>
      <w:r w:rsidRPr="000E0F5F">
        <w:rPr>
          <w:rFonts w:asciiTheme="minorHAnsi" w:eastAsiaTheme="minorHAnsi" w:hAnsiTheme="minorHAnsi" w:cstheme="minorHAnsi"/>
        </w:rPr>
        <w:t>Maintaining professional boundaries</w:t>
      </w:r>
    </w:p>
    <w:p w14:paraId="1A1DD258" w14:textId="77777777" w:rsidR="003D16A5" w:rsidRDefault="008429DF" w:rsidP="003D16A5">
      <w:pPr>
        <w:pStyle w:val="ListParagraph"/>
        <w:numPr>
          <w:ilvl w:val="1"/>
          <w:numId w:val="7"/>
        </w:numPr>
        <w:ind w:left="1434" w:hanging="357"/>
        <w:rPr>
          <w:rFonts w:asciiTheme="minorHAnsi" w:eastAsiaTheme="minorHAnsi" w:hAnsiTheme="minorHAnsi" w:cstheme="minorHAnsi"/>
        </w:rPr>
      </w:pPr>
      <w:r w:rsidRPr="003D16A5">
        <w:rPr>
          <w:rFonts w:asciiTheme="minorHAnsi" w:eastAsiaTheme="minorHAnsi" w:hAnsiTheme="minorHAnsi" w:cstheme="minorHAnsi"/>
        </w:rPr>
        <w:t xml:space="preserve">Ending </w:t>
      </w:r>
      <w:r w:rsidR="003D16A5" w:rsidRPr="003D16A5">
        <w:rPr>
          <w:rFonts w:asciiTheme="minorHAnsi" w:eastAsiaTheme="minorHAnsi" w:hAnsiTheme="minorHAnsi" w:cstheme="minorHAnsi"/>
        </w:rPr>
        <w:t>relationships</w:t>
      </w:r>
      <w:r w:rsidRPr="003D16A5">
        <w:rPr>
          <w:rFonts w:asciiTheme="minorHAnsi" w:eastAsiaTheme="minorHAnsi" w:hAnsiTheme="minorHAnsi" w:cstheme="minorHAnsi"/>
        </w:rPr>
        <w:t xml:space="preserve"> with patients</w:t>
      </w:r>
    </w:p>
    <w:p w14:paraId="243927DE" w14:textId="5874F668" w:rsidR="008429DF" w:rsidRPr="003D16A5" w:rsidRDefault="008429DF" w:rsidP="003D16A5">
      <w:pPr>
        <w:pStyle w:val="ListParagraph"/>
        <w:numPr>
          <w:ilvl w:val="1"/>
          <w:numId w:val="7"/>
        </w:numPr>
        <w:ind w:left="1434" w:hanging="357"/>
        <w:rPr>
          <w:rFonts w:asciiTheme="minorHAnsi" w:eastAsiaTheme="minorHAnsi" w:hAnsiTheme="minorHAnsi" w:cstheme="minorHAnsi"/>
        </w:rPr>
      </w:pPr>
      <w:r w:rsidRPr="003D16A5">
        <w:rPr>
          <w:rFonts w:asciiTheme="minorHAnsi" w:eastAsiaTheme="minorHAnsi" w:hAnsiTheme="minorHAnsi" w:cstheme="minorHAnsi"/>
        </w:rPr>
        <w:t>The use of chaperones</w:t>
      </w:r>
    </w:p>
    <w:p w14:paraId="07A82859" w14:textId="77777777" w:rsidR="00115922" w:rsidRDefault="00115922" w:rsidP="00115922">
      <w:pPr>
        <w:pStyle w:val="BodyText1"/>
        <w:ind w:left="720"/>
        <w:rPr>
          <w:rFonts w:asciiTheme="minorHAnsi" w:eastAsiaTheme="minorHAnsi" w:hAnsiTheme="minorHAnsi" w:cstheme="minorHAnsi"/>
        </w:rPr>
      </w:pPr>
    </w:p>
    <w:p w14:paraId="1A985D45" w14:textId="71E56031" w:rsidR="00937A7E" w:rsidRPr="000E0F5F" w:rsidRDefault="008429DF" w:rsidP="008429DF">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When the </w:t>
      </w:r>
      <w:bookmarkStart w:id="1" w:name="_Hlk151650733"/>
      <w:r w:rsidR="00153268">
        <w:rPr>
          <w:rFonts w:asciiTheme="minorHAnsi" w:eastAsiaTheme="minorHAnsi" w:hAnsiTheme="minorHAnsi" w:cstheme="minorHAnsi"/>
        </w:rPr>
        <w:t xml:space="preserve">more detailed </w:t>
      </w:r>
      <w:bookmarkEnd w:id="1"/>
      <w:r w:rsidR="00481C03" w:rsidRPr="000E0F5F">
        <w:rPr>
          <w:rFonts w:asciiTheme="minorHAnsi" w:eastAsiaTheme="minorHAnsi" w:hAnsiTheme="minorHAnsi" w:cstheme="minorHAnsi"/>
        </w:rPr>
        <w:t>guidance</w:t>
      </w:r>
      <w:r w:rsidRPr="000E0F5F">
        <w:rPr>
          <w:rFonts w:asciiTheme="minorHAnsi" w:eastAsiaTheme="minorHAnsi" w:hAnsiTheme="minorHAnsi" w:cstheme="minorHAnsi"/>
        </w:rPr>
        <w:t xml:space="preserve"> redrafting project commenced in January 2023, part of the </w:t>
      </w:r>
      <w:r w:rsidR="00EF43B1" w:rsidRPr="000E0F5F">
        <w:rPr>
          <w:rFonts w:asciiTheme="minorHAnsi" w:eastAsiaTheme="minorHAnsi" w:hAnsiTheme="minorHAnsi" w:cstheme="minorHAnsi"/>
        </w:rPr>
        <w:t xml:space="preserve">team’s </w:t>
      </w:r>
      <w:r w:rsidRPr="000E0F5F">
        <w:rPr>
          <w:rFonts w:asciiTheme="minorHAnsi" w:eastAsiaTheme="minorHAnsi" w:hAnsiTheme="minorHAnsi" w:cstheme="minorHAnsi"/>
        </w:rPr>
        <w:t>research and intelligence gathering exercise</w:t>
      </w:r>
      <w:r w:rsidR="00937A7E" w:rsidRPr="000E0F5F">
        <w:rPr>
          <w:rFonts w:asciiTheme="minorHAnsi" w:eastAsiaTheme="minorHAnsi" w:hAnsiTheme="minorHAnsi" w:cstheme="minorHAnsi"/>
        </w:rPr>
        <w:t xml:space="preserve"> was to revisit the </w:t>
      </w:r>
      <w:r w:rsidR="00651579" w:rsidRPr="000E0F5F">
        <w:rPr>
          <w:rFonts w:asciiTheme="minorHAnsi" w:eastAsiaTheme="minorHAnsi" w:hAnsiTheme="minorHAnsi" w:cstheme="minorHAnsi"/>
        </w:rPr>
        <w:t xml:space="preserve">scoping reports prepared for the </w:t>
      </w:r>
      <w:r w:rsidR="00CB37EA" w:rsidRPr="002F10C6">
        <w:rPr>
          <w:rFonts w:asciiTheme="minorHAnsi" w:eastAsiaTheme="minorHAnsi" w:hAnsiTheme="minorHAnsi" w:cstheme="minorHAnsi"/>
          <w:i/>
          <w:iCs/>
        </w:rPr>
        <w:t>Good medical practice</w:t>
      </w:r>
      <w:r w:rsidR="00CB37EA">
        <w:rPr>
          <w:rFonts w:asciiTheme="minorHAnsi" w:eastAsiaTheme="minorHAnsi" w:hAnsiTheme="minorHAnsi" w:cstheme="minorHAnsi"/>
        </w:rPr>
        <w:t xml:space="preserve"> </w:t>
      </w:r>
      <w:r w:rsidR="00651579" w:rsidRPr="000E0F5F">
        <w:rPr>
          <w:rFonts w:asciiTheme="minorHAnsi" w:eastAsiaTheme="minorHAnsi" w:hAnsiTheme="minorHAnsi" w:cstheme="minorHAnsi"/>
        </w:rPr>
        <w:t xml:space="preserve">review </w:t>
      </w:r>
      <w:r w:rsidR="00EF43B1" w:rsidRPr="000E0F5F">
        <w:rPr>
          <w:rFonts w:asciiTheme="minorHAnsi" w:eastAsiaTheme="minorHAnsi" w:hAnsiTheme="minorHAnsi" w:cstheme="minorHAnsi"/>
        </w:rPr>
        <w:t>a</w:t>
      </w:r>
      <w:r w:rsidR="00C661F9" w:rsidRPr="000E0F5F">
        <w:rPr>
          <w:rFonts w:asciiTheme="minorHAnsi" w:eastAsiaTheme="minorHAnsi" w:hAnsiTheme="minorHAnsi" w:cstheme="minorHAnsi"/>
        </w:rPr>
        <w:t>nd</w:t>
      </w:r>
      <w:r w:rsidR="00651579" w:rsidRPr="000E0F5F">
        <w:rPr>
          <w:rFonts w:asciiTheme="minorHAnsi" w:eastAsiaTheme="minorHAnsi" w:hAnsiTheme="minorHAnsi" w:cstheme="minorHAnsi"/>
        </w:rPr>
        <w:t xml:space="preserve"> </w:t>
      </w:r>
      <w:r w:rsidR="00EF43B1" w:rsidRPr="000E0F5F">
        <w:rPr>
          <w:rFonts w:asciiTheme="minorHAnsi" w:eastAsiaTheme="minorHAnsi" w:hAnsiTheme="minorHAnsi" w:cstheme="minorHAnsi"/>
        </w:rPr>
        <w:t xml:space="preserve">analyse </w:t>
      </w:r>
      <w:r w:rsidR="00651579" w:rsidRPr="000E0F5F">
        <w:rPr>
          <w:rFonts w:asciiTheme="minorHAnsi" w:eastAsiaTheme="minorHAnsi" w:hAnsiTheme="minorHAnsi" w:cstheme="minorHAnsi"/>
        </w:rPr>
        <w:t xml:space="preserve">the </w:t>
      </w:r>
      <w:r w:rsidR="00937A7E" w:rsidRPr="000E0F5F">
        <w:rPr>
          <w:rFonts w:asciiTheme="minorHAnsi" w:eastAsiaTheme="minorHAnsi" w:hAnsiTheme="minorHAnsi" w:cstheme="minorHAnsi"/>
        </w:rPr>
        <w:t xml:space="preserve">consultation </w:t>
      </w:r>
      <w:r w:rsidR="00651579" w:rsidRPr="000E0F5F">
        <w:rPr>
          <w:rFonts w:asciiTheme="minorHAnsi" w:eastAsiaTheme="minorHAnsi" w:hAnsiTheme="minorHAnsi" w:cstheme="minorHAnsi"/>
        </w:rPr>
        <w:t xml:space="preserve">responses </w:t>
      </w:r>
      <w:r w:rsidR="00937A7E" w:rsidRPr="000E0F5F">
        <w:rPr>
          <w:rFonts w:asciiTheme="minorHAnsi" w:eastAsiaTheme="minorHAnsi" w:hAnsiTheme="minorHAnsi" w:cstheme="minorHAnsi"/>
        </w:rPr>
        <w:t xml:space="preserve">and </w:t>
      </w:r>
      <w:r w:rsidR="00EF43B1" w:rsidRPr="000E0F5F">
        <w:rPr>
          <w:rFonts w:asciiTheme="minorHAnsi" w:eastAsiaTheme="minorHAnsi" w:hAnsiTheme="minorHAnsi" w:cstheme="minorHAnsi"/>
        </w:rPr>
        <w:t xml:space="preserve">the reports from </w:t>
      </w:r>
      <w:r w:rsidR="00EF43B1" w:rsidRPr="000E0F5F">
        <w:rPr>
          <w:rFonts w:asciiTheme="minorHAnsi" w:eastAsiaTheme="minorEastAsia" w:hAnsiTheme="minorHAnsi" w:cstheme="minorHAnsi"/>
        </w:rPr>
        <w:t>the commissioned patient research</w:t>
      </w:r>
      <w:r w:rsidR="00937A7E" w:rsidRPr="000E0F5F">
        <w:rPr>
          <w:rFonts w:asciiTheme="minorHAnsi" w:eastAsiaTheme="minorHAnsi" w:hAnsiTheme="minorHAnsi" w:cstheme="minorHAnsi"/>
        </w:rPr>
        <w:t xml:space="preserve">.  </w:t>
      </w:r>
    </w:p>
    <w:p w14:paraId="1FD8F10E" w14:textId="50898F40" w:rsidR="004671BE" w:rsidRPr="000E0F5F" w:rsidRDefault="0045363E" w:rsidP="00EF43B1">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As we obtained record numbers of responses to the consultation</w:t>
      </w:r>
      <w:r w:rsidR="007432AF" w:rsidRPr="000E0F5F">
        <w:rPr>
          <w:rFonts w:asciiTheme="minorHAnsi" w:eastAsiaTheme="minorHAnsi" w:hAnsiTheme="minorHAnsi" w:cstheme="minorHAnsi"/>
        </w:rPr>
        <w:t xml:space="preserve"> (over 4,600)</w:t>
      </w:r>
      <w:r w:rsidRPr="000E0F5F">
        <w:rPr>
          <w:rFonts w:asciiTheme="minorHAnsi" w:eastAsiaTheme="minorHAnsi" w:hAnsiTheme="minorHAnsi" w:cstheme="minorHAnsi"/>
        </w:rPr>
        <w:t xml:space="preserve"> together with the commissioned </w:t>
      </w:r>
      <w:r w:rsidR="00EF43B1" w:rsidRPr="000E0F5F">
        <w:rPr>
          <w:rFonts w:asciiTheme="minorHAnsi" w:eastAsiaTheme="minorHAnsi" w:hAnsiTheme="minorHAnsi" w:cstheme="minorHAnsi"/>
        </w:rPr>
        <w:t xml:space="preserve">patient </w:t>
      </w:r>
      <w:r w:rsidRPr="000E0F5F">
        <w:rPr>
          <w:rFonts w:asciiTheme="minorHAnsi" w:eastAsiaTheme="minorHAnsi" w:hAnsiTheme="minorHAnsi" w:cstheme="minorHAnsi"/>
        </w:rPr>
        <w:t xml:space="preserve">research, </w:t>
      </w:r>
      <w:r w:rsidR="00194954" w:rsidRPr="000E0F5F">
        <w:rPr>
          <w:rFonts w:asciiTheme="minorHAnsi" w:eastAsiaTheme="minorHAnsi" w:hAnsiTheme="minorHAnsi" w:cstheme="minorHAnsi"/>
        </w:rPr>
        <w:t>we had a rich source of information to</w:t>
      </w:r>
      <w:r w:rsidR="00C661F9" w:rsidRPr="000E0F5F">
        <w:rPr>
          <w:rFonts w:asciiTheme="minorHAnsi" w:eastAsiaTheme="minorHAnsi" w:hAnsiTheme="minorHAnsi" w:cstheme="minorHAnsi"/>
        </w:rPr>
        <w:t xml:space="preserve"> </w:t>
      </w:r>
      <w:r w:rsidR="007432AF" w:rsidRPr="000E0F5F">
        <w:rPr>
          <w:rFonts w:asciiTheme="minorHAnsi" w:eastAsiaTheme="minorHAnsi" w:hAnsiTheme="minorHAnsi" w:cstheme="minorHAnsi"/>
        </w:rPr>
        <w:t xml:space="preserve">help us </w:t>
      </w:r>
      <w:r w:rsidR="00C661F9" w:rsidRPr="000E0F5F">
        <w:rPr>
          <w:rFonts w:asciiTheme="minorHAnsi" w:eastAsiaTheme="minorHAnsi" w:hAnsiTheme="minorHAnsi" w:cstheme="minorHAnsi"/>
        </w:rPr>
        <w:t xml:space="preserve">develop </w:t>
      </w:r>
      <w:r w:rsidR="00EF43B1" w:rsidRPr="000E0F5F">
        <w:rPr>
          <w:rFonts w:asciiTheme="minorHAnsi" w:eastAsiaTheme="minorHAnsi" w:hAnsiTheme="minorHAnsi" w:cstheme="minorHAnsi"/>
        </w:rPr>
        <w:t xml:space="preserve">and </w:t>
      </w:r>
      <w:r w:rsidR="00C661F9" w:rsidRPr="000E0F5F">
        <w:rPr>
          <w:rFonts w:asciiTheme="minorHAnsi" w:eastAsiaTheme="minorHAnsi" w:hAnsiTheme="minorHAnsi" w:cstheme="minorHAnsi"/>
        </w:rPr>
        <w:t>draft propos</w:t>
      </w:r>
      <w:r w:rsidR="00EF43B1" w:rsidRPr="000E0F5F">
        <w:rPr>
          <w:rFonts w:asciiTheme="minorHAnsi" w:eastAsiaTheme="minorHAnsi" w:hAnsiTheme="minorHAnsi" w:cstheme="minorHAnsi"/>
        </w:rPr>
        <w:t xml:space="preserve">ed new paragraphs across </w:t>
      </w:r>
      <w:r w:rsidR="007432AF" w:rsidRPr="000E0F5F">
        <w:rPr>
          <w:rFonts w:asciiTheme="minorHAnsi" w:eastAsiaTheme="minorHAnsi" w:hAnsiTheme="minorHAnsi" w:cstheme="minorHAnsi"/>
        </w:rPr>
        <w:t>t</w:t>
      </w:r>
      <w:r w:rsidR="00C661F9" w:rsidRPr="000E0F5F">
        <w:rPr>
          <w:rFonts w:asciiTheme="minorHAnsi" w:eastAsiaTheme="minorHAnsi" w:hAnsiTheme="minorHAnsi" w:cstheme="minorHAnsi"/>
        </w:rPr>
        <w:t xml:space="preserve">he </w:t>
      </w:r>
      <w:r w:rsidR="007432AF" w:rsidRPr="000E0F5F">
        <w:rPr>
          <w:rFonts w:asciiTheme="minorHAnsi" w:eastAsiaTheme="minorHAnsi" w:hAnsiTheme="minorHAnsi" w:cstheme="minorHAnsi"/>
        </w:rPr>
        <w:t xml:space="preserve">suite of </w:t>
      </w:r>
      <w:r w:rsidR="00153268">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00194954" w:rsidRPr="000E0F5F">
        <w:rPr>
          <w:rFonts w:asciiTheme="minorHAnsi" w:eastAsiaTheme="minorHAnsi" w:hAnsiTheme="minorHAnsi" w:cstheme="minorHAnsi"/>
        </w:rPr>
        <w:t>.</w:t>
      </w:r>
    </w:p>
    <w:p w14:paraId="324BEB3B" w14:textId="77777777" w:rsidR="004671BE" w:rsidRPr="000E0F5F" w:rsidRDefault="004671BE" w:rsidP="004671BE">
      <w:pPr>
        <w:pStyle w:val="ListParagraph"/>
        <w:rPr>
          <w:rFonts w:asciiTheme="minorHAnsi" w:eastAsiaTheme="minorHAnsi" w:hAnsiTheme="minorHAnsi" w:cstheme="minorHAnsi"/>
        </w:rPr>
      </w:pPr>
    </w:p>
    <w:p w14:paraId="31055928" w14:textId="0A9BFA9C" w:rsidR="00194954" w:rsidRPr="000E0F5F" w:rsidRDefault="00B16C1F" w:rsidP="00422871">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We</w:t>
      </w:r>
      <w:r w:rsidR="00EF43B1" w:rsidRPr="000E0F5F">
        <w:rPr>
          <w:rFonts w:asciiTheme="minorHAnsi" w:eastAsiaTheme="minorHAnsi" w:hAnsiTheme="minorHAnsi" w:cstheme="minorHAnsi"/>
        </w:rPr>
        <w:t xml:space="preserve"> </w:t>
      </w:r>
      <w:r w:rsidR="00194954" w:rsidRPr="000E0F5F">
        <w:rPr>
          <w:rFonts w:asciiTheme="minorHAnsi" w:eastAsiaTheme="minorHAnsi" w:hAnsiTheme="minorHAnsi" w:cstheme="minorHAnsi"/>
        </w:rPr>
        <w:t xml:space="preserve">collected demographic data from </w:t>
      </w:r>
      <w:r w:rsidR="00EF43B1" w:rsidRPr="000E0F5F">
        <w:rPr>
          <w:rFonts w:asciiTheme="minorHAnsi" w:eastAsiaTheme="minorHAnsi" w:hAnsiTheme="minorHAnsi" w:cstheme="minorHAnsi"/>
        </w:rPr>
        <w:t xml:space="preserve">the </w:t>
      </w:r>
      <w:r w:rsidR="00194954" w:rsidRPr="000E0F5F">
        <w:rPr>
          <w:rFonts w:asciiTheme="minorHAnsi" w:eastAsiaTheme="minorHAnsi" w:hAnsiTheme="minorHAnsi" w:cstheme="minorHAnsi"/>
        </w:rPr>
        <w:t xml:space="preserve">respondents </w:t>
      </w:r>
      <w:r w:rsidR="00C661F9" w:rsidRPr="000E0F5F">
        <w:rPr>
          <w:rFonts w:asciiTheme="minorHAnsi" w:eastAsiaTheme="minorHAnsi" w:hAnsiTheme="minorHAnsi" w:cstheme="minorHAnsi"/>
        </w:rPr>
        <w:t xml:space="preserve">who </w:t>
      </w:r>
      <w:r w:rsidR="00EF43B1" w:rsidRPr="000E0F5F">
        <w:rPr>
          <w:rFonts w:asciiTheme="minorHAnsi" w:eastAsiaTheme="minorHAnsi" w:hAnsiTheme="minorHAnsi" w:cstheme="minorHAnsi"/>
        </w:rPr>
        <w:t>took part in the consultation</w:t>
      </w:r>
      <w:r w:rsidR="001E4834" w:rsidRPr="000E0F5F">
        <w:rPr>
          <w:rFonts w:asciiTheme="minorHAnsi" w:eastAsiaTheme="minorHAnsi" w:hAnsiTheme="minorHAnsi" w:cstheme="minorHAnsi"/>
        </w:rPr>
        <w:t>. T</w:t>
      </w:r>
      <w:r w:rsidR="00194954" w:rsidRPr="000E0F5F">
        <w:rPr>
          <w:rFonts w:asciiTheme="minorHAnsi" w:eastAsiaTheme="minorHAnsi" w:hAnsiTheme="minorHAnsi" w:cstheme="minorHAnsi"/>
        </w:rPr>
        <w:t xml:space="preserve">he </w:t>
      </w:r>
      <w:r w:rsidR="00EF43B1" w:rsidRPr="000E0F5F">
        <w:rPr>
          <w:rFonts w:asciiTheme="minorHAnsi" w:eastAsiaTheme="minorHAnsi" w:hAnsiTheme="minorHAnsi" w:cstheme="minorHAnsi"/>
        </w:rPr>
        <w:t xml:space="preserve">participants </w:t>
      </w:r>
      <w:r w:rsidR="001F0A71" w:rsidRPr="000E0F5F">
        <w:rPr>
          <w:rFonts w:asciiTheme="minorHAnsi" w:eastAsiaTheme="minorHAnsi" w:hAnsiTheme="minorHAnsi" w:cstheme="minorHAnsi"/>
        </w:rPr>
        <w:t xml:space="preserve">of </w:t>
      </w:r>
      <w:r w:rsidR="00EF43B1" w:rsidRPr="000E0F5F">
        <w:rPr>
          <w:rFonts w:asciiTheme="minorHAnsi" w:eastAsiaTheme="minorHAnsi" w:hAnsiTheme="minorHAnsi" w:cstheme="minorHAnsi"/>
        </w:rPr>
        <w:t xml:space="preserve">the commissioned </w:t>
      </w:r>
      <w:r w:rsidR="00194954" w:rsidRPr="000E0F5F">
        <w:rPr>
          <w:rFonts w:asciiTheme="minorHAnsi" w:eastAsiaTheme="minorHAnsi" w:hAnsiTheme="minorHAnsi" w:cstheme="minorHAnsi"/>
        </w:rPr>
        <w:t xml:space="preserve">patient research </w:t>
      </w:r>
      <w:r w:rsidR="00EF43B1" w:rsidRPr="000E0F5F">
        <w:rPr>
          <w:rFonts w:asciiTheme="minorHAnsi" w:eastAsiaTheme="minorHAnsi" w:hAnsiTheme="minorHAnsi" w:cstheme="minorHAnsi"/>
        </w:rPr>
        <w:t xml:space="preserve">were selected to ensure </w:t>
      </w:r>
      <w:r w:rsidR="001F0A71" w:rsidRPr="000E0F5F">
        <w:rPr>
          <w:rFonts w:asciiTheme="minorHAnsi" w:eastAsiaTheme="minorHAnsi" w:hAnsiTheme="minorHAnsi" w:cstheme="minorHAnsi"/>
        </w:rPr>
        <w:t xml:space="preserve">representation of marginalised groups </w:t>
      </w:r>
      <w:r w:rsidR="00937A7E" w:rsidRPr="000E0F5F">
        <w:rPr>
          <w:rFonts w:asciiTheme="minorHAnsi" w:eastAsiaTheme="minorHAnsi" w:hAnsiTheme="minorHAnsi" w:cstheme="minorHAnsi"/>
        </w:rPr>
        <w:t>(including hard to reach groups)</w:t>
      </w:r>
      <w:r w:rsidR="001F0A71" w:rsidRPr="000E0F5F">
        <w:rPr>
          <w:rFonts w:asciiTheme="minorHAnsi" w:eastAsiaTheme="minorHAnsi" w:hAnsiTheme="minorHAnsi" w:cstheme="minorHAnsi"/>
        </w:rPr>
        <w:t>.  Due to</w:t>
      </w:r>
      <w:r w:rsidRPr="000E0F5F">
        <w:rPr>
          <w:rFonts w:asciiTheme="minorHAnsi" w:eastAsiaTheme="minorHAnsi" w:hAnsiTheme="minorHAnsi" w:cstheme="minorHAnsi"/>
        </w:rPr>
        <w:t xml:space="preserve"> this</w:t>
      </w:r>
      <w:r w:rsidR="001F0A71" w:rsidRPr="000E0F5F">
        <w:rPr>
          <w:rFonts w:asciiTheme="minorHAnsi" w:eastAsiaTheme="minorHAnsi" w:hAnsiTheme="minorHAnsi" w:cstheme="minorHAnsi"/>
        </w:rPr>
        <w:t>,</w:t>
      </w:r>
      <w:r w:rsidR="00937A7E" w:rsidRPr="000E0F5F">
        <w:rPr>
          <w:rFonts w:asciiTheme="minorHAnsi" w:eastAsiaTheme="minorHAnsi" w:hAnsiTheme="minorHAnsi" w:cstheme="minorHAnsi"/>
        </w:rPr>
        <w:t xml:space="preserve"> </w:t>
      </w:r>
      <w:r w:rsidR="00194954" w:rsidRPr="000E0F5F">
        <w:rPr>
          <w:rFonts w:asciiTheme="minorHAnsi" w:eastAsiaTheme="minorHAnsi" w:hAnsiTheme="minorHAnsi" w:cstheme="minorHAnsi"/>
        </w:rPr>
        <w:t xml:space="preserve">we </w:t>
      </w:r>
      <w:r w:rsidRPr="000E0F5F">
        <w:rPr>
          <w:rFonts w:asciiTheme="minorHAnsi" w:eastAsiaTheme="minorHAnsi" w:hAnsiTheme="minorHAnsi" w:cstheme="minorHAnsi"/>
        </w:rPr>
        <w:t>were</w:t>
      </w:r>
      <w:r w:rsidR="00194954" w:rsidRPr="000E0F5F">
        <w:rPr>
          <w:rFonts w:asciiTheme="minorHAnsi" w:eastAsiaTheme="minorHAnsi" w:hAnsiTheme="minorHAnsi" w:cstheme="minorHAnsi"/>
        </w:rPr>
        <w:t xml:space="preserve"> satisfied that we had (</w:t>
      </w:r>
      <w:r w:rsidR="001F0A71" w:rsidRPr="000E0F5F">
        <w:rPr>
          <w:rFonts w:asciiTheme="minorHAnsi" w:eastAsiaTheme="minorHAnsi" w:hAnsiTheme="minorHAnsi" w:cstheme="minorHAnsi"/>
        </w:rPr>
        <w:t>for</w:t>
      </w:r>
      <w:r w:rsidR="00194954" w:rsidRPr="000E0F5F">
        <w:rPr>
          <w:rFonts w:asciiTheme="minorHAnsi" w:eastAsiaTheme="minorHAnsi" w:hAnsiTheme="minorHAnsi" w:cstheme="minorHAnsi"/>
        </w:rPr>
        <w:t xml:space="preserve"> all but one </w:t>
      </w:r>
      <w:r w:rsidR="001F0A71" w:rsidRPr="000E0F5F">
        <w:rPr>
          <w:rFonts w:asciiTheme="minorHAnsi" w:eastAsiaTheme="minorHAnsi" w:hAnsiTheme="minorHAnsi" w:cstheme="minorHAnsi"/>
        </w:rPr>
        <w:t xml:space="preserve">piece of </w:t>
      </w:r>
      <w:r w:rsidR="00153268">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006F3258">
        <w:rPr>
          <w:rFonts w:asciiTheme="minorHAnsi" w:eastAsiaTheme="minorHAnsi" w:hAnsiTheme="minorHAnsi" w:cstheme="minorHAnsi"/>
        </w:rPr>
        <w:t xml:space="preserve"> – see paragraph 19</w:t>
      </w:r>
      <w:r w:rsidR="00194954" w:rsidRPr="000E0F5F">
        <w:rPr>
          <w:rFonts w:asciiTheme="minorHAnsi" w:eastAsiaTheme="minorHAnsi" w:hAnsiTheme="minorHAnsi" w:cstheme="minorHAnsi"/>
        </w:rPr>
        <w:t xml:space="preserve">) </w:t>
      </w:r>
      <w:r w:rsidR="00C661F9" w:rsidRPr="000E0F5F">
        <w:rPr>
          <w:rFonts w:asciiTheme="minorHAnsi" w:eastAsiaTheme="minorHAnsi" w:hAnsiTheme="minorHAnsi" w:cstheme="minorHAnsi"/>
        </w:rPr>
        <w:t xml:space="preserve">sufficient </w:t>
      </w:r>
      <w:r w:rsidR="00194954" w:rsidRPr="000E0F5F">
        <w:rPr>
          <w:rFonts w:asciiTheme="minorHAnsi" w:eastAsiaTheme="minorHAnsi" w:hAnsiTheme="minorHAnsi" w:cstheme="minorHAnsi"/>
        </w:rPr>
        <w:t xml:space="preserve">responses </w:t>
      </w:r>
      <w:r w:rsidR="004671BE" w:rsidRPr="000E0F5F">
        <w:rPr>
          <w:rFonts w:asciiTheme="minorHAnsi" w:eastAsiaTheme="minorHAnsi" w:hAnsiTheme="minorHAnsi" w:cstheme="minorHAnsi"/>
        </w:rPr>
        <w:t>in terms of number</w:t>
      </w:r>
      <w:r w:rsidRPr="000E0F5F">
        <w:rPr>
          <w:rFonts w:asciiTheme="minorHAnsi" w:eastAsiaTheme="minorHAnsi" w:hAnsiTheme="minorHAnsi" w:cstheme="minorHAnsi"/>
        </w:rPr>
        <w:t>s</w:t>
      </w:r>
      <w:r w:rsidR="004671BE" w:rsidRPr="000E0F5F">
        <w:rPr>
          <w:rFonts w:asciiTheme="minorHAnsi" w:eastAsiaTheme="minorHAnsi" w:hAnsiTheme="minorHAnsi" w:cstheme="minorHAnsi"/>
        </w:rPr>
        <w:t xml:space="preserve"> and diversity </w:t>
      </w:r>
      <w:r w:rsidR="00194954" w:rsidRPr="000E0F5F">
        <w:rPr>
          <w:rFonts w:asciiTheme="minorHAnsi" w:eastAsiaTheme="minorHAnsi" w:hAnsiTheme="minorHAnsi" w:cstheme="minorHAnsi"/>
        </w:rPr>
        <w:t>to</w:t>
      </w:r>
      <w:r w:rsidRPr="000E0F5F">
        <w:rPr>
          <w:rFonts w:asciiTheme="minorHAnsi" w:eastAsiaTheme="minorHAnsi" w:hAnsiTheme="minorHAnsi" w:cstheme="minorHAnsi"/>
        </w:rPr>
        <w:t xml:space="preserve"> </w:t>
      </w:r>
      <w:r w:rsidR="001E4834" w:rsidRPr="000E0F5F">
        <w:rPr>
          <w:rFonts w:asciiTheme="minorHAnsi" w:eastAsiaTheme="minorHAnsi" w:hAnsiTheme="minorHAnsi" w:cstheme="minorHAnsi"/>
        </w:rPr>
        <w:t xml:space="preserve">begin to </w:t>
      </w:r>
      <w:r w:rsidR="00194954" w:rsidRPr="000E0F5F">
        <w:rPr>
          <w:rFonts w:asciiTheme="minorHAnsi" w:eastAsiaTheme="minorHAnsi" w:hAnsiTheme="minorHAnsi" w:cstheme="minorHAnsi"/>
        </w:rPr>
        <w:t xml:space="preserve">redraft the </w:t>
      </w:r>
      <w:r w:rsidR="00153268">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00194954" w:rsidRPr="000E0F5F">
        <w:rPr>
          <w:rFonts w:asciiTheme="minorHAnsi" w:eastAsiaTheme="minorHAnsi" w:hAnsiTheme="minorHAnsi" w:cstheme="minorHAnsi"/>
        </w:rPr>
        <w:t xml:space="preserve"> without </w:t>
      </w:r>
      <w:r w:rsidR="00D77507" w:rsidRPr="000E0F5F">
        <w:rPr>
          <w:rFonts w:asciiTheme="minorHAnsi" w:eastAsiaTheme="minorHAnsi" w:hAnsiTheme="minorHAnsi" w:cstheme="minorHAnsi"/>
        </w:rPr>
        <w:t>the need to run a further public consul</w:t>
      </w:r>
      <w:r w:rsidRPr="000E0F5F">
        <w:rPr>
          <w:rFonts w:asciiTheme="minorHAnsi" w:eastAsiaTheme="minorHAnsi" w:hAnsiTheme="minorHAnsi" w:cstheme="minorHAnsi"/>
        </w:rPr>
        <w:t>t</w:t>
      </w:r>
      <w:r w:rsidR="00D77507" w:rsidRPr="000E0F5F">
        <w:rPr>
          <w:rFonts w:asciiTheme="minorHAnsi" w:eastAsiaTheme="minorHAnsi" w:hAnsiTheme="minorHAnsi" w:cstheme="minorHAnsi"/>
        </w:rPr>
        <w:t>ation exercise</w:t>
      </w:r>
      <w:r w:rsidRPr="000E0F5F">
        <w:rPr>
          <w:rFonts w:asciiTheme="minorHAnsi" w:eastAsiaTheme="minorHAnsi" w:hAnsiTheme="minorHAnsi" w:cstheme="minorHAnsi"/>
        </w:rPr>
        <w:t xml:space="preserve">. </w:t>
      </w:r>
      <w:r w:rsidR="00194954" w:rsidRPr="000E0F5F">
        <w:rPr>
          <w:rFonts w:asciiTheme="minorHAnsi" w:eastAsiaTheme="minorHAnsi" w:hAnsiTheme="minorHAnsi" w:cstheme="minorHAnsi"/>
        </w:rPr>
        <w:t xml:space="preserve"> We were satisfied that </w:t>
      </w:r>
      <w:r w:rsidRPr="000E0F5F">
        <w:rPr>
          <w:rFonts w:asciiTheme="minorHAnsi" w:eastAsiaTheme="minorHAnsi" w:hAnsiTheme="minorHAnsi" w:cstheme="minorHAnsi"/>
        </w:rPr>
        <w:t xml:space="preserve">carefully </w:t>
      </w:r>
      <w:r w:rsidR="00194954" w:rsidRPr="000E0F5F">
        <w:rPr>
          <w:rFonts w:asciiTheme="minorHAnsi" w:eastAsiaTheme="minorHAnsi" w:hAnsiTheme="minorHAnsi" w:cstheme="minorHAnsi"/>
        </w:rPr>
        <w:t xml:space="preserve">targeted engagement would complement </w:t>
      </w:r>
      <w:r w:rsidRPr="000E0F5F">
        <w:rPr>
          <w:rFonts w:asciiTheme="minorHAnsi" w:eastAsiaTheme="minorHAnsi" w:hAnsiTheme="minorHAnsi" w:cstheme="minorHAnsi"/>
        </w:rPr>
        <w:t xml:space="preserve">what we had already heard and be a suitable way to test </w:t>
      </w:r>
      <w:r w:rsidR="00E177B6">
        <w:rPr>
          <w:rFonts w:asciiTheme="minorHAnsi" w:eastAsiaTheme="minorHAnsi" w:hAnsiTheme="minorHAnsi" w:cstheme="minorHAnsi"/>
        </w:rPr>
        <w:t xml:space="preserve">any </w:t>
      </w:r>
      <w:r w:rsidRPr="000E0F5F">
        <w:rPr>
          <w:rFonts w:asciiTheme="minorHAnsi" w:eastAsiaTheme="minorHAnsi" w:hAnsiTheme="minorHAnsi" w:cstheme="minorHAnsi"/>
        </w:rPr>
        <w:t xml:space="preserve">proposed </w:t>
      </w:r>
      <w:r w:rsidR="001E4834" w:rsidRPr="000E0F5F">
        <w:rPr>
          <w:rFonts w:asciiTheme="minorHAnsi" w:eastAsiaTheme="minorHAnsi" w:hAnsiTheme="minorHAnsi" w:cstheme="minorHAnsi"/>
        </w:rPr>
        <w:t xml:space="preserve">new </w:t>
      </w:r>
      <w:r w:rsidRPr="000E0F5F">
        <w:rPr>
          <w:rFonts w:asciiTheme="minorHAnsi" w:eastAsiaTheme="minorHAnsi" w:hAnsiTheme="minorHAnsi" w:cstheme="minorHAnsi"/>
        </w:rPr>
        <w:t xml:space="preserve">text. </w:t>
      </w:r>
    </w:p>
    <w:p w14:paraId="0FB4940B" w14:textId="77777777" w:rsidR="00B16C1F" w:rsidRPr="000E0F5F" w:rsidRDefault="00B16C1F" w:rsidP="00B16C1F">
      <w:pPr>
        <w:pStyle w:val="ListParagraph"/>
        <w:rPr>
          <w:rFonts w:asciiTheme="minorHAnsi" w:eastAsiaTheme="minorHAnsi" w:hAnsiTheme="minorHAnsi" w:cstheme="minorHAnsi"/>
        </w:rPr>
      </w:pPr>
    </w:p>
    <w:p w14:paraId="743ACE1D" w14:textId="5AE908CE" w:rsidR="006F3258" w:rsidRPr="000E0F5F" w:rsidRDefault="00194954" w:rsidP="0076553A">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The exception to this was </w:t>
      </w:r>
      <w:r w:rsidRPr="000E0F5F">
        <w:rPr>
          <w:rFonts w:asciiTheme="minorHAnsi" w:eastAsiaTheme="minorHAnsi" w:hAnsiTheme="minorHAnsi" w:cstheme="minorHAnsi"/>
          <w:i/>
          <w:iCs/>
        </w:rPr>
        <w:t xml:space="preserve">Personal beliefs and medical practice. </w:t>
      </w:r>
      <w:r w:rsidRPr="000E0F5F">
        <w:rPr>
          <w:rFonts w:asciiTheme="minorHAnsi" w:eastAsiaTheme="minorHAnsi" w:hAnsiTheme="minorHAnsi" w:cstheme="minorHAnsi"/>
        </w:rPr>
        <w:t xml:space="preserve">When designing the process and timeframe for the </w:t>
      </w:r>
      <w:r w:rsidR="00153268">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Pr="000E0F5F">
        <w:rPr>
          <w:rFonts w:asciiTheme="minorHAnsi" w:eastAsiaTheme="minorHAnsi" w:hAnsiTheme="minorHAnsi" w:cstheme="minorHAnsi"/>
        </w:rPr>
        <w:t xml:space="preserve"> review, it was clear from an early stage that this piece </w:t>
      </w:r>
      <w:r w:rsidR="00B16C1F" w:rsidRPr="000E0F5F">
        <w:rPr>
          <w:rFonts w:asciiTheme="minorHAnsi" w:eastAsiaTheme="minorHAnsi" w:hAnsiTheme="minorHAnsi" w:cstheme="minorHAnsi"/>
        </w:rPr>
        <w:t>w</w:t>
      </w:r>
      <w:r w:rsidRPr="000E0F5F">
        <w:rPr>
          <w:rFonts w:asciiTheme="minorHAnsi" w:eastAsiaTheme="minorHAnsi" w:hAnsiTheme="minorHAnsi" w:cstheme="minorHAnsi"/>
        </w:rPr>
        <w:t>as more complex than the others</w:t>
      </w:r>
      <w:r w:rsidR="006F3258">
        <w:rPr>
          <w:rFonts w:asciiTheme="minorHAnsi" w:eastAsiaTheme="minorHAnsi" w:hAnsiTheme="minorHAnsi" w:cstheme="minorHAnsi"/>
        </w:rPr>
        <w:t xml:space="preserve">, would require significant </w:t>
      </w:r>
      <w:r w:rsidR="006F3258">
        <w:rPr>
          <w:rFonts w:asciiTheme="minorHAnsi" w:eastAsiaTheme="minorHAnsi" w:hAnsiTheme="minorHAnsi" w:cstheme="minorHAnsi"/>
        </w:rPr>
        <w:lastRenderedPageBreak/>
        <w:t>stakeholder engagement</w:t>
      </w:r>
      <w:r w:rsidRPr="000E0F5F">
        <w:rPr>
          <w:rFonts w:asciiTheme="minorHAnsi" w:eastAsiaTheme="minorHAnsi" w:hAnsiTheme="minorHAnsi" w:cstheme="minorHAnsi"/>
        </w:rPr>
        <w:t xml:space="preserve"> and would not fit neatly into the process. We therefore decided to </w:t>
      </w:r>
      <w:r w:rsidR="00E177B6">
        <w:rPr>
          <w:rFonts w:asciiTheme="minorHAnsi" w:eastAsiaTheme="minorHAnsi" w:hAnsiTheme="minorHAnsi" w:cstheme="minorHAnsi"/>
        </w:rPr>
        <w:t xml:space="preserve">separate </w:t>
      </w:r>
      <w:r w:rsidR="00E177B6" w:rsidRPr="000E0F5F">
        <w:rPr>
          <w:rFonts w:asciiTheme="minorHAnsi" w:eastAsiaTheme="minorHAnsi" w:hAnsiTheme="minorHAnsi" w:cstheme="minorHAnsi"/>
        </w:rPr>
        <w:t>the</w:t>
      </w:r>
      <w:r w:rsidRPr="000E0F5F">
        <w:rPr>
          <w:rFonts w:asciiTheme="minorHAnsi" w:eastAsiaTheme="minorHAnsi" w:hAnsiTheme="minorHAnsi" w:cstheme="minorHAnsi"/>
        </w:rPr>
        <w:t xml:space="preserve"> review of </w:t>
      </w:r>
      <w:r w:rsidRPr="000E0F5F">
        <w:rPr>
          <w:rFonts w:asciiTheme="minorHAnsi" w:eastAsiaTheme="minorHAnsi" w:hAnsiTheme="minorHAnsi" w:cstheme="minorHAnsi"/>
          <w:i/>
          <w:iCs/>
        </w:rPr>
        <w:t xml:space="preserve">Personal beliefs </w:t>
      </w:r>
      <w:r w:rsidRPr="000E0F5F">
        <w:rPr>
          <w:rFonts w:asciiTheme="minorHAnsi" w:eastAsiaTheme="minorHAnsi" w:hAnsiTheme="minorHAnsi" w:cstheme="minorHAnsi"/>
        </w:rPr>
        <w:t>and</w:t>
      </w:r>
      <w:r w:rsidR="00BE3F49">
        <w:rPr>
          <w:rFonts w:asciiTheme="minorHAnsi" w:eastAsiaTheme="minorHAnsi" w:hAnsiTheme="minorHAnsi" w:cstheme="minorHAnsi"/>
        </w:rPr>
        <w:t xml:space="preserve"> we will</w:t>
      </w:r>
      <w:r w:rsidRPr="000E0F5F">
        <w:rPr>
          <w:rFonts w:asciiTheme="minorHAnsi" w:eastAsiaTheme="minorHAnsi" w:hAnsiTheme="minorHAnsi" w:cstheme="minorHAnsi"/>
        </w:rPr>
        <w:t xml:space="preserve"> review this </w:t>
      </w:r>
      <w:r w:rsidR="001E4834" w:rsidRPr="000E0F5F">
        <w:rPr>
          <w:rFonts w:asciiTheme="minorHAnsi" w:eastAsiaTheme="minorHAnsi" w:hAnsiTheme="minorHAnsi" w:cstheme="minorHAnsi"/>
        </w:rPr>
        <w:t xml:space="preserve">piece </w:t>
      </w:r>
      <w:r w:rsidRPr="000E0F5F">
        <w:rPr>
          <w:rFonts w:asciiTheme="minorHAnsi" w:eastAsiaTheme="minorHAnsi" w:hAnsiTheme="minorHAnsi" w:cstheme="minorHAnsi"/>
        </w:rPr>
        <w:t>separately</w:t>
      </w:r>
      <w:r w:rsidR="00B64134">
        <w:rPr>
          <w:rFonts w:asciiTheme="minorHAnsi" w:eastAsiaTheme="minorHAnsi" w:hAnsiTheme="minorHAnsi" w:cstheme="minorHAnsi"/>
        </w:rPr>
        <w:t xml:space="preserve"> in 2024</w:t>
      </w:r>
      <w:r w:rsidR="00E177B6">
        <w:rPr>
          <w:rFonts w:asciiTheme="minorHAnsi" w:eastAsiaTheme="minorHAnsi" w:hAnsiTheme="minorHAnsi" w:cstheme="minorHAnsi"/>
        </w:rPr>
        <w:t>.</w:t>
      </w:r>
    </w:p>
    <w:p w14:paraId="38A41786" w14:textId="77777777" w:rsidR="0076553A" w:rsidRPr="000E0F5F" w:rsidRDefault="0076553A" w:rsidP="0076553A">
      <w:pPr>
        <w:pStyle w:val="ListParagraph"/>
        <w:rPr>
          <w:rFonts w:asciiTheme="minorHAnsi" w:eastAsiaTheme="minorHAnsi" w:hAnsiTheme="minorHAnsi" w:cstheme="minorHAnsi"/>
        </w:rPr>
      </w:pPr>
    </w:p>
    <w:p w14:paraId="6CEE2FCE" w14:textId="22AA50C5" w:rsidR="0076553A" w:rsidRDefault="0076553A" w:rsidP="0076553A">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In contrast, the content of </w:t>
      </w:r>
      <w:hyperlink r:id="rId18" w:history="1"/>
      <w:r w:rsidR="008C5519" w:rsidRPr="000E0F5F">
        <w:rPr>
          <w:rFonts w:asciiTheme="minorHAnsi" w:eastAsiaTheme="minorHAnsi" w:hAnsiTheme="minorHAnsi" w:cstheme="minorHAnsi"/>
          <w:i/>
          <w:iCs/>
        </w:rPr>
        <w:t>Writing references</w:t>
      </w:r>
      <w:r w:rsidR="008C5519" w:rsidRPr="000E0F5F">
        <w:rPr>
          <w:rFonts w:asciiTheme="minorHAnsi" w:eastAsiaTheme="minorHAnsi" w:hAnsiTheme="minorHAnsi" w:cstheme="minorHAnsi"/>
        </w:rPr>
        <w:t xml:space="preserve"> </w:t>
      </w:r>
      <w:r w:rsidRPr="000E0F5F">
        <w:rPr>
          <w:rFonts w:asciiTheme="minorHAnsi" w:eastAsiaTheme="minorHAnsi" w:hAnsiTheme="minorHAnsi" w:cstheme="minorHAnsi"/>
        </w:rPr>
        <w:t xml:space="preserve">was found to contain no extra detail </w:t>
      </w:r>
      <w:r w:rsidR="009F169F" w:rsidRPr="000E0F5F">
        <w:rPr>
          <w:rFonts w:asciiTheme="minorHAnsi" w:eastAsiaTheme="minorHAnsi" w:hAnsiTheme="minorHAnsi" w:cstheme="minorHAnsi"/>
        </w:rPr>
        <w:t>once t</w:t>
      </w:r>
      <w:r w:rsidRPr="000E0F5F">
        <w:rPr>
          <w:rFonts w:asciiTheme="minorHAnsi" w:eastAsiaTheme="minorHAnsi" w:hAnsiTheme="minorHAnsi" w:cstheme="minorHAnsi"/>
        </w:rPr>
        <w:t xml:space="preserve">he new </w:t>
      </w:r>
      <w:r w:rsidR="00CB37EA" w:rsidRPr="002F10C6">
        <w:rPr>
          <w:rFonts w:asciiTheme="minorHAnsi" w:eastAsiaTheme="minorHAnsi" w:hAnsiTheme="minorHAnsi" w:cstheme="minorHAnsi"/>
          <w:i/>
          <w:iCs/>
        </w:rPr>
        <w:t>Good medical practice</w:t>
      </w:r>
      <w:r w:rsidR="00CB37EA">
        <w:rPr>
          <w:rFonts w:asciiTheme="minorHAnsi" w:eastAsiaTheme="minorHAnsi" w:hAnsiTheme="minorHAnsi" w:cstheme="minorHAnsi"/>
        </w:rPr>
        <w:t xml:space="preserve"> </w:t>
      </w:r>
      <w:r w:rsidR="009F169F" w:rsidRPr="000E0F5F">
        <w:rPr>
          <w:rFonts w:asciiTheme="minorHAnsi" w:eastAsiaTheme="minorHAnsi" w:hAnsiTheme="minorHAnsi" w:cstheme="minorHAnsi"/>
        </w:rPr>
        <w:t>was finalised</w:t>
      </w:r>
      <w:r w:rsidRPr="000E0F5F">
        <w:rPr>
          <w:rFonts w:asciiTheme="minorHAnsi" w:eastAsiaTheme="minorHAnsi" w:hAnsiTheme="minorHAnsi" w:cstheme="minorHAnsi"/>
        </w:rPr>
        <w:t xml:space="preserve">, so we decided to retire this piece of </w:t>
      </w:r>
      <w:r w:rsidR="00153268" w:rsidRPr="00153268">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Pr="000E0F5F">
        <w:rPr>
          <w:rFonts w:asciiTheme="minorHAnsi" w:eastAsiaTheme="minorHAnsi" w:hAnsiTheme="minorHAnsi" w:cstheme="minorHAnsi"/>
        </w:rPr>
        <w:t xml:space="preserve">. </w:t>
      </w:r>
    </w:p>
    <w:p w14:paraId="651AF357" w14:textId="77777777" w:rsidR="00CC6E8F" w:rsidRPr="00CC6E8F" w:rsidRDefault="00CC6E8F" w:rsidP="00CC6E8F">
      <w:pPr>
        <w:pStyle w:val="ListParagraph"/>
        <w:rPr>
          <w:rFonts w:asciiTheme="minorHAnsi" w:eastAsiaTheme="minorHAnsi" w:hAnsiTheme="minorHAnsi" w:cstheme="minorHAnsi"/>
        </w:rPr>
      </w:pPr>
    </w:p>
    <w:p w14:paraId="7CDB2442" w14:textId="09F01259" w:rsidR="000175C7" w:rsidRDefault="00CC6E8F" w:rsidP="006738F3">
      <w:pPr>
        <w:pStyle w:val="ListParagraph"/>
        <w:numPr>
          <w:ilvl w:val="0"/>
          <w:numId w:val="7"/>
        </w:numPr>
        <w:rPr>
          <w:rFonts w:asciiTheme="minorHAnsi" w:eastAsiaTheme="minorHAnsi" w:hAnsiTheme="minorHAnsi" w:cstheme="minorHAnsi"/>
        </w:rPr>
      </w:pPr>
      <w:r w:rsidRPr="00CC6E8F">
        <w:rPr>
          <w:rFonts w:asciiTheme="minorHAnsi" w:eastAsiaTheme="minorHAnsi" w:hAnsiTheme="minorHAnsi" w:cstheme="minorHAnsi"/>
        </w:rPr>
        <w:t xml:space="preserve">The work to update the </w:t>
      </w:r>
      <w:r w:rsidR="00153268" w:rsidRPr="00153268">
        <w:rPr>
          <w:rFonts w:asciiTheme="minorHAnsi" w:eastAsiaTheme="minorHAnsi" w:hAnsiTheme="minorHAnsi" w:cstheme="minorHAnsi"/>
        </w:rPr>
        <w:t xml:space="preserve">more detailed </w:t>
      </w:r>
      <w:r w:rsidRPr="00CC6E8F">
        <w:rPr>
          <w:rFonts w:asciiTheme="minorHAnsi" w:eastAsiaTheme="minorHAnsi" w:hAnsiTheme="minorHAnsi" w:cstheme="minorHAnsi"/>
        </w:rPr>
        <w:t xml:space="preserve">guidance </w:t>
      </w:r>
      <w:r w:rsidRPr="00CC6E8F">
        <w:rPr>
          <w:rFonts w:asciiTheme="minorHAnsi" w:eastAsiaTheme="minorHAnsi" w:hAnsiTheme="minorHAnsi" w:cstheme="minorHAnsi"/>
          <w:i/>
          <w:iCs/>
        </w:rPr>
        <w:t>Consent to research</w:t>
      </w:r>
      <w:r w:rsidRPr="00CC6E8F">
        <w:rPr>
          <w:rFonts w:asciiTheme="minorHAnsi" w:eastAsiaTheme="minorHAnsi" w:hAnsiTheme="minorHAnsi" w:cstheme="minorHAnsi"/>
        </w:rPr>
        <w:t xml:space="preserve"> and </w:t>
      </w:r>
      <w:r w:rsidR="00387FC3" w:rsidRPr="00CC6E8F">
        <w:rPr>
          <w:rFonts w:asciiTheme="minorHAnsi" w:eastAsiaTheme="minorHAnsi" w:hAnsiTheme="minorHAnsi" w:cstheme="minorHAnsi"/>
        </w:rPr>
        <w:t>good</w:t>
      </w:r>
      <w:r w:rsidRPr="00CC6E8F">
        <w:rPr>
          <w:rFonts w:asciiTheme="minorHAnsi" w:eastAsiaTheme="minorHAnsi" w:hAnsiTheme="minorHAnsi" w:cstheme="minorHAnsi"/>
          <w:i/>
          <w:iCs/>
        </w:rPr>
        <w:t xml:space="preserve"> practice in research </w:t>
      </w:r>
      <w:r>
        <w:rPr>
          <w:rFonts w:asciiTheme="minorHAnsi" w:eastAsiaTheme="minorHAnsi" w:hAnsiTheme="minorHAnsi" w:cstheme="minorHAnsi"/>
        </w:rPr>
        <w:t>ha</w:t>
      </w:r>
      <w:r w:rsidRPr="00CC6E8F">
        <w:rPr>
          <w:rFonts w:asciiTheme="minorHAnsi" w:eastAsiaTheme="minorHAnsi" w:hAnsiTheme="minorHAnsi" w:cstheme="minorHAnsi"/>
        </w:rPr>
        <w:t xml:space="preserve">s also </w:t>
      </w:r>
      <w:r>
        <w:rPr>
          <w:rFonts w:asciiTheme="minorHAnsi" w:eastAsiaTheme="minorHAnsi" w:hAnsiTheme="minorHAnsi" w:cstheme="minorHAnsi"/>
        </w:rPr>
        <w:t>been separated from the main timetable and will be published slightly later than the other pieces.</w:t>
      </w:r>
    </w:p>
    <w:p w14:paraId="7E0AF2DB" w14:textId="77777777" w:rsidR="000175C7" w:rsidRPr="000175C7" w:rsidRDefault="000175C7" w:rsidP="000175C7">
      <w:pPr>
        <w:pStyle w:val="ListParagraph"/>
        <w:rPr>
          <w:rFonts w:asciiTheme="minorHAnsi" w:eastAsiaTheme="minorHAnsi" w:hAnsiTheme="minorHAnsi" w:cstheme="minorHAnsi"/>
        </w:rPr>
      </w:pPr>
    </w:p>
    <w:p w14:paraId="084D096B" w14:textId="3209BA44" w:rsidR="00CC6E8F" w:rsidRPr="00980A2E" w:rsidRDefault="000175C7" w:rsidP="001F4D60">
      <w:pPr>
        <w:pStyle w:val="ListParagraph"/>
        <w:numPr>
          <w:ilvl w:val="0"/>
          <w:numId w:val="7"/>
        </w:numPr>
        <w:rPr>
          <w:rFonts w:asciiTheme="minorHAnsi" w:eastAsiaTheme="minorHAnsi" w:hAnsiTheme="minorHAnsi" w:cstheme="minorHAnsi"/>
        </w:rPr>
      </w:pPr>
      <w:r w:rsidRPr="00980A2E">
        <w:rPr>
          <w:rFonts w:asciiTheme="minorHAnsi" w:eastAsiaTheme="minorHAnsi" w:hAnsiTheme="minorHAnsi" w:cstheme="minorHAnsi"/>
        </w:rPr>
        <w:t xml:space="preserve">We also made decisions about the structure of other pieces of more detailed guidance following our review of the evidence. One example of this came when the contents of </w:t>
      </w:r>
      <w:r w:rsidRPr="00980A2E">
        <w:rPr>
          <w:rFonts w:asciiTheme="minorHAnsi" w:eastAsiaTheme="minorHAnsi" w:hAnsiTheme="minorHAnsi" w:cstheme="minorHAnsi"/>
          <w:i/>
          <w:iCs/>
        </w:rPr>
        <w:t>Maintaining a professional boundary between you and your patient</w:t>
      </w:r>
      <w:r w:rsidRPr="00980A2E">
        <w:rPr>
          <w:rFonts w:asciiTheme="minorHAnsi" w:eastAsiaTheme="minorHAnsi" w:hAnsiTheme="minorHAnsi" w:cstheme="minorHAnsi"/>
        </w:rPr>
        <w:t xml:space="preserve"> and </w:t>
      </w:r>
      <w:r w:rsidRPr="00980A2E">
        <w:rPr>
          <w:rFonts w:asciiTheme="minorHAnsi" w:eastAsiaTheme="minorHAnsi" w:hAnsiTheme="minorHAnsi" w:cstheme="minorHAnsi"/>
          <w:i/>
          <w:iCs/>
        </w:rPr>
        <w:t>Sexual behaviour and your duty to report colleagues</w:t>
      </w:r>
      <w:r w:rsidRPr="00980A2E">
        <w:rPr>
          <w:rFonts w:asciiTheme="minorHAnsi" w:eastAsiaTheme="minorHAnsi" w:hAnsiTheme="minorHAnsi" w:cstheme="minorHAnsi"/>
        </w:rPr>
        <w:t xml:space="preserve"> were examined closely. We found that it was possible to combine the contents of both into one piece </w:t>
      </w:r>
      <w:r w:rsidR="00980A2E" w:rsidRPr="00980A2E">
        <w:rPr>
          <w:rFonts w:asciiTheme="minorHAnsi" w:eastAsiaTheme="minorHAnsi" w:hAnsiTheme="minorHAnsi" w:cstheme="minorHAnsi"/>
        </w:rPr>
        <w:t>of guidance.</w:t>
      </w:r>
    </w:p>
    <w:p w14:paraId="6748AA78" w14:textId="2BD4CBBE" w:rsidR="009F169F" w:rsidRPr="00273BF2" w:rsidRDefault="00194954" w:rsidP="00603D4E">
      <w:pPr>
        <w:pStyle w:val="Heading2"/>
        <w:rPr>
          <w:rFonts w:eastAsiaTheme="minorHAnsi"/>
        </w:rPr>
      </w:pPr>
      <w:r w:rsidRPr="00273BF2">
        <w:rPr>
          <w:rFonts w:eastAsiaTheme="minorHAnsi"/>
        </w:rPr>
        <w:t>Targeted engagemen</w:t>
      </w:r>
      <w:r w:rsidR="009F169F" w:rsidRPr="00273BF2">
        <w:rPr>
          <w:rFonts w:eastAsiaTheme="minorHAnsi"/>
        </w:rPr>
        <w:t>t</w:t>
      </w:r>
    </w:p>
    <w:p w14:paraId="1E5EDA41" w14:textId="77777777" w:rsidR="009F169F" w:rsidRPr="000E0F5F" w:rsidRDefault="009F169F" w:rsidP="009F169F">
      <w:pPr>
        <w:pStyle w:val="BodyText1"/>
        <w:ind w:left="720"/>
        <w:rPr>
          <w:rFonts w:asciiTheme="minorHAnsi" w:eastAsiaTheme="minorHAnsi" w:hAnsiTheme="minorHAnsi" w:cstheme="minorHAnsi"/>
        </w:rPr>
      </w:pPr>
    </w:p>
    <w:p w14:paraId="691D6693" w14:textId="42E5D01F" w:rsidR="00086B38" w:rsidRPr="000E0F5F" w:rsidRDefault="009F169F" w:rsidP="00086B38">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When the new drafts of the </w:t>
      </w:r>
      <w:r w:rsidR="00153268" w:rsidRPr="00153268">
        <w:rPr>
          <w:rFonts w:asciiTheme="minorHAnsi" w:eastAsiaTheme="minorHAnsi" w:hAnsiTheme="minorHAnsi" w:cstheme="minorHAnsi"/>
        </w:rPr>
        <w:t xml:space="preserve">more detailed </w:t>
      </w:r>
      <w:r w:rsidR="00481C03" w:rsidRPr="000E0F5F">
        <w:rPr>
          <w:rFonts w:asciiTheme="minorHAnsi" w:eastAsiaTheme="minorHAnsi" w:hAnsiTheme="minorHAnsi" w:cstheme="minorHAnsi"/>
        </w:rPr>
        <w:t>guidance</w:t>
      </w:r>
      <w:r w:rsidRPr="000E0F5F">
        <w:rPr>
          <w:rFonts w:asciiTheme="minorHAnsi" w:eastAsiaTheme="minorHAnsi" w:hAnsiTheme="minorHAnsi" w:cstheme="minorHAnsi"/>
        </w:rPr>
        <w:t xml:space="preserve"> were ready, we </w:t>
      </w:r>
      <w:r w:rsidR="00980A2E">
        <w:rPr>
          <w:rFonts w:asciiTheme="minorHAnsi" w:eastAsiaTheme="minorHAnsi" w:hAnsiTheme="minorHAnsi" w:cstheme="minorHAnsi"/>
        </w:rPr>
        <w:t xml:space="preserve">started </w:t>
      </w:r>
      <w:r w:rsidR="00980A2E" w:rsidRPr="000E0F5F">
        <w:rPr>
          <w:rFonts w:asciiTheme="minorHAnsi" w:eastAsiaTheme="minorHAnsi" w:hAnsiTheme="minorHAnsi" w:cstheme="minorHAnsi"/>
        </w:rPr>
        <w:t>a</w:t>
      </w:r>
      <w:r w:rsidRPr="000E0F5F">
        <w:rPr>
          <w:rFonts w:asciiTheme="minorHAnsi" w:eastAsiaTheme="minorHAnsi" w:hAnsiTheme="minorHAnsi" w:cstheme="minorHAnsi"/>
        </w:rPr>
        <w:t xml:space="preserve"> </w:t>
      </w:r>
      <w:r w:rsidR="005A30EF" w:rsidRPr="000E0F5F">
        <w:rPr>
          <w:rFonts w:asciiTheme="minorHAnsi" w:eastAsiaTheme="minorHAnsi" w:hAnsiTheme="minorHAnsi" w:cstheme="minorHAnsi"/>
        </w:rPr>
        <w:t>ta</w:t>
      </w:r>
      <w:r w:rsidR="00E13612" w:rsidRPr="000E0F5F">
        <w:rPr>
          <w:rFonts w:asciiTheme="minorHAnsi" w:eastAsiaTheme="minorHAnsi" w:hAnsiTheme="minorHAnsi" w:cstheme="minorHAnsi"/>
        </w:rPr>
        <w:t>r</w:t>
      </w:r>
      <w:r w:rsidR="005A30EF" w:rsidRPr="000E0F5F">
        <w:rPr>
          <w:rFonts w:asciiTheme="minorHAnsi" w:eastAsiaTheme="minorHAnsi" w:hAnsiTheme="minorHAnsi" w:cstheme="minorHAnsi"/>
        </w:rPr>
        <w:t xml:space="preserve">geted engagement process </w:t>
      </w:r>
      <w:r w:rsidR="00596F17" w:rsidRPr="000E0F5F">
        <w:rPr>
          <w:rFonts w:asciiTheme="minorHAnsi" w:eastAsiaTheme="minorHAnsi" w:hAnsiTheme="minorHAnsi" w:cstheme="minorHAnsi"/>
        </w:rPr>
        <w:t>with stakeholders</w:t>
      </w:r>
      <w:r w:rsidR="00B64134">
        <w:rPr>
          <w:rFonts w:asciiTheme="minorHAnsi" w:eastAsiaTheme="minorHAnsi" w:hAnsiTheme="minorHAnsi" w:cstheme="minorHAnsi"/>
        </w:rPr>
        <w:t xml:space="preserve"> with specialist expertise. This </w:t>
      </w:r>
      <w:r w:rsidR="00980A2E">
        <w:rPr>
          <w:rFonts w:asciiTheme="minorHAnsi" w:eastAsiaTheme="minorHAnsi" w:hAnsiTheme="minorHAnsi" w:cstheme="minorHAnsi"/>
        </w:rPr>
        <w:t xml:space="preserve">lasted </w:t>
      </w:r>
      <w:r w:rsidR="00980A2E" w:rsidRPr="000E0F5F">
        <w:rPr>
          <w:rFonts w:asciiTheme="minorHAnsi" w:eastAsiaTheme="minorHAnsi" w:hAnsiTheme="minorHAnsi" w:cstheme="minorHAnsi"/>
        </w:rPr>
        <w:t>six</w:t>
      </w:r>
      <w:r w:rsidR="006C52A8" w:rsidRPr="000E0F5F">
        <w:rPr>
          <w:rFonts w:asciiTheme="minorHAnsi" w:eastAsiaTheme="minorHAnsi" w:hAnsiTheme="minorHAnsi" w:cstheme="minorHAnsi"/>
        </w:rPr>
        <w:t xml:space="preserve"> </w:t>
      </w:r>
      <w:r w:rsidR="005A30EF" w:rsidRPr="000E0F5F">
        <w:rPr>
          <w:rFonts w:asciiTheme="minorHAnsi" w:eastAsiaTheme="minorHAnsi" w:hAnsiTheme="minorHAnsi" w:cstheme="minorHAnsi"/>
        </w:rPr>
        <w:t>weeks</w:t>
      </w:r>
      <w:r w:rsidR="00B64134">
        <w:rPr>
          <w:rFonts w:asciiTheme="minorHAnsi" w:eastAsiaTheme="minorHAnsi" w:hAnsiTheme="minorHAnsi" w:cstheme="minorHAnsi"/>
        </w:rPr>
        <w:t xml:space="preserve">, </w:t>
      </w:r>
      <w:r w:rsidR="005A4901">
        <w:rPr>
          <w:rFonts w:asciiTheme="minorHAnsi" w:eastAsiaTheme="minorHAnsi" w:hAnsiTheme="minorHAnsi" w:cstheme="minorHAnsi"/>
        </w:rPr>
        <w:t xml:space="preserve">starting </w:t>
      </w:r>
      <w:r w:rsidR="005A4901" w:rsidRPr="000E0F5F">
        <w:rPr>
          <w:rFonts w:asciiTheme="minorHAnsi" w:eastAsiaTheme="minorHAnsi" w:hAnsiTheme="minorHAnsi" w:cstheme="minorHAnsi"/>
        </w:rPr>
        <w:t>in</w:t>
      </w:r>
      <w:r w:rsidR="004B0AD4" w:rsidRPr="000E0F5F">
        <w:rPr>
          <w:rFonts w:asciiTheme="minorHAnsi" w:eastAsiaTheme="minorHAnsi" w:hAnsiTheme="minorHAnsi" w:cstheme="minorHAnsi"/>
        </w:rPr>
        <w:t xml:space="preserve"> mid-July 2023</w:t>
      </w:r>
      <w:r w:rsidRPr="000E0F5F">
        <w:rPr>
          <w:rFonts w:asciiTheme="minorHAnsi" w:eastAsiaTheme="minorHAnsi" w:hAnsiTheme="minorHAnsi" w:cstheme="minorHAnsi"/>
        </w:rPr>
        <w:t xml:space="preserve">. </w:t>
      </w:r>
    </w:p>
    <w:p w14:paraId="017100AB" w14:textId="7F12A269" w:rsidR="004D01EA" w:rsidRPr="000E0F5F" w:rsidRDefault="00086B38" w:rsidP="004D01EA">
      <w:pPr>
        <w:pStyle w:val="BodyText1"/>
        <w:numPr>
          <w:ilvl w:val="0"/>
          <w:numId w:val="7"/>
        </w:numPr>
        <w:rPr>
          <w:rFonts w:asciiTheme="minorHAnsi" w:eastAsiaTheme="minorHAnsi" w:hAnsiTheme="minorHAnsi" w:cstheme="minorHAnsi"/>
        </w:rPr>
      </w:pPr>
      <w:bookmarkStart w:id="2" w:name="_Consultation,_analysis_and"/>
      <w:bookmarkStart w:id="3" w:name="_Hlk128994842"/>
      <w:bookmarkEnd w:id="2"/>
      <w:r w:rsidRPr="000E0F5F">
        <w:rPr>
          <w:rFonts w:asciiTheme="minorHAnsi" w:eastAsiaTheme="minorHAnsi" w:hAnsiTheme="minorHAnsi" w:cstheme="minorHAnsi"/>
        </w:rPr>
        <w:t>We identified a</w:t>
      </w:r>
      <w:r w:rsidR="00D67AD1" w:rsidRPr="000E0F5F">
        <w:rPr>
          <w:rFonts w:asciiTheme="minorHAnsi" w:eastAsiaTheme="minorHAnsi" w:hAnsiTheme="minorHAnsi" w:cstheme="minorHAnsi"/>
        </w:rPr>
        <w:t xml:space="preserve"> group o</w:t>
      </w:r>
      <w:r w:rsidR="00F261C1" w:rsidRPr="000E0F5F">
        <w:rPr>
          <w:rFonts w:asciiTheme="minorHAnsi" w:eastAsiaTheme="minorHAnsi" w:hAnsiTheme="minorHAnsi" w:cstheme="minorHAnsi"/>
        </w:rPr>
        <w:t xml:space="preserve">f </w:t>
      </w:r>
      <w:r w:rsidR="00121C2A" w:rsidRPr="000E0F5F">
        <w:rPr>
          <w:rFonts w:asciiTheme="minorHAnsi" w:eastAsiaTheme="minorHAnsi" w:hAnsiTheme="minorHAnsi" w:cstheme="minorHAnsi"/>
        </w:rPr>
        <w:t>stakeholders</w:t>
      </w:r>
      <w:r w:rsidR="0046791E" w:rsidRPr="0046791E">
        <w:t xml:space="preserve"> </w:t>
      </w:r>
      <w:r w:rsidR="0046791E">
        <w:t xml:space="preserve">who were </w:t>
      </w:r>
      <w:r w:rsidR="0046791E">
        <w:rPr>
          <w:rStyle w:val="cf01"/>
          <w:rFonts w:asciiTheme="minorHAnsi" w:hAnsiTheme="minorHAnsi" w:cstheme="minorHAnsi"/>
          <w:sz w:val="24"/>
          <w:szCs w:val="24"/>
        </w:rPr>
        <w:t xml:space="preserve">expert </w:t>
      </w:r>
      <w:r w:rsidR="0046791E" w:rsidRPr="004323C6">
        <w:rPr>
          <w:rStyle w:val="cf01"/>
          <w:rFonts w:asciiTheme="minorHAnsi" w:hAnsiTheme="minorHAnsi" w:cstheme="minorHAnsi"/>
          <w:sz w:val="24"/>
          <w:szCs w:val="24"/>
        </w:rPr>
        <w:t xml:space="preserve">users of the guidance </w:t>
      </w:r>
      <w:r w:rsidR="0046791E">
        <w:rPr>
          <w:rStyle w:val="cf01"/>
          <w:rFonts w:asciiTheme="minorHAnsi" w:hAnsiTheme="minorHAnsi" w:cstheme="minorHAnsi"/>
          <w:sz w:val="24"/>
          <w:szCs w:val="24"/>
        </w:rPr>
        <w:t xml:space="preserve">and </w:t>
      </w:r>
      <w:r w:rsidR="0046791E" w:rsidRPr="004323C6">
        <w:rPr>
          <w:rStyle w:val="cf01"/>
          <w:rFonts w:asciiTheme="minorHAnsi" w:hAnsiTheme="minorHAnsi" w:cstheme="minorHAnsi"/>
          <w:sz w:val="24"/>
          <w:szCs w:val="24"/>
        </w:rPr>
        <w:t xml:space="preserve">who we knew would be able to engage with the changes in </w:t>
      </w:r>
      <w:r w:rsidR="005A4901">
        <w:rPr>
          <w:rStyle w:val="cf01"/>
          <w:rFonts w:asciiTheme="minorHAnsi" w:hAnsiTheme="minorHAnsi" w:cstheme="minorHAnsi"/>
          <w:sz w:val="24"/>
          <w:szCs w:val="24"/>
        </w:rPr>
        <w:t xml:space="preserve">detail </w:t>
      </w:r>
      <w:r w:rsidR="0046791E" w:rsidRPr="004323C6">
        <w:rPr>
          <w:rStyle w:val="cf01"/>
          <w:rFonts w:asciiTheme="minorHAnsi" w:hAnsiTheme="minorHAnsi" w:cstheme="minorHAnsi"/>
          <w:sz w:val="24"/>
          <w:szCs w:val="24"/>
        </w:rPr>
        <w:t xml:space="preserve">in the timeframe available during this </w:t>
      </w:r>
      <w:proofErr w:type="gramStart"/>
      <w:r w:rsidR="0046791E" w:rsidRPr="004323C6">
        <w:rPr>
          <w:rStyle w:val="cf01"/>
          <w:rFonts w:asciiTheme="minorHAnsi" w:hAnsiTheme="minorHAnsi" w:cstheme="minorHAnsi"/>
          <w:sz w:val="24"/>
          <w:szCs w:val="24"/>
        </w:rPr>
        <w:t>particular phase</w:t>
      </w:r>
      <w:proofErr w:type="gramEnd"/>
      <w:r w:rsidR="0046791E" w:rsidRPr="004323C6">
        <w:rPr>
          <w:rStyle w:val="cf01"/>
          <w:rFonts w:asciiTheme="minorHAnsi" w:hAnsiTheme="minorHAnsi" w:cstheme="minorHAnsi"/>
          <w:sz w:val="24"/>
          <w:szCs w:val="24"/>
        </w:rPr>
        <w:t xml:space="preserve"> of the project.</w:t>
      </w:r>
      <w:r w:rsidR="0046791E">
        <w:rPr>
          <w:rStyle w:val="cf01"/>
        </w:rPr>
        <w:t xml:space="preserve"> </w:t>
      </w:r>
      <w:r w:rsidR="0046791E">
        <w:rPr>
          <w:rFonts w:asciiTheme="minorHAnsi" w:eastAsiaTheme="minorHAnsi" w:hAnsiTheme="minorHAnsi" w:cstheme="minorHAnsi"/>
        </w:rPr>
        <w:t>W</w:t>
      </w:r>
      <w:r w:rsidRPr="000E0F5F">
        <w:rPr>
          <w:rFonts w:asciiTheme="minorHAnsi" w:eastAsiaTheme="minorHAnsi" w:hAnsiTheme="minorHAnsi" w:cstheme="minorHAnsi"/>
        </w:rPr>
        <w:t xml:space="preserve">e shared </w:t>
      </w:r>
      <w:r w:rsidRPr="00B310AD">
        <w:rPr>
          <w:rFonts w:asciiTheme="minorHAnsi" w:eastAsiaTheme="minorHAnsi" w:hAnsiTheme="minorHAnsi" w:cstheme="minorHAnsi"/>
          <w:i/>
          <w:iCs/>
        </w:rPr>
        <w:t xml:space="preserve">all </w:t>
      </w:r>
      <w:r w:rsidRPr="000E0F5F">
        <w:rPr>
          <w:rFonts w:asciiTheme="minorHAnsi" w:eastAsiaTheme="minorHAnsi" w:hAnsiTheme="minorHAnsi" w:cstheme="minorHAnsi"/>
        </w:rPr>
        <w:t>the draft</w:t>
      </w:r>
      <w:r w:rsidR="00A22583">
        <w:rPr>
          <w:rFonts w:asciiTheme="minorHAnsi" w:eastAsiaTheme="minorHAnsi" w:hAnsiTheme="minorHAnsi" w:cstheme="minorHAnsi"/>
        </w:rPr>
        <w:t xml:space="preserve"> updated text</w:t>
      </w:r>
      <w:r w:rsidR="005A4901">
        <w:rPr>
          <w:rFonts w:asciiTheme="minorHAnsi" w:eastAsiaTheme="minorHAnsi" w:hAnsiTheme="minorHAnsi" w:cstheme="minorHAnsi"/>
        </w:rPr>
        <w:t xml:space="preserve"> </w:t>
      </w:r>
      <w:r w:rsidRPr="000E0F5F">
        <w:rPr>
          <w:rFonts w:asciiTheme="minorHAnsi" w:eastAsiaTheme="minorHAnsi" w:hAnsiTheme="minorHAnsi" w:cstheme="minorHAnsi"/>
        </w:rPr>
        <w:t>with these stakeholders.  The</w:t>
      </w:r>
      <w:r w:rsidR="00121C2A" w:rsidRPr="000E0F5F">
        <w:rPr>
          <w:rFonts w:asciiTheme="minorHAnsi" w:eastAsiaTheme="minorHAnsi" w:hAnsiTheme="minorHAnsi" w:cstheme="minorHAnsi"/>
        </w:rPr>
        <w:t xml:space="preserve">y </w:t>
      </w:r>
      <w:r w:rsidR="001F3507" w:rsidRPr="000E0F5F">
        <w:rPr>
          <w:rFonts w:asciiTheme="minorHAnsi" w:eastAsiaTheme="minorHAnsi" w:hAnsiTheme="minorHAnsi" w:cstheme="minorHAnsi"/>
        </w:rPr>
        <w:t>included</w:t>
      </w:r>
      <w:r w:rsidR="00F261C1" w:rsidRPr="000E0F5F">
        <w:rPr>
          <w:rFonts w:asciiTheme="minorHAnsi" w:eastAsiaTheme="minorHAnsi" w:hAnsiTheme="minorHAnsi" w:cstheme="minorHAnsi"/>
        </w:rPr>
        <w:t>:</w:t>
      </w:r>
    </w:p>
    <w:p w14:paraId="70B063F4" w14:textId="60A98454" w:rsidR="004B0AD4" w:rsidRPr="000E0F5F" w:rsidRDefault="004B0AD4" w:rsidP="004D01E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 xml:space="preserve">Members of the </w:t>
      </w:r>
      <w:r w:rsidR="00A86F1A">
        <w:rPr>
          <w:rFonts w:asciiTheme="minorHAnsi" w:eastAsiaTheme="minorHAnsi" w:hAnsiTheme="minorHAnsi" w:cstheme="minorHAnsi"/>
        </w:rPr>
        <w:t xml:space="preserve">GMC’s </w:t>
      </w:r>
      <w:hyperlink r:id="rId19" w:history="1">
        <w:r w:rsidR="00A86F1A">
          <w:rPr>
            <w:color w:val="0000FF"/>
            <w:u w:val="single"/>
          </w:rPr>
          <w:t xml:space="preserve">Strategic Equality Diversity and Inclusion Forum </w:t>
        </w:r>
      </w:hyperlink>
      <w:r w:rsidR="00F20C06">
        <w:t>(‘SEDIAF’).</w:t>
      </w:r>
    </w:p>
    <w:p w14:paraId="4074D221" w14:textId="1547706B" w:rsidR="004D01EA" w:rsidRPr="000E0F5F" w:rsidRDefault="004D01EA" w:rsidP="004D01E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 xml:space="preserve">The main </w:t>
      </w:r>
      <w:r w:rsidR="004823BE" w:rsidRPr="000E0F5F">
        <w:rPr>
          <w:rFonts w:asciiTheme="minorHAnsi" w:eastAsiaTheme="minorHAnsi" w:hAnsiTheme="minorHAnsi" w:cstheme="minorHAnsi"/>
        </w:rPr>
        <w:t>UK m</w:t>
      </w:r>
      <w:r w:rsidRPr="000E0F5F">
        <w:rPr>
          <w:rFonts w:asciiTheme="minorHAnsi" w:eastAsiaTheme="minorHAnsi" w:hAnsiTheme="minorHAnsi" w:cstheme="minorHAnsi"/>
        </w:rPr>
        <w:t xml:space="preserve">edical </w:t>
      </w:r>
      <w:r w:rsidR="004823BE" w:rsidRPr="000E0F5F">
        <w:rPr>
          <w:rFonts w:asciiTheme="minorHAnsi" w:eastAsiaTheme="minorHAnsi" w:hAnsiTheme="minorHAnsi" w:cstheme="minorHAnsi"/>
        </w:rPr>
        <w:t>d</w:t>
      </w:r>
      <w:r w:rsidRPr="000E0F5F">
        <w:rPr>
          <w:rFonts w:asciiTheme="minorHAnsi" w:eastAsiaTheme="minorHAnsi" w:hAnsiTheme="minorHAnsi" w:cstheme="minorHAnsi"/>
        </w:rPr>
        <w:t xml:space="preserve">efence </w:t>
      </w:r>
      <w:r w:rsidR="004823BE" w:rsidRPr="000E0F5F">
        <w:rPr>
          <w:rFonts w:asciiTheme="minorHAnsi" w:eastAsiaTheme="minorHAnsi" w:hAnsiTheme="minorHAnsi" w:cstheme="minorHAnsi"/>
        </w:rPr>
        <w:t>o</w:t>
      </w:r>
      <w:r w:rsidRPr="000E0F5F">
        <w:rPr>
          <w:rFonts w:asciiTheme="minorHAnsi" w:eastAsiaTheme="minorHAnsi" w:hAnsiTheme="minorHAnsi" w:cstheme="minorHAnsi"/>
        </w:rPr>
        <w:t xml:space="preserve">rganisations </w:t>
      </w:r>
    </w:p>
    <w:p w14:paraId="5CAE0052" w14:textId="77777777" w:rsidR="004D01EA" w:rsidRPr="000E0F5F" w:rsidRDefault="004D01EA" w:rsidP="004D01E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The BMA</w:t>
      </w:r>
    </w:p>
    <w:p w14:paraId="1A4F3CCE" w14:textId="77777777" w:rsidR="004D01EA" w:rsidRPr="000E0F5F" w:rsidRDefault="004D01EA" w:rsidP="004D01EA">
      <w:pPr>
        <w:pStyle w:val="ListParagraph"/>
        <w:numPr>
          <w:ilvl w:val="1"/>
          <w:numId w:val="7"/>
        </w:numPr>
        <w:rPr>
          <w:rFonts w:asciiTheme="minorHAnsi" w:eastAsiaTheme="minorHAnsi" w:hAnsiTheme="minorHAnsi" w:cstheme="minorHAnsi"/>
        </w:rPr>
      </w:pPr>
      <w:bookmarkStart w:id="4" w:name="_Hlk153296296"/>
      <w:r w:rsidRPr="000E0F5F">
        <w:rPr>
          <w:rFonts w:asciiTheme="minorHAnsi" w:eastAsiaTheme="minorHAnsi" w:hAnsiTheme="minorHAnsi" w:cstheme="minorHAnsi"/>
        </w:rPr>
        <w:t xml:space="preserve">The Academy of Medical Royal Colleges </w:t>
      </w:r>
    </w:p>
    <w:bookmarkEnd w:id="4"/>
    <w:p w14:paraId="6CDC7DB4" w14:textId="70EF2896" w:rsidR="004D01EA" w:rsidRPr="000E0F5F" w:rsidRDefault="0076166F" w:rsidP="004D01E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 xml:space="preserve">The </w:t>
      </w:r>
      <w:r w:rsidR="004D01EA" w:rsidRPr="000E0F5F">
        <w:rPr>
          <w:rFonts w:asciiTheme="minorHAnsi" w:eastAsiaTheme="minorHAnsi" w:hAnsiTheme="minorHAnsi" w:cstheme="minorHAnsi"/>
        </w:rPr>
        <w:t>Faculty of Physician Associates</w:t>
      </w:r>
    </w:p>
    <w:p w14:paraId="61CF5E8C" w14:textId="02003165" w:rsidR="004D01EA" w:rsidRPr="000E0F5F" w:rsidRDefault="0076166F" w:rsidP="004D01E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 xml:space="preserve">The </w:t>
      </w:r>
      <w:r w:rsidR="004D01EA" w:rsidRPr="000E0F5F">
        <w:rPr>
          <w:rFonts w:asciiTheme="minorHAnsi" w:eastAsiaTheme="minorHAnsi" w:hAnsiTheme="minorHAnsi" w:cstheme="minorHAnsi"/>
        </w:rPr>
        <w:t xml:space="preserve">Association of Anaesthesia Associates </w:t>
      </w:r>
    </w:p>
    <w:p w14:paraId="6B6AF9F2" w14:textId="77777777" w:rsidR="004D01EA" w:rsidRPr="000E0F5F" w:rsidRDefault="004D01EA" w:rsidP="004D01E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 xml:space="preserve">NHS England (and four nation equivalents) </w:t>
      </w:r>
    </w:p>
    <w:p w14:paraId="0203B7FF" w14:textId="4D6C9D9C" w:rsidR="004D01EA" w:rsidRPr="000E0F5F" w:rsidRDefault="004D01EA" w:rsidP="004D01E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Central government level health departments across the four nations</w:t>
      </w:r>
    </w:p>
    <w:p w14:paraId="5AE75A5D" w14:textId="5C8683C1" w:rsidR="003F6093" w:rsidRPr="000E0F5F" w:rsidRDefault="003F6093" w:rsidP="004D01E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 xml:space="preserve">Members of the </w:t>
      </w:r>
      <w:r w:rsidR="00B64134">
        <w:rPr>
          <w:rFonts w:asciiTheme="minorHAnsi" w:eastAsiaTheme="minorHAnsi" w:hAnsiTheme="minorHAnsi" w:cstheme="minorHAnsi"/>
        </w:rPr>
        <w:t>a</w:t>
      </w:r>
      <w:r w:rsidRPr="000E0F5F">
        <w:rPr>
          <w:rFonts w:asciiTheme="minorHAnsi" w:eastAsiaTheme="minorHAnsi" w:hAnsiTheme="minorHAnsi" w:cstheme="minorHAnsi"/>
        </w:rPr>
        <w:t xml:space="preserve">dvisory </w:t>
      </w:r>
      <w:r w:rsidR="00B64134">
        <w:rPr>
          <w:rFonts w:asciiTheme="minorHAnsi" w:eastAsiaTheme="minorHAnsi" w:hAnsiTheme="minorHAnsi" w:cstheme="minorHAnsi"/>
        </w:rPr>
        <w:t>f</w:t>
      </w:r>
      <w:r w:rsidRPr="000E0F5F">
        <w:rPr>
          <w:rFonts w:asciiTheme="minorHAnsi" w:eastAsiaTheme="minorHAnsi" w:hAnsiTheme="minorHAnsi" w:cstheme="minorHAnsi"/>
        </w:rPr>
        <w:t xml:space="preserve">orum for the </w:t>
      </w:r>
      <w:r w:rsidR="00CB37EA" w:rsidRPr="002F10C6">
        <w:rPr>
          <w:rFonts w:asciiTheme="minorHAnsi" w:eastAsiaTheme="minorHAnsi" w:hAnsiTheme="minorHAnsi" w:cstheme="minorHAnsi"/>
          <w:i/>
          <w:iCs/>
        </w:rPr>
        <w:t>Good medical practice</w:t>
      </w:r>
      <w:r w:rsidR="00CB37EA">
        <w:rPr>
          <w:rFonts w:asciiTheme="minorHAnsi" w:eastAsiaTheme="minorHAnsi" w:hAnsiTheme="minorHAnsi" w:cstheme="minorHAnsi"/>
        </w:rPr>
        <w:t xml:space="preserve"> </w:t>
      </w:r>
      <w:r w:rsidRPr="000E0F5F">
        <w:rPr>
          <w:rFonts w:asciiTheme="minorHAnsi" w:eastAsiaTheme="minorHAnsi" w:hAnsiTheme="minorHAnsi" w:cstheme="minorHAnsi"/>
        </w:rPr>
        <w:t xml:space="preserve">review </w:t>
      </w:r>
    </w:p>
    <w:p w14:paraId="63B66782" w14:textId="4CF5F56E" w:rsidR="004D01EA" w:rsidRPr="000E0F5F" w:rsidRDefault="003F6093" w:rsidP="004D01EA">
      <w:pPr>
        <w:pStyle w:val="ListParagraph"/>
        <w:numPr>
          <w:ilvl w:val="1"/>
          <w:numId w:val="7"/>
        </w:numPr>
        <w:rPr>
          <w:rFonts w:asciiTheme="minorHAnsi" w:eastAsiaTheme="minorHAnsi" w:hAnsiTheme="minorHAnsi" w:cstheme="minorHAnsi"/>
        </w:rPr>
      </w:pPr>
      <w:r w:rsidRPr="000E0F5F">
        <w:rPr>
          <w:rFonts w:asciiTheme="minorHAnsi" w:eastAsiaTheme="minorHAnsi" w:hAnsiTheme="minorHAnsi" w:cstheme="minorHAnsi"/>
        </w:rPr>
        <w:t xml:space="preserve">Relevant </w:t>
      </w:r>
      <w:r w:rsidR="0076166F" w:rsidRPr="000E0F5F">
        <w:rPr>
          <w:rFonts w:asciiTheme="minorHAnsi" w:eastAsiaTheme="minorHAnsi" w:hAnsiTheme="minorHAnsi" w:cstheme="minorHAnsi"/>
        </w:rPr>
        <w:t xml:space="preserve">internal </w:t>
      </w:r>
      <w:r w:rsidRPr="000E0F5F">
        <w:rPr>
          <w:rFonts w:asciiTheme="minorHAnsi" w:eastAsiaTheme="minorHAnsi" w:hAnsiTheme="minorHAnsi" w:cstheme="minorHAnsi"/>
        </w:rPr>
        <w:t xml:space="preserve">teams and </w:t>
      </w:r>
      <w:r w:rsidR="004D01EA" w:rsidRPr="000E0F5F">
        <w:rPr>
          <w:rFonts w:asciiTheme="minorHAnsi" w:eastAsiaTheme="minorHAnsi" w:hAnsiTheme="minorHAnsi" w:cstheme="minorHAnsi"/>
        </w:rPr>
        <w:t>Marx Fellows at the GMC</w:t>
      </w:r>
    </w:p>
    <w:p w14:paraId="03AAF9D2" w14:textId="77777777" w:rsidR="00367C7C" w:rsidRDefault="00367C7C" w:rsidP="00367C7C">
      <w:pPr>
        <w:pStyle w:val="BodyText1"/>
        <w:ind w:left="720"/>
        <w:rPr>
          <w:rFonts w:asciiTheme="minorHAnsi" w:eastAsiaTheme="minorHAnsi" w:hAnsiTheme="minorHAnsi" w:cstheme="minorHAnsi"/>
        </w:rPr>
      </w:pPr>
    </w:p>
    <w:p w14:paraId="3ECAF104" w14:textId="6864F229" w:rsidR="00B310AD" w:rsidRDefault="00B310AD" w:rsidP="00B310AD">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The Academy of Medical Royal Colleges offered to share the draft</w:t>
      </w:r>
      <w:r>
        <w:rPr>
          <w:rFonts w:asciiTheme="minorHAnsi" w:eastAsiaTheme="minorHAnsi" w:hAnsiTheme="minorHAnsi" w:cstheme="minorHAnsi"/>
        </w:rPr>
        <w:t xml:space="preserve"> more detailed</w:t>
      </w:r>
      <w:r w:rsidRPr="000E0F5F">
        <w:rPr>
          <w:rFonts w:asciiTheme="minorHAnsi" w:eastAsiaTheme="minorHAnsi" w:hAnsiTheme="minorHAnsi" w:cstheme="minorHAnsi"/>
        </w:rPr>
        <w:t xml:space="preserve"> guidance with the UK medical royal colleges, and this included to colleges of the same specialty in four countries of the UK.   </w:t>
      </w:r>
    </w:p>
    <w:p w14:paraId="5F3FC450" w14:textId="77777777" w:rsidR="00367C7C" w:rsidRDefault="00367C7C" w:rsidP="00367C7C">
      <w:pPr>
        <w:pStyle w:val="BodyText1"/>
        <w:ind w:left="720"/>
        <w:rPr>
          <w:rFonts w:asciiTheme="minorHAnsi" w:eastAsiaTheme="minorHAnsi" w:hAnsiTheme="minorHAnsi" w:cstheme="minorHAnsi"/>
        </w:rPr>
      </w:pPr>
    </w:p>
    <w:p w14:paraId="768C191D" w14:textId="09F23D48" w:rsidR="00B310AD" w:rsidRDefault="005A4901" w:rsidP="00B310AD">
      <w:pPr>
        <w:pStyle w:val="BodyText1"/>
        <w:numPr>
          <w:ilvl w:val="0"/>
          <w:numId w:val="7"/>
        </w:numPr>
        <w:rPr>
          <w:rFonts w:asciiTheme="minorHAnsi" w:eastAsiaTheme="minorHAnsi" w:hAnsiTheme="minorHAnsi" w:cstheme="minorHAnsi"/>
        </w:rPr>
      </w:pPr>
      <w:r w:rsidRPr="00A22583">
        <w:rPr>
          <w:rFonts w:asciiTheme="minorHAnsi" w:eastAsiaTheme="minorHAnsi" w:hAnsiTheme="minorHAnsi" w:cstheme="minorHAnsi"/>
        </w:rPr>
        <w:t xml:space="preserve">In terms of patient engagement, we already had the feedback from the </w:t>
      </w:r>
      <w:r w:rsidR="00A22583">
        <w:rPr>
          <w:rFonts w:asciiTheme="minorHAnsi" w:eastAsiaTheme="minorHAnsi" w:hAnsiTheme="minorHAnsi" w:cstheme="minorHAnsi"/>
        </w:rPr>
        <w:t xml:space="preserve">consultation’s </w:t>
      </w:r>
      <w:r w:rsidRPr="00A22583">
        <w:rPr>
          <w:rFonts w:asciiTheme="minorHAnsi" w:eastAsiaTheme="minorHAnsi" w:hAnsiTheme="minorHAnsi" w:cstheme="minorHAnsi"/>
        </w:rPr>
        <w:t xml:space="preserve">patient survey and the finding of the commissioned patient research. In addition to carefully reviewing these responses, we also shared the guidance with </w:t>
      </w:r>
      <w:r w:rsidR="0008242A">
        <w:rPr>
          <w:rFonts w:asciiTheme="minorHAnsi" w:eastAsiaTheme="minorHAnsi" w:hAnsiTheme="minorHAnsi" w:cstheme="minorHAnsi"/>
        </w:rPr>
        <w:t xml:space="preserve">several organisations representing the views of patients, including </w:t>
      </w:r>
      <w:r w:rsidRPr="00A22583">
        <w:rPr>
          <w:rFonts w:asciiTheme="minorHAnsi" w:eastAsiaTheme="minorHAnsi" w:hAnsiTheme="minorHAnsi" w:cstheme="minorHAnsi"/>
        </w:rPr>
        <w:t xml:space="preserve">the patient and lay committee of the Academy of Medical Royal Colleges </w:t>
      </w:r>
      <w:r w:rsidR="00B310AD">
        <w:rPr>
          <w:rFonts w:asciiTheme="minorHAnsi" w:eastAsiaTheme="minorHAnsi" w:hAnsiTheme="minorHAnsi" w:cstheme="minorHAnsi"/>
        </w:rPr>
        <w:t>and</w:t>
      </w:r>
      <w:r w:rsidR="00B310AD" w:rsidRPr="00DE1FCB">
        <w:rPr>
          <w:rFonts w:asciiTheme="minorHAnsi" w:eastAsiaTheme="minorEastAsia" w:hAnsiTheme="minorHAnsi" w:cstheme="minorHAnsi"/>
        </w:rPr>
        <w:t xml:space="preserve"> the Scottish Public Services Ombudsman </w:t>
      </w:r>
      <w:r w:rsidRPr="00A22583">
        <w:rPr>
          <w:rFonts w:asciiTheme="minorHAnsi" w:eastAsiaTheme="minorHAnsi" w:hAnsiTheme="minorHAnsi" w:cstheme="minorHAnsi"/>
        </w:rPr>
        <w:t xml:space="preserve">as </w:t>
      </w:r>
      <w:r w:rsidR="00B310AD">
        <w:rPr>
          <w:rFonts w:asciiTheme="minorHAnsi" w:eastAsiaTheme="minorHAnsi" w:hAnsiTheme="minorHAnsi" w:cstheme="minorHAnsi"/>
        </w:rPr>
        <w:t>both</w:t>
      </w:r>
      <w:r w:rsidRPr="00A22583">
        <w:rPr>
          <w:rFonts w:asciiTheme="minorHAnsi" w:eastAsiaTheme="minorHAnsi" w:hAnsiTheme="minorHAnsi" w:cstheme="minorHAnsi"/>
        </w:rPr>
        <w:t xml:space="preserve"> organisation</w:t>
      </w:r>
      <w:r w:rsidR="00B310AD">
        <w:rPr>
          <w:rFonts w:asciiTheme="minorHAnsi" w:eastAsiaTheme="minorHAnsi" w:hAnsiTheme="minorHAnsi" w:cstheme="minorHAnsi"/>
        </w:rPr>
        <w:t>s</w:t>
      </w:r>
      <w:r w:rsidRPr="00A22583">
        <w:rPr>
          <w:rFonts w:asciiTheme="minorHAnsi" w:eastAsiaTheme="minorHAnsi" w:hAnsiTheme="minorHAnsi" w:cstheme="minorHAnsi"/>
        </w:rPr>
        <w:t xml:space="preserve"> offer an 'expert' patient view </w:t>
      </w:r>
      <w:r w:rsidR="00B310AD">
        <w:rPr>
          <w:rFonts w:asciiTheme="minorHAnsi" w:eastAsiaTheme="minorHAnsi" w:hAnsiTheme="minorHAnsi" w:cstheme="minorHAnsi"/>
        </w:rPr>
        <w:t xml:space="preserve">and had </w:t>
      </w:r>
      <w:r w:rsidRPr="00A22583">
        <w:rPr>
          <w:rFonts w:asciiTheme="minorHAnsi" w:eastAsiaTheme="minorHAnsi" w:hAnsiTheme="minorHAnsi" w:cstheme="minorHAnsi"/>
        </w:rPr>
        <w:t xml:space="preserve">the capacity to respond.   In addition to this, the non-clinical members </w:t>
      </w:r>
      <w:r w:rsidR="00A22583" w:rsidRPr="00A22583">
        <w:rPr>
          <w:rFonts w:asciiTheme="minorHAnsi" w:eastAsiaTheme="minorHAnsi" w:hAnsiTheme="minorHAnsi" w:cstheme="minorHAnsi"/>
        </w:rPr>
        <w:t xml:space="preserve">of SEDIAF </w:t>
      </w:r>
      <w:r w:rsidRPr="00A22583">
        <w:rPr>
          <w:rFonts w:asciiTheme="minorHAnsi" w:eastAsiaTheme="minorHAnsi" w:hAnsiTheme="minorHAnsi" w:cstheme="minorHAnsi"/>
        </w:rPr>
        <w:t xml:space="preserve">were able to give 'expert user' feedback on the potential impact of the draft updated text. </w:t>
      </w:r>
    </w:p>
    <w:p w14:paraId="3CC3B149" w14:textId="77777777" w:rsidR="00367C7C" w:rsidRPr="00367C7C" w:rsidRDefault="00367C7C" w:rsidP="00367C7C">
      <w:pPr>
        <w:pStyle w:val="BodyText1"/>
        <w:ind w:left="720"/>
        <w:rPr>
          <w:rFonts w:asciiTheme="minorHAnsi" w:eastAsiaTheme="minorHAnsi" w:hAnsiTheme="minorHAnsi" w:cstheme="minorHAnsi"/>
        </w:rPr>
      </w:pPr>
    </w:p>
    <w:p w14:paraId="3CDA6470" w14:textId="2EF3131D" w:rsidR="00B310AD" w:rsidRPr="00B310AD" w:rsidRDefault="00B310AD" w:rsidP="00B310AD">
      <w:pPr>
        <w:pStyle w:val="BodyText1"/>
        <w:numPr>
          <w:ilvl w:val="0"/>
          <w:numId w:val="7"/>
        </w:numPr>
        <w:rPr>
          <w:rFonts w:asciiTheme="minorHAnsi" w:eastAsiaTheme="minorHAnsi" w:hAnsiTheme="minorHAnsi" w:cstheme="minorHAnsi"/>
        </w:rPr>
      </w:pPr>
      <w:r w:rsidRPr="00B310AD">
        <w:rPr>
          <w:rFonts w:asciiTheme="minorHAnsi" w:eastAsiaTheme="minorEastAsia" w:hAnsiTheme="minorHAnsi" w:cstheme="minorHAnsi"/>
        </w:rPr>
        <w:t xml:space="preserve">Where it was relevant, we included </w:t>
      </w:r>
      <w:r w:rsidR="00F17AD3">
        <w:rPr>
          <w:rFonts w:asciiTheme="minorHAnsi" w:eastAsiaTheme="minorEastAsia" w:hAnsiTheme="minorHAnsi" w:cstheme="minorHAnsi"/>
        </w:rPr>
        <w:t xml:space="preserve">special interest </w:t>
      </w:r>
      <w:r w:rsidRPr="00B310AD">
        <w:rPr>
          <w:rFonts w:asciiTheme="minorHAnsi" w:eastAsiaTheme="minorEastAsia" w:hAnsiTheme="minorHAnsi" w:cstheme="minorHAnsi"/>
        </w:rPr>
        <w:t xml:space="preserve">organisations in our targeted engagement.  For example, we sent the draft updated text for </w:t>
      </w:r>
      <w:r w:rsidRPr="00B310AD">
        <w:rPr>
          <w:rFonts w:asciiTheme="minorHAnsi" w:eastAsiaTheme="minorEastAsia" w:hAnsiTheme="minorHAnsi" w:cstheme="minorHAnsi"/>
          <w:i/>
          <w:iCs/>
        </w:rPr>
        <w:t>Maintaining boundaries</w:t>
      </w:r>
      <w:r w:rsidRPr="00B310AD">
        <w:rPr>
          <w:rFonts w:asciiTheme="minorHAnsi" w:eastAsiaTheme="minorEastAsia" w:hAnsiTheme="minorHAnsi" w:cstheme="minorHAnsi"/>
        </w:rPr>
        <w:t xml:space="preserve"> and </w:t>
      </w:r>
      <w:r w:rsidRPr="00B310AD">
        <w:rPr>
          <w:rFonts w:asciiTheme="minorHAnsi" w:eastAsiaTheme="minorEastAsia" w:hAnsiTheme="minorHAnsi" w:cstheme="minorHAnsi"/>
          <w:i/>
          <w:iCs/>
        </w:rPr>
        <w:t>Intimate examinations</w:t>
      </w:r>
      <w:r w:rsidRPr="00B310AD">
        <w:rPr>
          <w:rFonts w:asciiTheme="minorHAnsi" w:eastAsiaTheme="minorEastAsia" w:hAnsiTheme="minorHAnsi" w:cstheme="minorHAnsi"/>
        </w:rPr>
        <w:t xml:space="preserve"> to the Survivors Trust and Surviving in Scrubs to capture their views. </w:t>
      </w:r>
    </w:p>
    <w:p w14:paraId="3913B5D6" w14:textId="77777777" w:rsidR="00367C7C" w:rsidRDefault="00367C7C" w:rsidP="00367C7C">
      <w:pPr>
        <w:pStyle w:val="BodyText1"/>
        <w:ind w:left="720"/>
        <w:rPr>
          <w:rFonts w:asciiTheme="minorHAnsi" w:eastAsiaTheme="minorHAnsi" w:hAnsiTheme="minorHAnsi" w:cstheme="minorHAnsi"/>
        </w:rPr>
      </w:pPr>
    </w:p>
    <w:p w14:paraId="74C213A4" w14:textId="413B8B87" w:rsidR="00E00EF4" w:rsidRPr="00E00EF4" w:rsidRDefault="00E00EF4" w:rsidP="00E00EF4">
      <w:pPr>
        <w:pStyle w:val="BodyText1"/>
        <w:numPr>
          <w:ilvl w:val="0"/>
          <w:numId w:val="7"/>
        </w:numPr>
        <w:rPr>
          <w:rFonts w:asciiTheme="minorHAnsi" w:eastAsiaTheme="minorHAnsi" w:hAnsiTheme="minorHAnsi" w:cstheme="minorHAnsi"/>
        </w:rPr>
      </w:pPr>
      <w:r w:rsidRPr="00E00EF4">
        <w:rPr>
          <w:rFonts w:asciiTheme="minorHAnsi" w:eastAsiaTheme="minorHAnsi" w:hAnsiTheme="minorHAnsi" w:cstheme="minorHAnsi"/>
        </w:rPr>
        <w:t>For other key stakeholder</w:t>
      </w:r>
      <w:r w:rsidR="00F20C06">
        <w:rPr>
          <w:rFonts w:asciiTheme="minorHAnsi" w:eastAsiaTheme="minorHAnsi" w:hAnsiTheme="minorHAnsi" w:cstheme="minorHAnsi"/>
        </w:rPr>
        <w:t>s</w:t>
      </w:r>
      <w:r w:rsidRPr="00E00EF4">
        <w:rPr>
          <w:rFonts w:asciiTheme="minorHAnsi" w:eastAsiaTheme="minorHAnsi" w:hAnsiTheme="minorHAnsi" w:cstheme="minorHAnsi"/>
        </w:rPr>
        <w:t>, such as the Professional Standards Authority (‘the PSA’) and other</w:t>
      </w:r>
      <w:r>
        <w:rPr>
          <w:rFonts w:asciiTheme="minorHAnsi" w:eastAsiaTheme="minorHAnsi" w:hAnsiTheme="minorHAnsi" w:cstheme="minorHAnsi"/>
        </w:rPr>
        <w:t xml:space="preserve"> </w:t>
      </w:r>
      <w:r w:rsidRPr="00E00EF4">
        <w:rPr>
          <w:rFonts w:asciiTheme="minorHAnsi" w:eastAsiaTheme="minorHAnsi" w:hAnsiTheme="minorHAnsi" w:cstheme="minorHAnsi"/>
        </w:rPr>
        <w:t>healthcare regulators</w:t>
      </w:r>
      <w:r>
        <w:rPr>
          <w:rFonts w:asciiTheme="minorHAnsi" w:eastAsiaTheme="minorHAnsi" w:hAnsiTheme="minorHAnsi" w:cstheme="minorHAnsi"/>
        </w:rPr>
        <w:t xml:space="preserve"> we shared </w:t>
      </w:r>
      <w:r w:rsidRPr="00B310AD">
        <w:rPr>
          <w:rFonts w:asciiTheme="minorHAnsi" w:eastAsiaTheme="minorHAnsi" w:hAnsiTheme="minorHAnsi" w:cstheme="minorHAnsi"/>
          <w:i/>
          <w:iCs/>
        </w:rPr>
        <w:t>selected</w:t>
      </w:r>
      <w:r>
        <w:rPr>
          <w:rFonts w:asciiTheme="minorHAnsi" w:eastAsiaTheme="minorHAnsi" w:hAnsiTheme="minorHAnsi" w:cstheme="minorHAnsi"/>
        </w:rPr>
        <w:t xml:space="preserve"> pieces of redrafted more detailed guidance</w:t>
      </w:r>
      <w:r w:rsidR="005E06FF">
        <w:rPr>
          <w:rFonts w:asciiTheme="minorHAnsi" w:eastAsiaTheme="minorHAnsi" w:hAnsiTheme="minorHAnsi" w:cstheme="minorHAnsi"/>
        </w:rPr>
        <w:t>, in line with what we understood or anticipated their interests to be</w:t>
      </w:r>
      <w:r>
        <w:rPr>
          <w:rFonts w:asciiTheme="minorHAnsi" w:eastAsiaTheme="minorHAnsi" w:hAnsiTheme="minorHAnsi" w:cstheme="minorHAnsi"/>
        </w:rPr>
        <w:t>.</w:t>
      </w:r>
    </w:p>
    <w:p w14:paraId="0C2330CE" w14:textId="77777777" w:rsidR="00367C7C" w:rsidRDefault="00367C7C" w:rsidP="00367C7C">
      <w:pPr>
        <w:pStyle w:val="BodyText1"/>
        <w:ind w:left="720"/>
        <w:rPr>
          <w:rFonts w:asciiTheme="minorHAnsi" w:eastAsiaTheme="minorHAnsi" w:hAnsiTheme="minorHAnsi" w:cstheme="minorHAnsi"/>
        </w:rPr>
      </w:pPr>
    </w:p>
    <w:p w14:paraId="74EB38AA" w14:textId="4433A3E4" w:rsidR="00AF5DCA" w:rsidRPr="000E0F5F" w:rsidRDefault="00AF5DCA" w:rsidP="00AF5DCA">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In most cases we asked stakeholders about EDI in the following way:</w:t>
      </w:r>
    </w:p>
    <w:p w14:paraId="7EE9BCC0" w14:textId="77777777" w:rsidR="00AF5DCA" w:rsidRPr="000E0F5F" w:rsidRDefault="00AF5DCA" w:rsidP="00AF5DCA">
      <w:pPr>
        <w:pStyle w:val="ListParagraph"/>
        <w:rPr>
          <w:rFonts w:asciiTheme="minorHAnsi" w:eastAsiaTheme="minorHAnsi" w:hAnsiTheme="minorHAnsi" w:cstheme="minorHAnsi"/>
          <w:i/>
          <w:iCs/>
        </w:rPr>
      </w:pPr>
      <w:r w:rsidRPr="000E0F5F">
        <w:rPr>
          <w:rFonts w:asciiTheme="minorHAnsi" w:eastAsiaTheme="minorHAnsi" w:hAnsiTheme="minorHAnsi" w:cstheme="minorHAnsi"/>
          <w:i/>
          <w:iCs/>
        </w:rPr>
        <w:t xml:space="preserve">We are asking for your feedback on changes we’re making to these pieces of guidance, in particular: </w:t>
      </w:r>
    </w:p>
    <w:p w14:paraId="67FB20A3" w14:textId="4B149CEF" w:rsidR="00AF5DCA" w:rsidRPr="000E0F5F" w:rsidRDefault="00AF5DCA" w:rsidP="00BF40EB">
      <w:pPr>
        <w:pStyle w:val="ListParagraph"/>
        <w:numPr>
          <w:ilvl w:val="5"/>
          <w:numId w:val="16"/>
        </w:numPr>
        <w:ind w:left="1418" w:hanging="567"/>
        <w:rPr>
          <w:rFonts w:asciiTheme="minorHAnsi" w:eastAsiaTheme="minorHAnsi" w:hAnsiTheme="minorHAnsi" w:cstheme="minorHAnsi"/>
          <w:i/>
          <w:iCs/>
        </w:rPr>
      </w:pPr>
      <w:r w:rsidRPr="000E0F5F">
        <w:rPr>
          <w:rFonts w:asciiTheme="minorHAnsi" w:eastAsiaTheme="minorHAnsi" w:hAnsiTheme="minorHAnsi" w:cstheme="minorHAnsi"/>
          <w:i/>
          <w:iCs/>
        </w:rPr>
        <w:t xml:space="preserve">Are they clear? </w:t>
      </w:r>
    </w:p>
    <w:p w14:paraId="281FF60B" w14:textId="72992E84" w:rsidR="00AF5DCA" w:rsidRPr="000E0F5F" w:rsidRDefault="00AF5DCA" w:rsidP="00BF40EB">
      <w:pPr>
        <w:pStyle w:val="ListParagraph"/>
        <w:numPr>
          <w:ilvl w:val="5"/>
          <w:numId w:val="16"/>
        </w:numPr>
        <w:ind w:left="1418" w:hanging="567"/>
        <w:rPr>
          <w:rFonts w:asciiTheme="minorHAnsi" w:eastAsiaTheme="minorHAnsi" w:hAnsiTheme="minorHAnsi" w:cstheme="minorHAnsi"/>
          <w:i/>
          <w:iCs/>
        </w:rPr>
      </w:pPr>
      <w:r w:rsidRPr="000E0F5F">
        <w:rPr>
          <w:rFonts w:asciiTheme="minorHAnsi" w:eastAsiaTheme="minorHAnsi" w:hAnsiTheme="minorHAnsi" w:cstheme="minorHAnsi"/>
          <w:i/>
          <w:iCs/>
        </w:rPr>
        <w:t xml:space="preserve">Is the updated content achievable in practice? </w:t>
      </w:r>
    </w:p>
    <w:p w14:paraId="6D2EBBE4" w14:textId="799A7BFB" w:rsidR="00AF5DCA" w:rsidRPr="000E0F5F" w:rsidRDefault="00AF5DCA" w:rsidP="00BF40EB">
      <w:pPr>
        <w:pStyle w:val="ListParagraph"/>
        <w:numPr>
          <w:ilvl w:val="5"/>
          <w:numId w:val="16"/>
        </w:numPr>
        <w:ind w:left="1418" w:hanging="567"/>
        <w:rPr>
          <w:rFonts w:asciiTheme="minorHAnsi" w:eastAsiaTheme="minorHAnsi" w:hAnsiTheme="minorHAnsi" w:cstheme="minorHAnsi"/>
          <w:i/>
          <w:iCs/>
        </w:rPr>
      </w:pPr>
      <w:r w:rsidRPr="000E0F5F">
        <w:rPr>
          <w:rFonts w:asciiTheme="minorHAnsi" w:eastAsiaTheme="minorHAnsi" w:hAnsiTheme="minorHAnsi" w:cstheme="minorHAnsi"/>
          <w:i/>
          <w:iCs/>
        </w:rPr>
        <w:t xml:space="preserve">Can you foresee any unintended impacts, including adverse impacts on groups who share protected characteristics, or more general equality, diversity and inclusion issues that are important to flag?  </w:t>
      </w:r>
    </w:p>
    <w:p w14:paraId="47A953DE" w14:textId="1DCE7F54" w:rsidR="003F6093" w:rsidRPr="000E0F5F" w:rsidRDefault="0099557A" w:rsidP="003F6093">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The lead d</w:t>
      </w:r>
      <w:r w:rsidR="004D01EA" w:rsidRPr="000E0F5F">
        <w:rPr>
          <w:rFonts w:asciiTheme="minorHAnsi" w:eastAsiaTheme="minorHAnsi" w:hAnsiTheme="minorHAnsi" w:cstheme="minorHAnsi"/>
        </w:rPr>
        <w:t xml:space="preserve">rafter for each piece of </w:t>
      </w:r>
      <w:r w:rsidR="00153268">
        <w:rPr>
          <w:rFonts w:asciiTheme="minorHAnsi" w:eastAsiaTheme="minorHAnsi" w:hAnsiTheme="minorHAnsi" w:cstheme="minorHAnsi"/>
        </w:rPr>
        <w:t>more detailed</w:t>
      </w:r>
      <w:r w:rsidR="00153268" w:rsidRPr="000E0F5F">
        <w:rPr>
          <w:rFonts w:asciiTheme="minorHAnsi" w:eastAsiaTheme="minorHAnsi" w:hAnsiTheme="minorHAnsi" w:cstheme="minorHAnsi"/>
        </w:rPr>
        <w:t xml:space="preserve"> </w:t>
      </w:r>
      <w:r w:rsidR="00481C03" w:rsidRPr="000E0F5F">
        <w:rPr>
          <w:rFonts w:asciiTheme="minorHAnsi" w:eastAsiaTheme="minorHAnsi" w:hAnsiTheme="minorHAnsi" w:cstheme="minorHAnsi"/>
        </w:rPr>
        <w:t>guidance</w:t>
      </w:r>
      <w:r w:rsidR="004D01EA" w:rsidRPr="000E0F5F">
        <w:rPr>
          <w:rFonts w:asciiTheme="minorHAnsi" w:eastAsiaTheme="minorHAnsi" w:hAnsiTheme="minorHAnsi" w:cstheme="minorHAnsi"/>
        </w:rPr>
        <w:t xml:space="preserve"> also identified individual organisations </w:t>
      </w:r>
      <w:r w:rsidR="003F6093" w:rsidRPr="000E0F5F">
        <w:rPr>
          <w:rFonts w:asciiTheme="minorHAnsi" w:eastAsiaTheme="minorHAnsi" w:hAnsiTheme="minorHAnsi" w:cstheme="minorHAnsi"/>
        </w:rPr>
        <w:t>and individual</w:t>
      </w:r>
      <w:r w:rsidR="00413087" w:rsidRPr="000E0F5F">
        <w:rPr>
          <w:rFonts w:asciiTheme="minorHAnsi" w:eastAsiaTheme="minorHAnsi" w:hAnsiTheme="minorHAnsi" w:cstheme="minorHAnsi"/>
        </w:rPr>
        <w:t xml:space="preserve"> professionals </w:t>
      </w:r>
      <w:r w:rsidR="004D01EA" w:rsidRPr="000E0F5F">
        <w:rPr>
          <w:rFonts w:asciiTheme="minorHAnsi" w:eastAsiaTheme="minorHAnsi" w:hAnsiTheme="minorHAnsi" w:cstheme="minorHAnsi"/>
        </w:rPr>
        <w:t>to engage with based on their analysis of the issues identified through scoping and consultation.</w:t>
      </w:r>
      <w:r w:rsidR="008D386F">
        <w:rPr>
          <w:rFonts w:asciiTheme="minorHAnsi" w:eastAsiaTheme="minorHAnsi" w:hAnsiTheme="minorHAnsi" w:cstheme="minorHAnsi"/>
        </w:rPr>
        <w:t xml:space="preserve">  For example, the updated draft text </w:t>
      </w:r>
      <w:r w:rsidR="008D386F">
        <w:rPr>
          <w:rFonts w:asciiTheme="minorHAnsi" w:eastAsiaTheme="minorHAnsi" w:hAnsiTheme="minorHAnsi" w:cstheme="minorHAnsi"/>
        </w:rPr>
        <w:lastRenderedPageBreak/>
        <w:t xml:space="preserve">of the </w:t>
      </w:r>
      <w:r w:rsidR="008D386F" w:rsidRPr="008D386F">
        <w:rPr>
          <w:rFonts w:asciiTheme="minorHAnsi" w:eastAsiaTheme="minorHAnsi" w:hAnsiTheme="minorHAnsi" w:cstheme="minorHAnsi"/>
          <w:i/>
          <w:iCs/>
        </w:rPr>
        <w:t xml:space="preserve">Research </w:t>
      </w:r>
      <w:r w:rsidR="008D386F" w:rsidRPr="008D386F">
        <w:rPr>
          <w:rFonts w:asciiTheme="minorHAnsi" w:eastAsiaTheme="minorHAnsi" w:hAnsiTheme="minorHAnsi" w:cstheme="minorHAnsi"/>
        </w:rPr>
        <w:t xml:space="preserve">guidance was shared with </w:t>
      </w:r>
      <w:r w:rsidR="008D386F">
        <w:rPr>
          <w:rFonts w:asciiTheme="minorHAnsi" w:eastAsiaTheme="minorHAnsi" w:hAnsiTheme="minorHAnsi" w:cstheme="minorHAnsi"/>
        </w:rPr>
        <w:t xml:space="preserve">the National Institute for Health and Care Research </w:t>
      </w:r>
      <w:r w:rsidR="008D386F" w:rsidRPr="008D386F">
        <w:rPr>
          <w:rFonts w:asciiTheme="minorHAnsi" w:eastAsiaTheme="minorHAnsi" w:hAnsiTheme="minorHAnsi" w:cstheme="minorHAnsi"/>
        </w:rPr>
        <w:t xml:space="preserve">which has a large community of patients, carers and members of the public who help to shape their research programme (as </w:t>
      </w:r>
      <w:r w:rsidR="008D386F">
        <w:rPr>
          <w:rFonts w:asciiTheme="minorHAnsi" w:eastAsiaTheme="minorHAnsi" w:hAnsiTheme="minorHAnsi" w:cstheme="minorHAnsi"/>
        </w:rPr>
        <w:t>p</w:t>
      </w:r>
      <w:r w:rsidR="008D386F" w:rsidRPr="008D386F">
        <w:rPr>
          <w:rFonts w:asciiTheme="minorHAnsi" w:eastAsiaTheme="minorHAnsi" w:hAnsiTheme="minorHAnsi" w:cstheme="minorHAnsi"/>
        </w:rPr>
        <w:t xml:space="preserve">roposal </w:t>
      </w:r>
      <w:r w:rsidR="008D386F">
        <w:rPr>
          <w:rFonts w:asciiTheme="minorHAnsi" w:eastAsiaTheme="minorHAnsi" w:hAnsiTheme="minorHAnsi" w:cstheme="minorHAnsi"/>
        </w:rPr>
        <w:t xml:space="preserve">and evidence </w:t>
      </w:r>
      <w:r w:rsidR="008D386F" w:rsidRPr="008D386F">
        <w:rPr>
          <w:rFonts w:asciiTheme="minorHAnsi" w:eastAsiaTheme="minorHAnsi" w:hAnsiTheme="minorHAnsi" w:cstheme="minorHAnsi"/>
        </w:rPr>
        <w:t>reviewers</w:t>
      </w:r>
      <w:r w:rsidR="008D386F">
        <w:rPr>
          <w:rFonts w:asciiTheme="minorHAnsi" w:eastAsiaTheme="minorHAnsi" w:hAnsiTheme="minorHAnsi" w:cstheme="minorHAnsi"/>
        </w:rPr>
        <w:t xml:space="preserve"> </w:t>
      </w:r>
      <w:r w:rsidR="008D386F" w:rsidRPr="008D386F">
        <w:rPr>
          <w:rFonts w:asciiTheme="minorHAnsi" w:eastAsiaTheme="minorHAnsi" w:hAnsiTheme="minorHAnsi" w:cstheme="minorHAnsi"/>
        </w:rPr>
        <w:t>and research Champions).</w:t>
      </w:r>
      <w:r w:rsidR="008D386F">
        <w:rPr>
          <w:rFonts w:asciiTheme="minorHAnsi" w:eastAsiaTheme="minorHAnsi" w:hAnsiTheme="minorHAnsi" w:cstheme="minorHAnsi"/>
        </w:rPr>
        <w:t xml:space="preserve">  </w:t>
      </w:r>
    </w:p>
    <w:p w14:paraId="463EAAFD" w14:textId="77777777" w:rsidR="00367C7C" w:rsidRDefault="00367C7C" w:rsidP="00367C7C">
      <w:pPr>
        <w:pStyle w:val="BodyText1"/>
        <w:ind w:left="720"/>
        <w:rPr>
          <w:rFonts w:asciiTheme="minorHAnsi" w:eastAsiaTheme="minorHAnsi" w:hAnsiTheme="minorHAnsi" w:cstheme="minorHAnsi"/>
        </w:rPr>
      </w:pPr>
    </w:p>
    <w:p w14:paraId="18D13EBD" w14:textId="340B383D" w:rsidR="00121C2A" w:rsidRDefault="003F6093" w:rsidP="008803B9">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Although most of the responses were received in written </w:t>
      </w:r>
      <w:r w:rsidR="003C31C9" w:rsidRPr="000E0F5F">
        <w:rPr>
          <w:rFonts w:asciiTheme="minorHAnsi" w:eastAsiaTheme="minorHAnsi" w:hAnsiTheme="minorHAnsi" w:cstheme="minorHAnsi"/>
        </w:rPr>
        <w:t>format,</w:t>
      </w:r>
      <w:r w:rsidRPr="000E0F5F">
        <w:rPr>
          <w:rFonts w:asciiTheme="minorHAnsi" w:eastAsiaTheme="minorHAnsi" w:hAnsiTheme="minorHAnsi" w:cstheme="minorHAnsi"/>
        </w:rPr>
        <w:t xml:space="preserve"> we did </w:t>
      </w:r>
      <w:r w:rsidR="000E5F4C">
        <w:rPr>
          <w:rFonts w:asciiTheme="minorHAnsi" w:eastAsiaTheme="minorHAnsi" w:hAnsiTheme="minorHAnsi" w:cstheme="minorHAnsi"/>
        </w:rPr>
        <w:t>offer in all our communications to meet with s</w:t>
      </w:r>
      <w:r w:rsidRPr="000E0F5F">
        <w:rPr>
          <w:rFonts w:asciiTheme="minorHAnsi" w:eastAsiaTheme="minorHAnsi" w:hAnsiTheme="minorHAnsi" w:cstheme="minorHAnsi"/>
        </w:rPr>
        <w:t>takeholder</w:t>
      </w:r>
      <w:r w:rsidR="00EF1CBE" w:rsidRPr="000E0F5F">
        <w:rPr>
          <w:rFonts w:asciiTheme="minorHAnsi" w:eastAsiaTheme="minorHAnsi" w:hAnsiTheme="minorHAnsi" w:cstheme="minorHAnsi"/>
        </w:rPr>
        <w:t>s</w:t>
      </w:r>
      <w:r w:rsidR="00413087" w:rsidRPr="000E0F5F">
        <w:rPr>
          <w:rFonts w:asciiTheme="minorHAnsi" w:eastAsiaTheme="minorHAnsi" w:hAnsiTheme="minorHAnsi" w:cstheme="minorHAnsi"/>
        </w:rPr>
        <w:t xml:space="preserve"> and professionals</w:t>
      </w:r>
      <w:r w:rsidRPr="000E0F5F">
        <w:rPr>
          <w:rFonts w:asciiTheme="minorHAnsi" w:eastAsiaTheme="minorHAnsi" w:hAnsiTheme="minorHAnsi" w:cstheme="minorHAnsi"/>
        </w:rPr>
        <w:t xml:space="preserve"> to discuss their thoughts on the draft </w:t>
      </w:r>
      <w:r w:rsidR="00153268">
        <w:rPr>
          <w:rFonts w:asciiTheme="minorHAnsi" w:eastAsiaTheme="minorHAnsi" w:hAnsiTheme="minorHAnsi" w:cstheme="minorHAnsi"/>
        </w:rPr>
        <w:t>more detailed</w:t>
      </w:r>
      <w:r w:rsidR="00153268" w:rsidRPr="000E0F5F">
        <w:rPr>
          <w:rFonts w:asciiTheme="minorHAnsi" w:eastAsiaTheme="minorHAnsi" w:hAnsiTheme="minorHAnsi" w:cstheme="minorHAnsi"/>
        </w:rPr>
        <w:t xml:space="preserve"> </w:t>
      </w:r>
      <w:r w:rsidR="00481C03" w:rsidRPr="000E0F5F">
        <w:rPr>
          <w:rFonts w:asciiTheme="minorHAnsi" w:eastAsiaTheme="minorHAnsi" w:hAnsiTheme="minorHAnsi" w:cstheme="minorHAnsi"/>
        </w:rPr>
        <w:t>guidance</w:t>
      </w:r>
      <w:r w:rsidRPr="000E0F5F">
        <w:rPr>
          <w:rFonts w:asciiTheme="minorHAnsi" w:eastAsiaTheme="minorHAnsi" w:hAnsiTheme="minorHAnsi" w:cstheme="minorHAnsi"/>
        </w:rPr>
        <w:t xml:space="preserve">.  </w:t>
      </w:r>
      <w:r w:rsidR="000E5F4C">
        <w:rPr>
          <w:rFonts w:asciiTheme="minorHAnsi" w:eastAsiaTheme="minorHAnsi" w:hAnsiTheme="minorHAnsi" w:cstheme="minorHAnsi"/>
        </w:rPr>
        <w:t xml:space="preserve">Most were happy to respond in writing, but some were keen to talk to us. </w:t>
      </w:r>
      <w:r w:rsidR="00EF1CBE" w:rsidRPr="000E0F5F">
        <w:rPr>
          <w:rFonts w:asciiTheme="minorHAnsi" w:eastAsiaTheme="minorHAnsi" w:hAnsiTheme="minorHAnsi" w:cstheme="minorHAnsi"/>
        </w:rPr>
        <w:t>One of example of this</w:t>
      </w:r>
      <w:r w:rsidR="00AE0DFC" w:rsidRPr="000E0F5F">
        <w:rPr>
          <w:rFonts w:asciiTheme="minorHAnsi" w:eastAsiaTheme="minorHAnsi" w:hAnsiTheme="minorHAnsi" w:cstheme="minorHAnsi"/>
        </w:rPr>
        <w:t xml:space="preserve"> was a telephone meeting that took place with Healthcare Improvement Scotland</w:t>
      </w:r>
      <w:r w:rsidR="00EF1CBE" w:rsidRPr="000E0F5F">
        <w:rPr>
          <w:rFonts w:asciiTheme="minorHAnsi" w:eastAsiaTheme="minorHAnsi" w:hAnsiTheme="minorHAnsi" w:cstheme="minorHAnsi"/>
        </w:rPr>
        <w:t xml:space="preserve"> </w:t>
      </w:r>
      <w:r w:rsidR="00AE0DFC" w:rsidRPr="000E0F5F">
        <w:rPr>
          <w:rFonts w:asciiTheme="minorHAnsi" w:eastAsiaTheme="minorHAnsi" w:hAnsiTheme="minorHAnsi" w:cstheme="minorHAnsi"/>
        </w:rPr>
        <w:t xml:space="preserve">in August to obtain their feedback. </w:t>
      </w:r>
    </w:p>
    <w:p w14:paraId="4969B984" w14:textId="77777777" w:rsidR="00367C7C" w:rsidRDefault="00367C7C" w:rsidP="00367C7C">
      <w:pPr>
        <w:pStyle w:val="BodyText1"/>
        <w:ind w:left="720"/>
        <w:rPr>
          <w:rFonts w:asciiTheme="minorHAnsi" w:eastAsiaTheme="minorHAnsi" w:hAnsiTheme="minorHAnsi" w:cstheme="minorHAnsi"/>
        </w:rPr>
      </w:pPr>
    </w:p>
    <w:p w14:paraId="30A9064E" w14:textId="08DAB54B" w:rsidR="003F6093" w:rsidRPr="000E0F5F" w:rsidRDefault="00EF1CBE" w:rsidP="004D01EA">
      <w:pPr>
        <w:pStyle w:val="BodyText1"/>
        <w:numPr>
          <w:ilvl w:val="0"/>
          <w:numId w:val="7"/>
        </w:numPr>
        <w:rPr>
          <w:rFonts w:asciiTheme="minorHAnsi" w:eastAsiaTheme="minorHAnsi" w:hAnsiTheme="minorHAnsi" w:cstheme="minorHAnsi"/>
        </w:rPr>
      </w:pPr>
      <w:r w:rsidRPr="000E0F5F">
        <w:rPr>
          <w:rFonts w:asciiTheme="minorHAnsi" w:eastAsiaTheme="minorHAnsi" w:hAnsiTheme="minorHAnsi" w:cstheme="minorHAnsi"/>
        </w:rPr>
        <w:t>We also used scheduled meetings to gather feedback</w:t>
      </w:r>
      <w:r w:rsidR="00AF5DCA" w:rsidRPr="000E0F5F">
        <w:rPr>
          <w:rFonts w:asciiTheme="minorHAnsi" w:eastAsiaTheme="minorHAnsi" w:hAnsiTheme="minorHAnsi" w:cstheme="minorHAnsi"/>
        </w:rPr>
        <w:t>, answer questions and listen to views</w:t>
      </w:r>
      <w:r w:rsidRPr="000E0F5F">
        <w:rPr>
          <w:rFonts w:asciiTheme="minorHAnsi" w:eastAsiaTheme="minorHAnsi" w:hAnsiTheme="minorHAnsi" w:cstheme="minorHAnsi"/>
        </w:rPr>
        <w:t xml:space="preserve">. For example, the team used two scheduled meetings </w:t>
      </w:r>
      <w:r w:rsidR="001C0D43" w:rsidRPr="000E0F5F">
        <w:rPr>
          <w:rFonts w:asciiTheme="minorHAnsi" w:eastAsiaTheme="minorHAnsi" w:hAnsiTheme="minorHAnsi" w:cstheme="minorHAnsi"/>
        </w:rPr>
        <w:t xml:space="preserve">in August 2023 </w:t>
      </w:r>
      <w:r w:rsidRPr="000E0F5F">
        <w:rPr>
          <w:rFonts w:asciiTheme="minorHAnsi" w:eastAsiaTheme="minorHAnsi" w:hAnsiTheme="minorHAnsi" w:cstheme="minorHAnsi"/>
        </w:rPr>
        <w:t xml:space="preserve">with Responsible Officers from across the UK to present the proposed changes to </w:t>
      </w:r>
      <w:r w:rsidR="001C0D43" w:rsidRPr="000E0F5F">
        <w:rPr>
          <w:rFonts w:asciiTheme="minorHAnsi" w:eastAsiaTheme="minorHAnsi" w:hAnsiTheme="minorHAnsi" w:cstheme="minorHAnsi"/>
        </w:rPr>
        <w:t>three pieces of</w:t>
      </w:r>
      <w:r w:rsidR="00E00EF4">
        <w:rPr>
          <w:rFonts w:asciiTheme="minorHAnsi" w:eastAsiaTheme="minorHAnsi" w:hAnsiTheme="minorHAnsi" w:cstheme="minorHAnsi"/>
        </w:rPr>
        <w:t xml:space="preserve"> more detailed </w:t>
      </w:r>
      <w:r w:rsidR="00481C03" w:rsidRPr="000E0F5F">
        <w:rPr>
          <w:rFonts w:asciiTheme="minorHAnsi" w:eastAsiaTheme="minorHAnsi" w:hAnsiTheme="minorHAnsi" w:cstheme="minorHAnsi"/>
        </w:rPr>
        <w:t>guidance</w:t>
      </w:r>
      <w:r w:rsidR="00AF5DCA" w:rsidRPr="000E0F5F">
        <w:rPr>
          <w:rFonts w:asciiTheme="minorHAnsi" w:eastAsiaTheme="minorHAnsi" w:hAnsiTheme="minorHAnsi" w:cstheme="minorHAnsi"/>
        </w:rPr>
        <w:t xml:space="preserve">, </w:t>
      </w:r>
      <w:proofErr w:type="gramStart"/>
      <w:r w:rsidR="001C0D43" w:rsidRPr="000E0F5F">
        <w:rPr>
          <w:rFonts w:asciiTheme="minorHAnsi" w:eastAsiaTheme="minorHAnsi" w:hAnsiTheme="minorHAnsi" w:cstheme="minorHAnsi"/>
          <w:i/>
          <w:iCs/>
        </w:rPr>
        <w:t>Social</w:t>
      </w:r>
      <w:proofErr w:type="gramEnd"/>
      <w:r w:rsidR="001C0D43" w:rsidRPr="000E0F5F">
        <w:rPr>
          <w:rFonts w:asciiTheme="minorHAnsi" w:eastAsiaTheme="minorHAnsi" w:hAnsiTheme="minorHAnsi" w:cstheme="minorHAnsi"/>
          <w:i/>
          <w:iCs/>
        </w:rPr>
        <w:t xml:space="preserve"> media</w:t>
      </w:r>
      <w:r w:rsidR="001C0D43" w:rsidRPr="000E0F5F">
        <w:rPr>
          <w:rFonts w:asciiTheme="minorHAnsi" w:eastAsiaTheme="minorHAnsi" w:hAnsiTheme="minorHAnsi" w:cstheme="minorHAnsi"/>
        </w:rPr>
        <w:t xml:space="preserve">, </w:t>
      </w:r>
      <w:r w:rsidR="00AF5DCA" w:rsidRPr="000E0F5F">
        <w:rPr>
          <w:rFonts w:asciiTheme="minorHAnsi" w:eastAsiaTheme="minorHAnsi" w:hAnsiTheme="minorHAnsi" w:cstheme="minorHAnsi"/>
        </w:rPr>
        <w:t>C</w:t>
      </w:r>
      <w:r w:rsidR="001C0D43" w:rsidRPr="000E0F5F">
        <w:rPr>
          <w:rFonts w:asciiTheme="minorHAnsi" w:eastAsiaTheme="minorHAnsi" w:hAnsiTheme="minorHAnsi" w:cstheme="minorHAnsi"/>
          <w:i/>
          <w:iCs/>
        </w:rPr>
        <w:t>onflicts of interest</w:t>
      </w:r>
      <w:r w:rsidR="001C0D43" w:rsidRPr="000E0F5F">
        <w:rPr>
          <w:rFonts w:asciiTheme="minorHAnsi" w:eastAsiaTheme="minorHAnsi" w:hAnsiTheme="minorHAnsi" w:cstheme="minorHAnsi"/>
        </w:rPr>
        <w:t xml:space="preserve"> and </w:t>
      </w:r>
      <w:r w:rsidR="00AF5DCA" w:rsidRPr="004323C6">
        <w:rPr>
          <w:rFonts w:asciiTheme="minorHAnsi" w:eastAsiaTheme="minorHAnsi" w:hAnsiTheme="minorHAnsi" w:cstheme="minorHAnsi"/>
          <w:i/>
          <w:iCs/>
        </w:rPr>
        <w:t>M</w:t>
      </w:r>
      <w:r w:rsidR="001C0D43" w:rsidRPr="000E0F5F">
        <w:rPr>
          <w:rFonts w:asciiTheme="minorHAnsi" w:eastAsiaTheme="minorHAnsi" w:hAnsiTheme="minorHAnsi" w:cstheme="minorHAnsi"/>
          <w:i/>
          <w:iCs/>
        </w:rPr>
        <w:t>aintaining boundaries</w:t>
      </w:r>
      <w:r w:rsidR="00AF5DCA" w:rsidRPr="000E0F5F">
        <w:rPr>
          <w:rFonts w:asciiTheme="minorHAnsi" w:eastAsiaTheme="minorHAnsi" w:hAnsiTheme="minorHAnsi" w:cstheme="minorHAnsi"/>
        </w:rPr>
        <w:t xml:space="preserve">. </w:t>
      </w:r>
      <w:r w:rsidR="003A4E0A" w:rsidRPr="000E0F5F">
        <w:rPr>
          <w:rFonts w:asciiTheme="minorHAnsi" w:eastAsiaTheme="minorHAnsi" w:hAnsiTheme="minorHAnsi" w:cstheme="minorHAnsi"/>
        </w:rPr>
        <w:t xml:space="preserve">Another example of this was the GMC’s regular catch up with the PSA. </w:t>
      </w:r>
    </w:p>
    <w:p w14:paraId="4A07E84E" w14:textId="77777777" w:rsidR="00B72D36" w:rsidRPr="000E0F5F" w:rsidRDefault="00B72D36" w:rsidP="00B72D36">
      <w:pPr>
        <w:pStyle w:val="ListParagraph"/>
        <w:rPr>
          <w:rFonts w:asciiTheme="minorHAnsi" w:eastAsiaTheme="minorHAnsi" w:hAnsiTheme="minorHAnsi" w:cstheme="minorHAnsi"/>
        </w:rPr>
      </w:pPr>
    </w:p>
    <w:p w14:paraId="61D7781E" w14:textId="171BE607" w:rsidR="00B72D36" w:rsidRPr="00F20C06" w:rsidRDefault="00F20C06" w:rsidP="00F20C06">
      <w:pPr>
        <w:pStyle w:val="ListParagraph"/>
        <w:numPr>
          <w:ilvl w:val="0"/>
          <w:numId w:val="7"/>
        </w:numPr>
        <w:rPr>
          <w:rFonts w:asciiTheme="minorHAnsi" w:eastAsiaTheme="minorHAnsi" w:hAnsiTheme="minorHAnsi" w:cstheme="minorHAnsi"/>
        </w:rPr>
      </w:pPr>
      <w:r w:rsidRPr="004323C6">
        <w:rPr>
          <w:rFonts w:asciiTheme="minorHAnsi" w:hAnsiTheme="minorHAnsi" w:cstheme="minorHAnsi"/>
          <w:color w:val="auto"/>
          <w:lang w:eastAsia="en-GB"/>
        </w:rPr>
        <w:t xml:space="preserve"> In view of the</w:t>
      </w:r>
      <w:r w:rsidRPr="00F20C06">
        <w:rPr>
          <w:rFonts w:ascii="Segoe UI" w:hAnsi="Segoe UI" w:cs="Segoe UI"/>
          <w:color w:val="auto"/>
          <w:sz w:val="18"/>
          <w:szCs w:val="18"/>
          <w:lang w:eastAsia="en-GB"/>
        </w:rPr>
        <w:t xml:space="preserve"> </w:t>
      </w:r>
      <w:r w:rsidRPr="00F20C06">
        <w:rPr>
          <w:rFonts w:asciiTheme="minorHAnsi" w:eastAsiaTheme="minorHAnsi" w:hAnsiTheme="minorHAnsi" w:cstheme="minorHAnsi"/>
        </w:rPr>
        <w:t xml:space="preserve">decision to use targeted engagement with expert users of the guidance, we wanted to make sure that within this group we would hear from diverse voices. A key strategy was our engagement with SEDIAF members who we strongly encouraged to take part. </w:t>
      </w:r>
      <w:r w:rsidR="00DE1FCB" w:rsidRPr="00F20C06">
        <w:rPr>
          <w:rFonts w:asciiTheme="minorHAnsi" w:eastAsiaTheme="minorHAnsi" w:hAnsiTheme="minorHAnsi" w:cstheme="minorHAnsi"/>
        </w:rPr>
        <w:t xml:space="preserve"> W</w:t>
      </w:r>
      <w:r w:rsidR="00E00EF4" w:rsidRPr="00F20C06">
        <w:rPr>
          <w:rFonts w:asciiTheme="minorHAnsi" w:eastAsiaTheme="minorHAnsi" w:hAnsiTheme="minorHAnsi" w:cstheme="minorHAnsi"/>
        </w:rPr>
        <w:t xml:space="preserve">e received </w:t>
      </w:r>
      <w:r w:rsidR="00121C2A" w:rsidRPr="00F20C06">
        <w:rPr>
          <w:rFonts w:asciiTheme="minorHAnsi" w:eastAsiaTheme="minorHAnsi" w:hAnsiTheme="minorHAnsi" w:cstheme="minorHAnsi"/>
        </w:rPr>
        <w:t>responses from</w:t>
      </w:r>
      <w:r w:rsidR="00651F71" w:rsidRPr="00F20C06">
        <w:rPr>
          <w:rFonts w:asciiTheme="minorHAnsi" w:eastAsiaTheme="minorHAnsi" w:hAnsiTheme="minorHAnsi" w:cstheme="minorHAnsi"/>
        </w:rPr>
        <w:t xml:space="preserve"> the Christian Medical Federation, GLADD, the Jewish Medical Association UK and the Medical Women’s Foundation.</w:t>
      </w:r>
      <w:r w:rsidR="00AB288D" w:rsidRPr="00F20C06">
        <w:rPr>
          <w:rFonts w:asciiTheme="minorHAnsi" w:eastAsiaTheme="minorHAnsi" w:hAnsiTheme="minorHAnsi" w:cstheme="minorHAnsi"/>
        </w:rPr>
        <w:t xml:space="preserve">  We also presented at a meeting with SEDIAF members on 6 September which related to both the review of </w:t>
      </w:r>
      <w:r w:rsidR="00CB37EA" w:rsidRPr="00F20C06">
        <w:rPr>
          <w:rFonts w:asciiTheme="minorHAnsi" w:eastAsiaTheme="minorHAnsi" w:hAnsiTheme="minorHAnsi" w:cstheme="minorHAnsi"/>
          <w:i/>
          <w:iCs/>
        </w:rPr>
        <w:t>Good medical practice</w:t>
      </w:r>
      <w:r w:rsidR="00CB37EA" w:rsidRPr="00F20C06">
        <w:rPr>
          <w:rFonts w:asciiTheme="minorHAnsi" w:eastAsiaTheme="minorHAnsi" w:hAnsiTheme="minorHAnsi" w:cstheme="minorHAnsi"/>
        </w:rPr>
        <w:t xml:space="preserve"> </w:t>
      </w:r>
      <w:r w:rsidR="00AB288D" w:rsidRPr="00F20C06">
        <w:rPr>
          <w:rFonts w:asciiTheme="minorHAnsi" w:eastAsiaTheme="minorHAnsi" w:hAnsiTheme="minorHAnsi" w:cstheme="minorHAnsi"/>
        </w:rPr>
        <w:t xml:space="preserve">and </w:t>
      </w:r>
      <w:r w:rsidR="00153268" w:rsidRPr="00F20C06">
        <w:rPr>
          <w:rFonts w:asciiTheme="minorHAnsi" w:eastAsiaTheme="minorHAnsi" w:hAnsiTheme="minorHAnsi" w:cstheme="minorHAnsi"/>
        </w:rPr>
        <w:t xml:space="preserve">more detailed </w:t>
      </w:r>
      <w:r w:rsidR="00AB288D" w:rsidRPr="00F20C06">
        <w:rPr>
          <w:rFonts w:asciiTheme="minorHAnsi" w:eastAsiaTheme="minorHAnsi" w:hAnsiTheme="minorHAnsi" w:cstheme="minorHAnsi"/>
        </w:rPr>
        <w:t>guidance</w:t>
      </w:r>
      <w:r w:rsidR="00B72D36" w:rsidRPr="00F20C06">
        <w:rPr>
          <w:rFonts w:asciiTheme="minorHAnsi" w:eastAsiaTheme="minorHAnsi" w:hAnsiTheme="minorHAnsi" w:cstheme="minorHAnsi"/>
        </w:rPr>
        <w:t>.</w:t>
      </w:r>
      <w:r w:rsidR="00AB288D" w:rsidRPr="00F20C06">
        <w:rPr>
          <w:rFonts w:asciiTheme="minorHAnsi" w:eastAsiaTheme="minorHAnsi" w:hAnsiTheme="minorHAnsi" w:cstheme="minorHAnsi"/>
        </w:rPr>
        <w:t xml:space="preserve"> </w:t>
      </w:r>
    </w:p>
    <w:p w14:paraId="04A8B0C3" w14:textId="77777777" w:rsidR="00367C7C" w:rsidRPr="000E0F5F" w:rsidRDefault="00367C7C" w:rsidP="0037233C">
      <w:pPr>
        <w:pStyle w:val="ListParagraph"/>
        <w:rPr>
          <w:rFonts w:asciiTheme="minorHAnsi" w:eastAsiaTheme="minorHAnsi" w:hAnsiTheme="minorHAnsi" w:cstheme="minorHAnsi"/>
        </w:rPr>
      </w:pPr>
    </w:p>
    <w:p w14:paraId="2B40BFA4" w14:textId="029CA73C" w:rsidR="00AF5DCA" w:rsidRPr="000E0F5F" w:rsidRDefault="0037233C" w:rsidP="00DE1FCB">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In some cases, we received acknowledgment</w:t>
      </w:r>
      <w:r w:rsidR="008E0D6D" w:rsidRPr="000E0F5F">
        <w:rPr>
          <w:rFonts w:asciiTheme="minorHAnsi" w:eastAsiaTheme="minorHAnsi" w:hAnsiTheme="minorHAnsi" w:cstheme="minorHAnsi"/>
        </w:rPr>
        <w:t>s</w:t>
      </w:r>
      <w:r w:rsidRPr="000E0F5F">
        <w:rPr>
          <w:rFonts w:asciiTheme="minorHAnsi" w:eastAsiaTheme="minorHAnsi" w:hAnsiTheme="minorHAnsi" w:cstheme="minorHAnsi"/>
        </w:rPr>
        <w:t xml:space="preserve"> from stakeholders who had no specific feedback on the </w:t>
      </w:r>
      <w:r w:rsidR="001C0D43" w:rsidRPr="000E0F5F">
        <w:rPr>
          <w:rFonts w:asciiTheme="minorHAnsi" w:eastAsiaTheme="minorHAnsi" w:hAnsiTheme="minorHAnsi" w:cstheme="minorHAnsi"/>
        </w:rPr>
        <w:t>drafting but</w:t>
      </w:r>
      <w:r w:rsidRPr="000E0F5F">
        <w:rPr>
          <w:rFonts w:asciiTheme="minorHAnsi" w:eastAsiaTheme="minorHAnsi" w:hAnsiTheme="minorHAnsi" w:cstheme="minorHAnsi"/>
        </w:rPr>
        <w:t xml:space="preserve"> wanted to register their thanks and appreciation to us for sending </w:t>
      </w:r>
      <w:r w:rsidR="008E0D6D" w:rsidRPr="000E0F5F">
        <w:rPr>
          <w:rFonts w:asciiTheme="minorHAnsi" w:eastAsiaTheme="minorHAnsi" w:hAnsiTheme="minorHAnsi" w:cstheme="minorHAnsi"/>
        </w:rPr>
        <w:t xml:space="preserve">relevant </w:t>
      </w:r>
      <w:r w:rsidR="00153268">
        <w:rPr>
          <w:rFonts w:asciiTheme="minorHAnsi" w:eastAsiaTheme="minorHAnsi" w:hAnsiTheme="minorHAnsi" w:cstheme="minorHAnsi"/>
        </w:rPr>
        <w:t>pieces of more detailed</w:t>
      </w:r>
      <w:r w:rsidR="00153268" w:rsidRPr="000E0F5F">
        <w:rPr>
          <w:rFonts w:asciiTheme="minorHAnsi" w:eastAsiaTheme="minorHAnsi" w:hAnsiTheme="minorHAnsi" w:cstheme="minorHAnsi"/>
        </w:rPr>
        <w:t xml:space="preserve"> </w:t>
      </w:r>
      <w:r w:rsidRPr="000E0F5F">
        <w:rPr>
          <w:rFonts w:asciiTheme="minorHAnsi" w:eastAsiaTheme="minorHAnsi" w:hAnsiTheme="minorHAnsi" w:cstheme="minorHAnsi"/>
        </w:rPr>
        <w:t xml:space="preserve">guidance to </w:t>
      </w:r>
      <w:bookmarkEnd w:id="3"/>
      <w:r w:rsidRPr="000E0F5F">
        <w:rPr>
          <w:rFonts w:asciiTheme="minorHAnsi" w:eastAsiaTheme="minorHAnsi" w:hAnsiTheme="minorHAnsi" w:cstheme="minorHAnsi"/>
        </w:rPr>
        <w:t>them.</w:t>
      </w:r>
    </w:p>
    <w:p w14:paraId="6E04D177" w14:textId="77777777" w:rsidR="00AF5DCA" w:rsidRPr="000E0F5F" w:rsidRDefault="00AF5DCA" w:rsidP="00AF5DCA">
      <w:pPr>
        <w:pStyle w:val="ListParagraph"/>
        <w:rPr>
          <w:rFonts w:asciiTheme="minorHAnsi" w:eastAsiaTheme="minorHAnsi" w:hAnsiTheme="minorHAnsi" w:cstheme="minorHAnsi"/>
        </w:rPr>
      </w:pPr>
    </w:p>
    <w:p w14:paraId="427D68EA" w14:textId="78A26E6D" w:rsidR="008E0D6D" w:rsidRPr="000E0F5F" w:rsidRDefault="005E650F" w:rsidP="00DE1FCB">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 xml:space="preserve">For certain pieces of </w:t>
      </w:r>
      <w:r w:rsidR="00E7361F">
        <w:rPr>
          <w:rFonts w:asciiTheme="minorHAnsi" w:eastAsiaTheme="minorHAnsi" w:hAnsiTheme="minorHAnsi" w:cstheme="minorHAnsi"/>
        </w:rPr>
        <w:t>more detailed</w:t>
      </w:r>
      <w:r w:rsidR="00E7361F" w:rsidRPr="000E0F5F">
        <w:rPr>
          <w:rFonts w:asciiTheme="minorHAnsi" w:eastAsiaTheme="minorHAnsi" w:hAnsiTheme="minorHAnsi" w:cstheme="minorHAnsi"/>
        </w:rPr>
        <w:t xml:space="preserve"> </w:t>
      </w:r>
      <w:r w:rsidRPr="000E0F5F">
        <w:rPr>
          <w:rFonts w:asciiTheme="minorHAnsi" w:eastAsiaTheme="minorHAnsi" w:hAnsiTheme="minorHAnsi" w:cstheme="minorHAnsi"/>
        </w:rPr>
        <w:t xml:space="preserve">guidance, we </w:t>
      </w:r>
      <w:proofErr w:type="gramStart"/>
      <w:r w:rsidR="006A4A64">
        <w:rPr>
          <w:rFonts w:asciiTheme="minorHAnsi" w:eastAsiaTheme="minorHAnsi" w:hAnsiTheme="minorHAnsi" w:cstheme="minorHAnsi"/>
        </w:rPr>
        <w:t>took</w:t>
      </w:r>
      <w:r w:rsidRPr="000E0F5F">
        <w:rPr>
          <w:rFonts w:asciiTheme="minorHAnsi" w:eastAsiaTheme="minorHAnsi" w:hAnsiTheme="minorHAnsi" w:cstheme="minorHAnsi"/>
        </w:rPr>
        <w:t xml:space="preserve"> action</w:t>
      </w:r>
      <w:proofErr w:type="gramEnd"/>
      <w:r w:rsidRPr="000E0F5F">
        <w:rPr>
          <w:rFonts w:asciiTheme="minorHAnsi" w:eastAsiaTheme="minorHAnsi" w:hAnsiTheme="minorHAnsi" w:cstheme="minorHAnsi"/>
        </w:rPr>
        <w:t xml:space="preserve"> after the targeted engagement period had finished as we had</w:t>
      </w:r>
      <w:r w:rsidR="008E0D6D" w:rsidRPr="000E0F5F">
        <w:rPr>
          <w:rFonts w:asciiTheme="minorHAnsi" w:eastAsiaTheme="minorHAnsi" w:hAnsiTheme="minorHAnsi" w:cstheme="minorHAnsi"/>
        </w:rPr>
        <w:t xml:space="preserve">n’t </w:t>
      </w:r>
      <w:r w:rsidRPr="000E0F5F">
        <w:rPr>
          <w:rFonts w:asciiTheme="minorHAnsi" w:eastAsiaTheme="minorHAnsi" w:hAnsiTheme="minorHAnsi" w:cstheme="minorHAnsi"/>
        </w:rPr>
        <w:t>heard from some significant stakeholders</w:t>
      </w:r>
      <w:r w:rsidR="00AF5DCA" w:rsidRPr="000E0F5F">
        <w:rPr>
          <w:rFonts w:asciiTheme="minorHAnsi" w:eastAsiaTheme="minorHAnsi" w:hAnsiTheme="minorHAnsi" w:cstheme="minorHAnsi"/>
        </w:rPr>
        <w:t xml:space="preserve">. </w:t>
      </w:r>
      <w:r w:rsidR="00AF5DCA" w:rsidRPr="000E0F5F">
        <w:t xml:space="preserve"> </w:t>
      </w:r>
      <w:r w:rsidR="008E0D6D" w:rsidRPr="000E0F5F">
        <w:t>T</w:t>
      </w:r>
      <w:r w:rsidR="008E0D6D" w:rsidRPr="000E0F5F">
        <w:rPr>
          <w:rFonts w:asciiTheme="minorHAnsi" w:eastAsiaTheme="minorHAnsi" w:hAnsiTheme="minorHAnsi" w:cstheme="minorHAnsi"/>
        </w:rPr>
        <w:t xml:space="preserve">his was the case with </w:t>
      </w:r>
      <w:r w:rsidRPr="000E0F5F">
        <w:rPr>
          <w:rFonts w:asciiTheme="minorHAnsi" w:eastAsiaTheme="minorHAnsi" w:hAnsiTheme="minorHAnsi" w:cstheme="minorHAnsi"/>
          <w:i/>
          <w:iCs/>
        </w:rPr>
        <w:t>Delegation and referral</w:t>
      </w:r>
      <w:r w:rsidRPr="000E0F5F">
        <w:rPr>
          <w:rFonts w:asciiTheme="minorHAnsi" w:eastAsiaTheme="minorHAnsi" w:hAnsiTheme="minorHAnsi" w:cstheme="minorHAnsi"/>
        </w:rPr>
        <w:t xml:space="preserve">.  </w:t>
      </w:r>
      <w:r w:rsidR="00AF5DCA" w:rsidRPr="000E0F5F">
        <w:rPr>
          <w:rFonts w:asciiTheme="minorHAnsi" w:eastAsiaTheme="minorHAnsi" w:hAnsiTheme="minorHAnsi" w:cstheme="minorHAnsi"/>
        </w:rPr>
        <w:t>During the engagement period, w</w:t>
      </w:r>
      <w:r w:rsidRPr="000E0F5F">
        <w:rPr>
          <w:rFonts w:asciiTheme="minorHAnsi" w:eastAsiaTheme="minorHAnsi" w:hAnsiTheme="minorHAnsi" w:cstheme="minorHAnsi"/>
        </w:rPr>
        <w:t>e</w:t>
      </w:r>
      <w:r w:rsidR="00AF5DCA" w:rsidRPr="000E0F5F">
        <w:rPr>
          <w:rFonts w:asciiTheme="minorHAnsi" w:eastAsiaTheme="minorHAnsi" w:hAnsiTheme="minorHAnsi" w:cstheme="minorHAnsi"/>
        </w:rPr>
        <w:t xml:space="preserve"> didn’t </w:t>
      </w:r>
      <w:r w:rsidRPr="000E0F5F">
        <w:rPr>
          <w:rFonts w:asciiTheme="minorHAnsi" w:eastAsiaTheme="minorHAnsi" w:hAnsiTheme="minorHAnsi" w:cstheme="minorHAnsi"/>
        </w:rPr>
        <w:t>hear from the body representing Physician Associates (‘PA’s</w:t>
      </w:r>
      <w:r w:rsidR="00DE1FCB">
        <w:rPr>
          <w:rFonts w:asciiTheme="minorHAnsi" w:eastAsiaTheme="minorHAnsi" w:hAnsiTheme="minorHAnsi" w:cstheme="minorHAnsi"/>
        </w:rPr>
        <w:t>’</w:t>
      </w:r>
      <w:r w:rsidRPr="000E0F5F">
        <w:rPr>
          <w:rFonts w:asciiTheme="minorHAnsi" w:eastAsiaTheme="minorHAnsi" w:hAnsiTheme="minorHAnsi" w:cstheme="minorHAnsi"/>
        </w:rPr>
        <w:t xml:space="preserve">) </w:t>
      </w:r>
      <w:r w:rsidR="00AF5DCA" w:rsidRPr="000E0F5F">
        <w:rPr>
          <w:rFonts w:asciiTheme="minorHAnsi" w:eastAsiaTheme="minorHAnsi" w:hAnsiTheme="minorHAnsi" w:cstheme="minorHAnsi"/>
        </w:rPr>
        <w:t xml:space="preserve">or </w:t>
      </w:r>
      <w:r w:rsidRPr="000E0F5F">
        <w:rPr>
          <w:rFonts w:asciiTheme="minorHAnsi" w:eastAsiaTheme="minorHAnsi" w:hAnsiTheme="minorHAnsi" w:cstheme="minorHAnsi"/>
        </w:rPr>
        <w:t>the separate organisation representing Anaesthesia Associates (‘AAs’)</w:t>
      </w:r>
      <w:r w:rsidR="006A4A64">
        <w:rPr>
          <w:rFonts w:asciiTheme="minorHAnsi" w:eastAsiaTheme="minorHAnsi" w:hAnsiTheme="minorHAnsi" w:cstheme="minorHAnsi"/>
        </w:rPr>
        <w:t xml:space="preserve"> but we were aware from previous engagements that the issues covered by the guidance are highly relevant to these groups</w:t>
      </w:r>
      <w:r w:rsidRPr="000E0F5F">
        <w:rPr>
          <w:rFonts w:asciiTheme="minorHAnsi" w:eastAsiaTheme="minorHAnsi" w:hAnsiTheme="minorHAnsi" w:cstheme="minorHAnsi"/>
        </w:rPr>
        <w:t xml:space="preserve">.  </w:t>
      </w:r>
      <w:r w:rsidR="0082181C">
        <w:rPr>
          <w:rFonts w:asciiTheme="minorHAnsi" w:eastAsiaTheme="minorHAnsi" w:hAnsiTheme="minorHAnsi" w:cstheme="minorHAnsi"/>
        </w:rPr>
        <w:t xml:space="preserve">We had also received comprehensive responses to the consultation on </w:t>
      </w:r>
      <w:r w:rsidR="0082181C" w:rsidRPr="004323C6">
        <w:rPr>
          <w:rFonts w:asciiTheme="minorHAnsi" w:eastAsiaTheme="minorHAnsi" w:hAnsiTheme="minorHAnsi" w:cstheme="minorHAnsi"/>
          <w:i/>
          <w:iCs/>
        </w:rPr>
        <w:t xml:space="preserve">Good medical </w:t>
      </w:r>
      <w:r w:rsidR="0082181C" w:rsidRPr="004323C6">
        <w:rPr>
          <w:rFonts w:asciiTheme="minorHAnsi" w:eastAsiaTheme="minorHAnsi" w:hAnsiTheme="minorHAnsi" w:cstheme="minorHAnsi"/>
          <w:i/>
          <w:iCs/>
        </w:rPr>
        <w:lastRenderedPageBreak/>
        <w:t>practice</w:t>
      </w:r>
      <w:r w:rsidR="0082181C">
        <w:rPr>
          <w:rFonts w:asciiTheme="minorHAnsi" w:eastAsiaTheme="minorHAnsi" w:hAnsiTheme="minorHAnsi" w:cstheme="minorHAnsi"/>
        </w:rPr>
        <w:t xml:space="preserve"> from both organisations in 2022, so we knew they wanted to be consulted. The lack of response to the targeted engagement was more than likely to do with time constraints. </w:t>
      </w:r>
    </w:p>
    <w:p w14:paraId="602E9E51" w14:textId="77777777" w:rsidR="008E0D6D" w:rsidRPr="000E0F5F" w:rsidRDefault="008E0D6D" w:rsidP="008E0D6D">
      <w:pPr>
        <w:pStyle w:val="ListParagraph"/>
        <w:rPr>
          <w:rFonts w:asciiTheme="minorHAnsi" w:eastAsiaTheme="minorHAnsi" w:hAnsiTheme="minorHAnsi" w:cstheme="minorHAnsi"/>
        </w:rPr>
      </w:pPr>
    </w:p>
    <w:p w14:paraId="1F77723A" w14:textId="68984675" w:rsidR="00AF5DCA" w:rsidRPr="000E0F5F" w:rsidRDefault="008E0D6D" w:rsidP="00DE1FCB">
      <w:pPr>
        <w:pStyle w:val="ListParagraph"/>
        <w:numPr>
          <w:ilvl w:val="0"/>
          <w:numId w:val="7"/>
        </w:numPr>
        <w:rPr>
          <w:rFonts w:asciiTheme="minorHAnsi" w:eastAsiaTheme="minorHAnsi" w:hAnsiTheme="minorHAnsi" w:cstheme="minorHAnsi"/>
        </w:rPr>
      </w:pPr>
      <w:r w:rsidRPr="000E0F5F">
        <w:rPr>
          <w:rFonts w:asciiTheme="minorHAnsi" w:eastAsiaTheme="minorHAnsi" w:hAnsiTheme="minorHAnsi" w:cstheme="minorHAnsi"/>
        </w:rPr>
        <w:t>To address this gap, w</w:t>
      </w:r>
      <w:r w:rsidR="005E650F" w:rsidRPr="000E0F5F">
        <w:rPr>
          <w:rFonts w:asciiTheme="minorHAnsi" w:eastAsiaTheme="minorHAnsi" w:hAnsiTheme="minorHAnsi" w:cstheme="minorHAnsi"/>
        </w:rPr>
        <w:t>e contact</w:t>
      </w:r>
      <w:r w:rsidR="00AF5DCA" w:rsidRPr="000E0F5F">
        <w:rPr>
          <w:rFonts w:asciiTheme="minorHAnsi" w:eastAsiaTheme="minorHAnsi" w:hAnsiTheme="minorHAnsi" w:cstheme="minorHAnsi"/>
        </w:rPr>
        <w:t>ed</w:t>
      </w:r>
      <w:r w:rsidR="005E650F" w:rsidRPr="000E0F5F">
        <w:rPr>
          <w:rFonts w:asciiTheme="minorHAnsi" w:eastAsiaTheme="minorHAnsi" w:hAnsiTheme="minorHAnsi" w:cstheme="minorHAnsi"/>
        </w:rPr>
        <w:t xml:space="preserve"> </w:t>
      </w:r>
      <w:r w:rsidRPr="000E0F5F">
        <w:rPr>
          <w:rFonts w:asciiTheme="minorHAnsi" w:eastAsiaTheme="minorHAnsi" w:hAnsiTheme="minorHAnsi" w:cstheme="minorHAnsi"/>
        </w:rPr>
        <w:t xml:space="preserve">the PA and AA </w:t>
      </w:r>
      <w:r w:rsidR="00AF5DCA" w:rsidRPr="000E0F5F">
        <w:rPr>
          <w:rFonts w:asciiTheme="minorHAnsi" w:eastAsiaTheme="minorHAnsi" w:hAnsiTheme="minorHAnsi" w:cstheme="minorHAnsi"/>
        </w:rPr>
        <w:t xml:space="preserve">members </w:t>
      </w:r>
      <w:r w:rsidR="005E650F" w:rsidRPr="000E0F5F">
        <w:rPr>
          <w:rFonts w:asciiTheme="minorHAnsi" w:eastAsiaTheme="minorHAnsi" w:hAnsiTheme="minorHAnsi" w:cstheme="minorHAnsi"/>
        </w:rPr>
        <w:t xml:space="preserve">of the </w:t>
      </w:r>
      <w:r w:rsidR="00CB37EA" w:rsidRPr="002F10C6">
        <w:rPr>
          <w:rFonts w:asciiTheme="minorHAnsi" w:eastAsiaTheme="minorHAnsi" w:hAnsiTheme="minorHAnsi" w:cstheme="minorHAnsi"/>
          <w:i/>
          <w:iCs/>
        </w:rPr>
        <w:t>Good medical practice</w:t>
      </w:r>
      <w:r w:rsidR="00CB37EA">
        <w:rPr>
          <w:rFonts w:asciiTheme="minorHAnsi" w:eastAsiaTheme="minorHAnsi" w:hAnsiTheme="minorHAnsi" w:cstheme="minorHAnsi"/>
        </w:rPr>
        <w:t xml:space="preserve"> </w:t>
      </w:r>
      <w:r w:rsidR="005E650F" w:rsidRPr="000E0F5F">
        <w:rPr>
          <w:rFonts w:asciiTheme="minorHAnsi" w:eastAsiaTheme="minorHAnsi" w:hAnsiTheme="minorHAnsi" w:cstheme="minorHAnsi"/>
        </w:rPr>
        <w:t xml:space="preserve">Advisory Forum.  With their help we arranged a </w:t>
      </w:r>
      <w:r w:rsidRPr="000E0F5F">
        <w:rPr>
          <w:rFonts w:asciiTheme="minorHAnsi" w:eastAsiaTheme="minorHAnsi" w:hAnsiTheme="minorHAnsi" w:cstheme="minorHAnsi"/>
        </w:rPr>
        <w:t xml:space="preserve">bespoke </w:t>
      </w:r>
      <w:r w:rsidR="005E650F" w:rsidRPr="000E0F5F">
        <w:rPr>
          <w:rFonts w:asciiTheme="minorHAnsi" w:eastAsiaTheme="minorHAnsi" w:hAnsiTheme="minorHAnsi" w:cstheme="minorHAnsi"/>
        </w:rPr>
        <w:t>workshop</w:t>
      </w:r>
      <w:r w:rsidRPr="000E0F5F">
        <w:rPr>
          <w:rFonts w:asciiTheme="minorHAnsi" w:eastAsiaTheme="minorHAnsi" w:hAnsiTheme="minorHAnsi" w:cstheme="minorHAnsi"/>
        </w:rPr>
        <w:t xml:space="preserve">, and we were pleased that eight </w:t>
      </w:r>
      <w:r w:rsidR="005E650F" w:rsidRPr="000E0F5F">
        <w:rPr>
          <w:rFonts w:asciiTheme="minorHAnsi" w:eastAsiaTheme="minorHAnsi" w:hAnsiTheme="minorHAnsi" w:cstheme="minorHAnsi"/>
        </w:rPr>
        <w:t>P</w:t>
      </w:r>
      <w:r w:rsidR="00AF5DCA" w:rsidRPr="000E0F5F">
        <w:rPr>
          <w:rFonts w:asciiTheme="minorHAnsi" w:eastAsiaTheme="minorHAnsi" w:hAnsiTheme="minorHAnsi" w:cstheme="minorHAnsi"/>
        </w:rPr>
        <w:t>As</w:t>
      </w:r>
      <w:r w:rsidR="005E650F" w:rsidRPr="000E0F5F">
        <w:rPr>
          <w:rFonts w:asciiTheme="minorHAnsi" w:eastAsiaTheme="minorHAnsi" w:hAnsiTheme="minorHAnsi" w:cstheme="minorHAnsi"/>
        </w:rPr>
        <w:t xml:space="preserve"> </w:t>
      </w:r>
      <w:r w:rsidRPr="000E0F5F">
        <w:rPr>
          <w:rFonts w:asciiTheme="minorHAnsi" w:eastAsiaTheme="minorHAnsi" w:hAnsiTheme="minorHAnsi" w:cstheme="minorHAnsi"/>
        </w:rPr>
        <w:t xml:space="preserve">across different specialties and from primary and secondary care were in attendance </w:t>
      </w:r>
      <w:r w:rsidR="00AF5DCA" w:rsidRPr="000E0F5F">
        <w:rPr>
          <w:rFonts w:asciiTheme="minorHAnsi" w:eastAsiaTheme="minorHAnsi" w:hAnsiTheme="minorHAnsi" w:cstheme="minorHAnsi"/>
        </w:rPr>
        <w:t>a</w:t>
      </w:r>
      <w:r w:rsidRPr="000E0F5F">
        <w:rPr>
          <w:rFonts w:asciiTheme="minorHAnsi" w:eastAsiaTheme="minorHAnsi" w:hAnsiTheme="minorHAnsi" w:cstheme="minorHAnsi"/>
        </w:rPr>
        <w:t xml:space="preserve">long with </w:t>
      </w:r>
      <w:r w:rsidR="00AF5DCA" w:rsidRPr="000E0F5F">
        <w:rPr>
          <w:rFonts w:asciiTheme="minorHAnsi" w:eastAsiaTheme="minorHAnsi" w:hAnsiTheme="minorHAnsi" w:cstheme="minorHAnsi"/>
        </w:rPr>
        <w:t>f</w:t>
      </w:r>
      <w:r w:rsidRPr="000E0F5F">
        <w:rPr>
          <w:rFonts w:asciiTheme="minorHAnsi" w:eastAsiaTheme="minorHAnsi" w:hAnsiTheme="minorHAnsi" w:cstheme="minorHAnsi"/>
        </w:rPr>
        <w:t>our</w:t>
      </w:r>
      <w:r w:rsidR="00AF5DCA" w:rsidRPr="000E0F5F">
        <w:rPr>
          <w:rFonts w:asciiTheme="minorHAnsi" w:eastAsiaTheme="minorHAnsi" w:hAnsiTheme="minorHAnsi" w:cstheme="minorHAnsi"/>
        </w:rPr>
        <w:t xml:space="preserve"> AAs</w:t>
      </w:r>
      <w:r w:rsidRPr="000E0F5F">
        <w:rPr>
          <w:rFonts w:asciiTheme="minorHAnsi" w:eastAsiaTheme="minorHAnsi" w:hAnsiTheme="minorHAnsi" w:cstheme="minorHAnsi"/>
        </w:rPr>
        <w:t xml:space="preserve">.  All the participants had varied levels of experience and worked across the UK. They all </w:t>
      </w:r>
      <w:r w:rsidR="00AF5DCA" w:rsidRPr="000E0F5F">
        <w:rPr>
          <w:rFonts w:asciiTheme="minorHAnsi" w:eastAsiaTheme="minorHAnsi" w:hAnsiTheme="minorHAnsi" w:cstheme="minorHAnsi"/>
        </w:rPr>
        <w:t>contributed to discussion about the draft</w:t>
      </w:r>
      <w:r w:rsidR="00367C7C">
        <w:rPr>
          <w:rFonts w:asciiTheme="minorHAnsi" w:eastAsiaTheme="minorHAnsi" w:hAnsiTheme="minorHAnsi" w:cstheme="minorHAnsi"/>
        </w:rPr>
        <w:t xml:space="preserve"> updated text</w:t>
      </w:r>
      <w:r w:rsidR="00AF5DCA" w:rsidRPr="000E0F5F">
        <w:rPr>
          <w:rFonts w:asciiTheme="minorHAnsi" w:eastAsiaTheme="minorHAnsi" w:hAnsiTheme="minorHAnsi" w:cstheme="minorHAnsi"/>
        </w:rPr>
        <w:t xml:space="preserve"> and </w:t>
      </w:r>
      <w:r w:rsidR="00367C7C">
        <w:rPr>
          <w:rFonts w:asciiTheme="minorHAnsi" w:eastAsiaTheme="minorHAnsi" w:hAnsiTheme="minorHAnsi" w:cstheme="minorHAnsi"/>
        </w:rPr>
        <w:t xml:space="preserve">provided </w:t>
      </w:r>
      <w:r w:rsidR="00AF5DCA" w:rsidRPr="000E0F5F">
        <w:rPr>
          <w:rFonts w:asciiTheme="minorHAnsi" w:eastAsiaTheme="minorHAnsi" w:hAnsiTheme="minorHAnsi" w:cstheme="minorHAnsi"/>
        </w:rPr>
        <w:t>valuable insight</w:t>
      </w:r>
      <w:r w:rsidRPr="000E0F5F">
        <w:rPr>
          <w:rFonts w:asciiTheme="minorHAnsi" w:eastAsiaTheme="minorHAnsi" w:hAnsiTheme="minorHAnsi" w:cstheme="minorHAnsi"/>
        </w:rPr>
        <w:t>s</w:t>
      </w:r>
      <w:r w:rsidR="00AF5DCA" w:rsidRPr="000E0F5F">
        <w:rPr>
          <w:rFonts w:asciiTheme="minorHAnsi" w:eastAsiaTheme="minorHAnsi" w:hAnsiTheme="minorHAnsi" w:cstheme="minorHAnsi"/>
        </w:rPr>
        <w:t>.</w:t>
      </w:r>
    </w:p>
    <w:p w14:paraId="09CF7CFB" w14:textId="0DAAB9E9" w:rsidR="005000A4" w:rsidRDefault="005000A4" w:rsidP="000576F5">
      <w:pPr>
        <w:pStyle w:val="Heading1"/>
      </w:pPr>
      <w:r w:rsidRPr="00C91128">
        <w:t xml:space="preserve">Analysis of </w:t>
      </w:r>
      <w:r w:rsidR="000576F5">
        <w:t>EDI issues</w:t>
      </w:r>
    </w:p>
    <w:p w14:paraId="65AA6BCE" w14:textId="77777777" w:rsidR="00AD7836" w:rsidRDefault="00AD7836" w:rsidP="00AD7836">
      <w:pPr>
        <w:pStyle w:val="Heading3"/>
      </w:pPr>
      <w:r>
        <w:t xml:space="preserve">Prior to the </w:t>
      </w:r>
      <w:r w:rsidRPr="000E0F5F">
        <w:t>targeted engagement</w:t>
      </w:r>
    </w:p>
    <w:p w14:paraId="55F6BDD0" w14:textId="77777777" w:rsidR="00AD7836" w:rsidRPr="0048074F" w:rsidRDefault="00AD7836" w:rsidP="00AD7836">
      <w:pPr>
        <w:pStyle w:val="ListParagraph"/>
        <w:rPr>
          <w:rFonts w:asciiTheme="minorHAnsi" w:hAnsiTheme="minorHAnsi" w:cstheme="minorHAnsi"/>
        </w:rPr>
      </w:pPr>
    </w:p>
    <w:p w14:paraId="43F95FC7" w14:textId="1570FEE1" w:rsidR="00AD7836" w:rsidRDefault="00AD7836" w:rsidP="00DE1FCB">
      <w:pPr>
        <w:pStyle w:val="ListParagraph"/>
        <w:numPr>
          <w:ilvl w:val="0"/>
          <w:numId w:val="7"/>
        </w:numPr>
        <w:rPr>
          <w:rFonts w:asciiTheme="minorHAnsi" w:hAnsiTheme="minorHAnsi" w:cstheme="minorHAnsi"/>
        </w:rPr>
      </w:pPr>
      <w:bookmarkStart w:id="5" w:name="_Hlk149170874"/>
      <w:r w:rsidRPr="00AD7836">
        <w:rPr>
          <w:rFonts w:asciiTheme="minorHAnsi" w:hAnsiTheme="minorHAnsi" w:cstheme="minorHAnsi"/>
        </w:rPr>
        <w:t xml:space="preserve">Prior to the targeted engagement </w:t>
      </w:r>
      <w:bookmarkEnd w:id="5"/>
      <w:r w:rsidRPr="00AD7836">
        <w:rPr>
          <w:rFonts w:asciiTheme="minorHAnsi" w:hAnsiTheme="minorHAnsi" w:cstheme="minorHAnsi"/>
        </w:rPr>
        <w:t xml:space="preserve">(in approximately June-July 2023) </w:t>
      </w:r>
      <w:r w:rsidR="00DE1FCB">
        <w:rPr>
          <w:rFonts w:asciiTheme="minorHAnsi" w:hAnsiTheme="minorHAnsi" w:cstheme="minorHAnsi"/>
        </w:rPr>
        <w:t xml:space="preserve">we </w:t>
      </w:r>
      <w:r w:rsidR="00532820">
        <w:rPr>
          <w:rFonts w:asciiTheme="minorHAnsi" w:hAnsiTheme="minorHAnsi" w:cstheme="minorHAnsi"/>
        </w:rPr>
        <w:t>created a table</w:t>
      </w:r>
      <w:r w:rsidRPr="00AD7836">
        <w:rPr>
          <w:rFonts w:asciiTheme="minorHAnsi" w:hAnsiTheme="minorHAnsi" w:cstheme="minorHAnsi"/>
        </w:rPr>
        <w:t xml:space="preserve"> </w:t>
      </w:r>
      <w:r w:rsidR="00532820">
        <w:rPr>
          <w:rFonts w:asciiTheme="minorHAnsi" w:hAnsiTheme="minorHAnsi" w:cstheme="minorHAnsi"/>
        </w:rPr>
        <w:t xml:space="preserve">containing </w:t>
      </w:r>
      <w:r w:rsidRPr="00AD7836">
        <w:rPr>
          <w:rFonts w:asciiTheme="minorHAnsi" w:hAnsiTheme="minorHAnsi" w:cstheme="minorHAnsi"/>
        </w:rPr>
        <w:t xml:space="preserve">all </w:t>
      </w:r>
      <w:r w:rsidRPr="00AD7836">
        <w:rPr>
          <w:rFonts w:asciiTheme="minorHAnsi" w:hAnsiTheme="minorHAnsi" w:cstheme="minorHAnsi"/>
          <w:i/>
          <w:iCs/>
        </w:rPr>
        <w:t>po</w:t>
      </w:r>
      <w:r w:rsidR="00532820">
        <w:rPr>
          <w:rFonts w:asciiTheme="minorHAnsi" w:hAnsiTheme="minorHAnsi" w:cstheme="minorHAnsi"/>
          <w:i/>
          <w:iCs/>
        </w:rPr>
        <w:t xml:space="preserve">tential </w:t>
      </w:r>
      <w:r w:rsidRPr="00AD7836">
        <w:rPr>
          <w:rFonts w:asciiTheme="minorHAnsi" w:hAnsiTheme="minorHAnsi" w:cstheme="minorHAnsi"/>
        </w:rPr>
        <w:t>EDI issues</w:t>
      </w:r>
      <w:r w:rsidR="00532820">
        <w:rPr>
          <w:rFonts w:asciiTheme="minorHAnsi" w:hAnsiTheme="minorHAnsi" w:cstheme="minorHAnsi"/>
        </w:rPr>
        <w:t xml:space="preserve"> that could be envisaged at that time</w:t>
      </w:r>
      <w:r w:rsidRPr="00AD7836">
        <w:rPr>
          <w:rFonts w:asciiTheme="minorHAnsi" w:hAnsiTheme="minorHAnsi" w:cstheme="minorHAnsi"/>
        </w:rPr>
        <w:t xml:space="preserve">.  The references to paragraphs within the drafts of </w:t>
      </w:r>
      <w:r w:rsidR="00DE1FCB">
        <w:rPr>
          <w:rFonts w:asciiTheme="minorHAnsi" w:hAnsiTheme="minorHAnsi" w:cstheme="minorHAnsi"/>
        </w:rPr>
        <w:t xml:space="preserve">more detailed </w:t>
      </w:r>
      <w:r w:rsidRPr="00AD7836">
        <w:rPr>
          <w:rFonts w:asciiTheme="minorHAnsi" w:hAnsiTheme="minorHAnsi" w:cstheme="minorHAnsi"/>
        </w:rPr>
        <w:t>guidance relate to the versions at that time July 2023.</w:t>
      </w:r>
    </w:p>
    <w:p w14:paraId="085F5A0E" w14:textId="77777777" w:rsidR="00AD7836" w:rsidRPr="00C91128" w:rsidRDefault="00AD7836" w:rsidP="00AD7836">
      <w:pPr>
        <w:pStyle w:val="Heading3"/>
      </w:pPr>
      <w:r>
        <w:t xml:space="preserve">Following the targeted engagement </w:t>
      </w:r>
    </w:p>
    <w:p w14:paraId="3849F596" w14:textId="77777777" w:rsidR="00AD7836" w:rsidRDefault="00AD7836" w:rsidP="00AD7836">
      <w:pPr>
        <w:pStyle w:val="ListParagraph"/>
        <w:ind w:left="851"/>
        <w:rPr>
          <w:rFonts w:asciiTheme="minorHAnsi" w:hAnsiTheme="minorHAnsi" w:cstheme="minorHAnsi"/>
        </w:rPr>
      </w:pPr>
    </w:p>
    <w:p w14:paraId="3307EAE8" w14:textId="4CEF6D1D" w:rsidR="00454AF9" w:rsidRDefault="00532820" w:rsidP="00103879">
      <w:pPr>
        <w:pStyle w:val="ListParagraph"/>
        <w:numPr>
          <w:ilvl w:val="0"/>
          <w:numId w:val="7"/>
        </w:numPr>
        <w:ind w:left="851"/>
        <w:rPr>
          <w:rFonts w:asciiTheme="minorHAnsi" w:hAnsiTheme="minorHAnsi" w:cstheme="minorHAnsi"/>
        </w:rPr>
      </w:pPr>
      <w:r w:rsidRPr="00367C7C">
        <w:rPr>
          <w:rFonts w:asciiTheme="minorHAnsi" w:hAnsiTheme="minorHAnsi" w:cstheme="minorHAnsi"/>
        </w:rPr>
        <w:t>When the targeted engagement was closed at the end of August 2023, t</w:t>
      </w:r>
      <w:r w:rsidR="00AD7836" w:rsidRPr="00367C7C">
        <w:rPr>
          <w:rFonts w:asciiTheme="minorHAnsi" w:hAnsiTheme="minorHAnsi" w:cstheme="minorHAnsi"/>
        </w:rPr>
        <w:t xml:space="preserve">he team </w:t>
      </w:r>
      <w:r w:rsidRPr="00367C7C">
        <w:rPr>
          <w:rFonts w:asciiTheme="minorHAnsi" w:hAnsiTheme="minorHAnsi" w:cstheme="minorHAnsi"/>
        </w:rPr>
        <w:t xml:space="preserve">then </w:t>
      </w:r>
      <w:r w:rsidR="00AD7836" w:rsidRPr="00367C7C">
        <w:rPr>
          <w:rFonts w:asciiTheme="minorHAnsi" w:hAnsiTheme="minorHAnsi" w:cstheme="minorHAnsi"/>
        </w:rPr>
        <w:t>reviewed the f</w:t>
      </w:r>
      <w:r w:rsidR="0048074F" w:rsidRPr="00367C7C">
        <w:rPr>
          <w:rFonts w:asciiTheme="minorHAnsi" w:hAnsiTheme="minorHAnsi" w:cstheme="minorHAnsi"/>
        </w:rPr>
        <w:t xml:space="preserve">eedback </w:t>
      </w:r>
      <w:r w:rsidRPr="00367C7C">
        <w:rPr>
          <w:rFonts w:asciiTheme="minorHAnsi" w:hAnsiTheme="minorHAnsi" w:cstheme="minorHAnsi"/>
        </w:rPr>
        <w:t>received a</w:t>
      </w:r>
      <w:r w:rsidR="00AD7836" w:rsidRPr="00367C7C">
        <w:rPr>
          <w:rFonts w:asciiTheme="minorHAnsi" w:hAnsiTheme="minorHAnsi" w:cstheme="minorHAnsi"/>
        </w:rPr>
        <w:t xml:space="preserve">nd </w:t>
      </w:r>
      <w:r w:rsidRPr="00367C7C">
        <w:rPr>
          <w:rFonts w:asciiTheme="minorHAnsi" w:hAnsiTheme="minorHAnsi" w:cstheme="minorHAnsi"/>
        </w:rPr>
        <w:t>added</w:t>
      </w:r>
      <w:r w:rsidR="006A4A64" w:rsidRPr="00367C7C">
        <w:rPr>
          <w:rFonts w:asciiTheme="minorHAnsi" w:hAnsiTheme="minorHAnsi" w:cstheme="minorHAnsi"/>
        </w:rPr>
        <w:t xml:space="preserve"> any</w:t>
      </w:r>
      <w:r w:rsidRPr="00367C7C">
        <w:rPr>
          <w:rFonts w:asciiTheme="minorHAnsi" w:hAnsiTheme="minorHAnsi" w:cstheme="minorHAnsi"/>
        </w:rPr>
        <w:t xml:space="preserve"> </w:t>
      </w:r>
      <w:r w:rsidR="00AD7836" w:rsidRPr="00367C7C">
        <w:rPr>
          <w:rFonts w:asciiTheme="minorHAnsi" w:hAnsiTheme="minorHAnsi" w:cstheme="minorHAnsi"/>
          <w:b/>
          <w:bCs/>
        </w:rPr>
        <w:t>new</w:t>
      </w:r>
      <w:r w:rsidR="00AD7836" w:rsidRPr="00367C7C">
        <w:rPr>
          <w:rFonts w:asciiTheme="minorHAnsi" w:hAnsiTheme="minorHAnsi" w:cstheme="minorHAnsi"/>
        </w:rPr>
        <w:t xml:space="preserve"> EDI issues </w:t>
      </w:r>
      <w:r w:rsidRPr="00367C7C">
        <w:rPr>
          <w:rFonts w:asciiTheme="minorHAnsi" w:hAnsiTheme="minorHAnsi" w:cstheme="minorHAnsi"/>
        </w:rPr>
        <w:t xml:space="preserve">to </w:t>
      </w:r>
      <w:r w:rsidR="00AD7836" w:rsidRPr="00367C7C">
        <w:rPr>
          <w:rFonts w:asciiTheme="minorHAnsi" w:hAnsiTheme="minorHAnsi" w:cstheme="minorHAnsi"/>
        </w:rPr>
        <w:t xml:space="preserve">the </w:t>
      </w:r>
      <w:r w:rsidRPr="00367C7C">
        <w:rPr>
          <w:rFonts w:asciiTheme="minorHAnsi" w:hAnsiTheme="minorHAnsi" w:cstheme="minorHAnsi"/>
        </w:rPr>
        <w:t>table</w:t>
      </w:r>
      <w:r w:rsidR="00367C7C" w:rsidRPr="00367C7C">
        <w:rPr>
          <w:rFonts w:asciiTheme="minorHAnsi" w:hAnsiTheme="minorHAnsi" w:cstheme="minorHAnsi"/>
        </w:rPr>
        <w:t xml:space="preserve"> from </w:t>
      </w:r>
      <w:r w:rsidR="00367C7C">
        <w:rPr>
          <w:rFonts w:asciiTheme="minorHAnsi" w:hAnsiTheme="minorHAnsi" w:cstheme="minorHAnsi"/>
        </w:rPr>
        <w:t xml:space="preserve">both </w:t>
      </w:r>
      <w:r w:rsidR="00367C7C" w:rsidRPr="00367C7C">
        <w:rPr>
          <w:rFonts w:asciiTheme="minorHAnsi" w:hAnsiTheme="minorHAnsi" w:cstheme="minorHAnsi"/>
        </w:rPr>
        <w:t xml:space="preserve">the </w:t>
      </w:r>
      <w:r w:rsidR="00AD7836" w:rsidRPr="00367C7C">
        <w:rPr>
          <w:rFonts w:asciiTheme="minorHAnsi" w:hAnsiTheme="minorHAnsi" w:cstheme="minorHAnsi"/>
        </w:rPr>
        <w:t xml:space="preserve">emailed responses received and </w:t>
      </w:r>
      <w:r w:rsidR="00367C7C">
        <w:rPr>
          <w:rFonts w:asciiTheme="minorHAnsi" w:hAnsiTheme="minorHAnsi" w:cstheme="minorHAnsi"/>
        </w:rPr>
        <w:t xml:space="preserve">from relevant points </w:t>
      </w:r>
      <w:r w:rsidRPr="00367C7C">
        <w:rPr>
          <w:rFonts w:asciiTheme="minorHAnsi" w:hAnsiTheme="minorHAnsi" w:cstheme="minorHAnsi"/>
        </w:rPr>
        <w:t xml:space="preserve">made during </w:t>
      </w:r>
      <w:r w:rsidR="00AD7836" w:rsidRPr="00367C7C">
        <w:rPr>
          <w:rFonts w:asciiTheme="minorHAnsi" w:hAnsiTheme="minorHAnsi" w:cstheme="minorHAnsi"/>
        </w:rPr>
        <w:t>meetings</w:t>
      </w:r>
      <w:r w:rsidR="00367C7C" w:rsidRPr="00367C7C">
        <w:rPr>
          <w:rFonts w:asciiTheme="minorHAnsi" w:hAnsiTheme="minorHAnsi" w:cstheme="minorHAnsi"/>
        </w:rPr>
        <w:t>.</w:t>
      </w:r>
    </w:p>
    <w:p w14:paraId="3A81DF70" w14:textId="77777777" w:rsidR="00367C7C" w:rsidRPr="00367C7C" w:rsidRDefault="00367C7C" w:rsidP="00367C7C">
      <w:pPr>
        <w:pStyle w:val="ListParagraph"/>
        <w:ind w:left="851"/>
        <w:rPr>
          <w:rFonts w:asciiTheme="minorHAnsi" w:hAnsiTheme="minorHAnsi" w:cstheme="minorHAnsi"/>
        </w:rPr>
      </w:pPr>
    </w:p>
    <w:p w14:paraId="3410BAC1" w14:textId="5417B809" w:rsidR="00454AF9" w:rsidRDefault="00454AF9" w:rsidP="00DE1FCB">
      <w:pPr>
        <w:pStyle w:val="ListParagraph"/>
        <w:numPr>
          <w:ilvl w:val="0"/>
          <w:numId w:val="7"/>
        </w:numPr>
        <w:rPr>
          <w:rFonts w:asciiTheme="minorHAnsi" w:hAnsiTheme="minorHAnsi" w:cstheme="minorHAnsi"/>
        </w:rPr>
      </w:pPr>
      <w:r w:rsidRPr="000E0F5F">
        <w:rPr>
          <w:rFonts w:asciiTheme="minorHAnsi" w:eastAsiaTheme="minorHAnsi" w:hAnsiTheme="minorHAnsi" w:cstheme="minorHAnsi"/>
        </w:rPr>
        <w:t xml:space="preserve">The lead drafter </w:t>
      </w:r>
      <w:r>
        <w:rPr>
          <w:rFonts w:asciiTheme="minorHAnsi" w:hAnsiTheme="minorHAnsi" w:cstheme="minorHAnsi"/>
        </w:rPr>
        <w:t xml:space="preserve">then went back to </w:t>
      </w:r>
      <w:r w:rsidR="00532820">
        <w:rPr>
          <w:rFonts w:asciiTheme="minorHAnsi" w:hAnsiTheme="minorHAnsi" w:cstheme="minorHAnsi"/>
        </w:rPr>
        <w:t xml:space="preserve">review the </w:t>
      </w:r>
      <w:r>
        <w:rPr>
          <w:rFonts w:asciiTheme="minorHAnsi" w:hAnsiTheme="minorHAnsi" w:cstheme="minorHAnsi"/>
        </w:rPr>
        <w:t>po</w:t>
      </w:r>
      <w:r w:rsidR="00532820">
        <w:rPr>
          <w:rFonts w:asciiTheme="minorHAnsi" w:hAnsiTheme="minorHAnsi" w:cstheme="minorHAnsi"/>
        </w:rPr>
        <w:t xml:space="preserve">tential </w:t>
      </w:r>
      <w:r>
        <w:rPr>
          <w:rFonts w:asciiTheme="minorHAnsi" w:hAnsiTheme="minorHAnsi" w:cstheme="minorHAnsi"/>
        </w:rPr>
        <w:t xml:space="preserve">EDI issues for their </w:t>
      </w:r>
      <w:r w:rsidR="00DE1FCB">
        <w:rPr>
          <w:rFonts w:asciiTheme="minorHAnsi" w:hAnsiTheme="minorHAnsi" w:cstheme="minorHAnsi"/>
        </w:rPr>
        <w:t xml:space="preserve">more detailed </w:t>
      </w:r>
      <w:r>
        <w:rPr>
          <w:rFonts w:asciiTheme="minorHAnsi" w:hAnsiTheme="minorHAnsi" w:cstheme="minorHAnsi"/>
        </w:rPr>
        <w:t>guidance</w:t>
      </w:r>
      <w:r w:rsidR="002310FC">
        <w:rPr>
          <w:rFonts w:asciiTheme="minorHAnsi" w:hAnsiTheme="minorHAnsi" w:cstheme="minorHAnsi"/>
        </w:rPr>
        <w:t>. They checked</w:t>
      </w:r>
      <w:r>
        <w:rPr>
          <w:rFonts w:asciiTheme="minorHAnsi" w:hAnsiTheme="minorHAnsi" w:cstheme="minorHAnsi"/>
        </w:rPr>
        <w:t xml:space="preserve"> to see if any evidence </w:t>
      </w:r>
      <w:r w:rsidR="00532820">
        <w:rPr>
          <w:rFonts w:asciiTheme="minorHAnsi" w:hAnsiTheme="minorHAnsi" w:cstheme="minorHAnsi"/>
        </w:rPr>
        <w:t xml:space="preserve">had </w:t>
      </w:r>
      <w:r>
        <w:rPr>
          <w:rFonts w:asciiTheme="minorHAnsi" w:hAnsiTheme="minorHAnsi" w:cstheme="minorHAnsi"/>
        </w:rPr>
        <w:t xml:space="preserve">emerged during the targeted engagement to support or strengthen the possibility that this change could lead to differential outcomes for groups who share protected characteristics.   </w:t>
      </w:r>
    </w:p>
    <w:p w14:paraId="00D93F61" w14:textId="77777777" w:rsidR="00454AF9" w:rsidRPr="00454AF9" w:rsidRDefault="00454AF9" w:rsidP="00454AF9">
      <w:pPr>
        <w:pStyle w:val="ListParagraph"/>
        <w:rPr>
          <w:rFonts w:asciiTheme="minorHAnsi" w:hAnsiTheme="minorHAnsi" w:cstheme="minorHAnsi"/>
        </w:rPr>
      </w:pPr>
    </w:p>
    <w:p w14:paraId="6CAE3AF0" w14:textId="1DA18FA6" w:rsidR="00096006" w:rsidRDefault="00454AF9" w:rsidP="00DE1FCB">
      <w:pPr>
        <w:pStyle w:val="ListParagraph"/>
        <w:numPr>
          <w:ilvl w:val="0"/>
          <w:numId w:val="7"/>
        </w:numPr>
        <w:rPr>
          <w:rFonts w:asciiTheme="minorHAnsi" w:hAnsiTheme="minorHAnsi" w:cstheme="minorHAnsi"/>
        </w:rPr>
      </w:pPr>
      <w:r w:rsidRPr="00454AF9">
        <w:rPr>
          <w:rFonts w:asciiTheme="minorHAnsi" w:hAnsiTheme="minorHAnsi" w:cstheme="minorHAnsi"/>
        </w:rPr>
        <w:t xml:space="preserve">Where there was evidence to support a potential EDI issue and for any new issues that had emerged, </w:t>
      </w:r>
      <w:r w:rsidR="00532820">
        <w:rPr>
          <w:rFonts w:asciiTheme="minorHAnsi" w:hAnsiTheme="minorHAnsi" w:cstheme="minorHAnsi"/>
        </w:rPr>
        <w:t xml:space="preserve">steps to mitigate the impact </w:t>
      </w:r>
      <w:r w:rsidR="00367C7C">
        <w:rPr>
          <w:rFonts w:asciiTheme="minorHAnsi" w:hAnsiTheme="minorHAnsi" w:cstheme="minorHAnsi"/>
        </w:rPr>
        <w:t xml:space="preserve">were </w:t>
      </w:r>
      <w:r w:rsidR="00532820">
        <w:rPr>
          <w:rFonts w:asciiTheme="minorHAnsi" w:hAnsiTheme="minorHAnsi" w:cstheme="minorHAnsi"/>
        </w:rPr>
        <w:t>discussed and logged</w:t>
      </w:r>
      <w:r w:rsidR="00367C7C">
        <w:rPr>
          <w:rFonts w:asciiTheme="minorHAnsi" w:hAnsiTheme="minorHAnsi" w:cstheme="minorHAnsi"/>
        </w:rPr>
        <w:t xml:space="preserve">.  One such example is the action to ensure that the </w:t>
      </w:r>
      <w:r w:rsidR="00F20C06">
        <w:rPr>
          <w:rFonts w:asciiTheme="minorHAnsi" w:hAnsiTheme="minorHAnsi" w:cstheme="minorHAnsi"/>
        </w:rPr>
        <w:t xml:space="preserve">new content about accepting delegated tasks in </w:t>
      </w:r>
      <w:r w:rsidR="00367C7C">
        <w:rPr>
          <w:rFonts w:asciiTheme="minorHAnsi" w:hAnsiTheme="minorHAnsi" w:cstheme="minorHAnsi"/>
        </w:rPr>
        <w:t xml:space="preserve">the </w:t>
      </w:r>
      <w:r w:rsidR="0060682A">
        <w:rPr>
          <w:rFonts w:asciiTheme="minorHAnsi" w:hAnsiTheme="minorHAnsi" w:cstheme="minorHAnsi"/>
        </w:rPr>
        <w:t xml:space="preserve">more </w:t>
      </w:r>
      <w:r w:rsidR="0060682A">
        <w:rPr>
          <w:rFonts w:asciiTheme="minorHAnsi" w:hAnsiTheme="minorHAnsi" w:cstheme="minorHAnsi"/>
        </w:rPr>
        <w:lastRenderedPageBreak/>
        <w:t xml:space="preserve">detail guidance </w:t>
      </w:r>
      <w:r w:rsidR="0060682A" w:rsidRPr="0060682A">
        <w:rPr>
          <w:rFonts w:asciiTheme="minorHAnsi" w:hAnsiTheme="minorHAnsi" w:cstheme="minorHAnsi"/>
          <w:i/>
          <w:iCs/>
        </w:rPr>
        <w:t>Delegation and Referra</w:t>
      </w:r>
      <w:r w:rsidR="0060682A">
        <w:rPr>
          <w:rFonts w:asciiTheme="minorHAnsi" w:hAnsiTheme="minorHAnsi" w:cstheme="minorHAnsi"/>
        </w:rPr>
        <w:t xml:space="preserve">l is </w:t>
      </w:r>
      <w:r w:rsidR="004E4D2D">
        <w:rPr>
          <w:rFonts w:asciiTheme="minorHAnsi" w:hAnsiTheme="minorHAnsi" w:cstheme="minorHAnsi"/>
        </w:rPr>
        <w:t xml:space="preserve">emphasised </w:t>
      </w:r>
      <w:r w:rsidR="0060682A">
        <w:rPr>
          <w:rFonts w:asciiTheme="minorHAnsi" w:hAnsiTheme="minorHAnsi" w:cstheme="minorHAnsi"/>
        </w:rPr>
        <w:t xml:space="preserve">in </w:t>
      </w:r>
      <w:r w:rsidR="00F20C06">
        <w:rPr>
          <w:rFonts w:asciiTheme="minorHAnsi" w:hAnsiTheme="minorHAnsi" w:cstheme="minorHAnsi"/>
        </w:rPr>
        <w:t xml:space="preserve">our </w:t>
      </w:r>
      <w:r w:rsidR="00F20C06" w:rsidRPr="0060682A">
        <w:rPr>
          <w:rFonts w:asciiTheme="minorHAnsi" w:hAnsiTheme="minorHAnsi" w:cstheme="minorHAnsi"/>
        </w:rPr>
        <w:t>Welcome to UK practice</w:t>
      </w:r>
      <w:r w:rsidR="00F20C06">
        <w:rPr>
          <w:rFonts w:asciiTheme="minorHAnsi" w:hAnsiTheme="minorHAnsi" w:cstheme="minorHAnsi"/>
        </w:rPr>
        <w:t xml:space="preserve"> </w:t>
      </w:r>
      <w:r w:rsidR="00C4630B">
        <w:rPr>
          <w:rFonts w:asciiTheme="minorHAnsi" w:hAnsiTheme="minorHAnsi" w:cstheme="minorHAnsi"/>
        </w:rPr>
        <w:t xml:space="preserve">(‘WTUKP’) </w:t>
      </w:r>
      <w:r w:rsidR="00F20C06">
        <w:rPr>
          <w:rFonts w:asciiTheme="minorHAnsi" w:hAnsiTheme="minorHAnsi" w:cstheme="minorHAnsi"/>
        </w:rPr>
        <w:t xml:space="preserve">workshops </w:t>
      </w:r>
      <w:r w:rsidR="00C4630B">
        <w:rPr>
          <w:rFonts w:asciiTheme="minorHAnsi" w:hAnsiTheme="minorHAnsi" w:cstheme="minorHAnsi"/>
        </w:rPr>
        <w:t>which are available for new IMGs</w:t>
      </w:r>
      <w:r w:rsidR="00F20C06">
        <w:rPr>
          <w:rFonts w:asciiTheme="minorHAnsi" w:hAnsiTheme="minorHAnsi" w:cstheme="minorHAnsi"/>
        </w:rPr>
        <w:t>.</w:t>
      </w:r>
    </w:p>
    <w:p w14:paraId="7317F575" w14:textId="77777777" w:rsidR="00096006" w:rsidRPr="00096006" w:rsidRDefault="00096006" w:rsidP="00096006">
      <w:pPr>
        <w:pStyle w:val="ListParagraph"/>
        <w:rPr>
          <w:rFonts w:asciiTheme="minorHAnsi" w:hAnsiTheme="minorHAnsi" w:cstheme="minorHAnsi"/>
        </w:rPr>
      </w:pPr>
    </w:p>
    <w:p w14:paraId="1EB329C1" w14:textId="527225D6" w:rsidR="00A6313D" w:rsidRPr="00454AF9" w:rsidRDefault="00532820" w:rsidP="00DE1FCB">
      <w:pPr>
        <w:pStyle w:val="ListParagraph"/>
        <w:numPr>
          <w:ilvl w:val="0"/>
          <w:numId w:val="7"/>
        </w:numPr>
        <w:rPr>
          <w:rFonts w:asciiTheme="minorHAnsi" w:hAnsiTheme="minorHAnsi" w:cstheme="minorHAnsi"/>
        </w:rPr>
      </w:pPr>
      <w:r>
        <w:rPr>
          <w:rFonts w:asciiTheme="minorHAnsi" w:hAnsiTheme="minorHAnsi" w:cstheme="minorHAnsi"/>
        </w:rPr>
        <w:t>In many</w:t>
      </w:r>
      <w:r w:rsidR="00DE1FCB">
        <w:rPr>
          <w:rFonts w:asciiTheme="minorHAnsi" w:hAnsiTheme="minorHAnsi" w:cstheme="minorHAnsi"/>
        </w:rPr>
        <w:t xml:space="preserve"> </w:t>
      </w:r>
      <w:r>
        <w:rPr>
          <w:rFonts w:asciiTheme="minorHAnsi" w:hAnsiTheme="minorHAnsi" w:cstheme="minorHAnsi"/>
        </w:rPr>
        <w:t xml:space="preserve">cases, </w:t>
      </w:r>
      <w:r w:rsidR="00096006">
        <w:rPr>
          <w:rFonts w:asciiTheme="minorHAnsi" w:hAnsiTheme="minorHAnsi" w:cstheme="minorHAnsi"/>
        </w:rPr>
        <w:t>no evidence emerged to support a potential</w:t>
      </w:r>
      <w:r>
        <w:rPr>
          <w:rFonts w:asciiTheme="minorHAnsi" w:hAnsiTheme="minorHAnsi" w:cstheme="minorHAnsi"/>
        </w:rPr>
        <w:t xml:space="preserve"> issue </w:t>
      </w:r>
      <w:r w:rsidR="00096006">
        <w:rPr>
          <w:rFonts w:asciiTheme="minorHAnsi" w:hAnsiTheme="minorHAnsi" w:cstheme="minorHAnsi"/>
        </w:rPr>
        <w:t xml:space="preserve">and </w:t>
      </w:r>
      <w:r w:rsidR="001823A7">
        <w:rPr>
          <w:rFonts w:asciiTheme="minorHAnsi" w:hAnsiTheme="minorHAnsi" w:cstheme="minorHAnsi"/>
        </w:rPr>
        <w:t xml:space="preserve">although </w:t>
      </w:r>
      <w:r w:rsidR="00096006">
        <w:rPr>
          <w:rFonts w:asciiTheme="minorHAnsi" w:hAnsiTheme="minorHAnsi" w:cstheme="minorHAnsi"/>
        </w:rPr>
        <w:t xml:space="preserve">the issue remains logged on the table, it wasn’t necessary to plan any mitigating steps. </w:t>
      </w:r>
    </w:p>
    <w:p w14:paraId="662A7570" w14:textId="77777777" w:rsidR="007A11F4" w:rsidRDefault="007A11F4" w:rsidP="007A11F4">
      <w:pPr>
        <w:pStyle w:val="ListParagraph"/>
        <w:rPr>
          <w:rFonts w:asciiTheme="minorHAnsi" w:hAnsiTheme="minorHAnsi" w:cstheme="minorHAnsi"/>
        </w:rPr>
      </w:pPr>
    </w:p>
    <w:p w14:paraId="3DABF56C" w14:textId="77777777" w:rsidR="000E0F5F" w:rsidRDefault="000E0F5F">
      <w:pPr>
        <w:spacing w:after="160" w:line="259" w:lineRule="auto"/>
        <w:rPr>
          <w:rFonts w:asciiTheme="minorHAnsi" w:hAnsiTheme="minorHAnsi" w:cstheme="minorHAnsi"/>
        </w:rPr>
      </w:pPr>
      <w:r>
        <w:rPr>
          <w:rFonts w:asciiTheme="minorHAnsi" w:hAnsiTheme="minorHAnsi" w:cstheme="minorHAnsi"/>
        </w:rPr>
        <w:br w:type="page"/>
      </w:r>
    </w:p>
    <w:p w14:paraId="20D1A00E" w14:textId="77777777" w:rsidR="00285A0E" w:rsidRDefault="00285A0E" w:rsidP="00E67A05">
      <w:pPr>
        <w:pStyle w:val="Heading1"/>
        <w:sectPr w:rsidR="00285A0E" w:rsidSect="00285A0E">
          <w:headerReference w:type="default" r:id="rId20"/>
          <w:footerReference w:type="even" r:id="rId21"/>
          <w:footerReference w:type="default" r:id="rId22"/>
          <w:headerReference w:type="first" r:id="rId23"/>
          <w:footerReference w:type="first" r:id="rId24"/>
          <w:footnotePr>
            <w:numFmt w:val="chicago"/>
            <w:numRestart w:val="eachPage"/>
          </w:footnotePr>
          <w:endnotePr>
            <w:numFmt w:val="decimal"/>
          </w:endnotePr>
          <w:pgSz w:w="11907" w:h="16840" w:code="9"/>
          <w:pgMar w:top="1985" w:right="1191" w:bottom="1418" w:left="1191" w:header="284" w:footer="403" w:gutter="0"/>
          <w:pgNumType w:start="1"/>
          <w:cols w:space="708"/>
          <w:titlePg/>
          <w:docGrid w:linePitch="360"/>
        </w:sectPr>
      </w:pPr>
    </w:p>
    <w:p w14:paraId="49D830F6" w14:textId="396EE069" w:rsidR="00E67A05" w:rsidRDefault="00E67A05" w:rsidP="00E67A05">
      <w:pPr>
        <w:pStyle w:val="Heading1"/>
      </w:pPr>
      <w:r>
        <w:lastRenderedPageBreak/>
        <w:t>Equality analysis</w:t>
      </w:r>
    </w:p>
    <w:p w14:paraId="1FFA2A55" w14:textId="77777777" w:rsidR="00532820" w:rsidRDefault="00532820" w:rsidP="00532820">
      <w:pPr>
        <w:pStyle w:val="Heading3"/>
        <w:rPr>
          <w:rFonts w:eastAsiaTheme="minorHAnsi" w:cs="Tahoma"/>
          <w:szCs w:val="24"/>
        </w:rPr>
      </w:pPr>
      <w:r>
        <w:rPr>
          <w:rFonts w:eastAsiaTheme="minorHAnsi" w:cs="Tahoma"/>
          <w:szCs w:val="24"/>
        </w:rPr>
        <w:t>S</w:t>
      </w:r>
      <w:r w:rsidRPr="0076208B">
        <w:t xml:space="preserve">pecific impacts on people with </w:t>
      </w:r>
      <w:r>
        <w:t xml:space="preserve">protected characteristics and </w:t>
      </w:r>
      <w:r>
        <w:rPr>
          <w:rFonts w:eastAsiaTheme="minorHAnsi" w:cs="Tahoma"/>
          <w:szCs w:val="24"/>
        </w:rPr>
        <w:t xml:space="preserve">actions taken </w:t>
      </w:r>
    </w:p>
    <w:p w14:paraId="5B36C2C3" w14:textId="77777777" w:rsidR="00532820" w:rsidRPr="0076208B" w:rsidRDefault="00532820" w:rsidP="00532820"/>
    <w:p w14:paraId="5EDAA268" w14:textId="57145744" w:rsidR="00532820" w:rsidRDefault="00532820" w:rsidP="00842CB6">
      <w:pPr>
        <w:pStyle w:val="BodyText1"/>
        <w:numPr>
          <w:ilvl w:val="0"/>
          <w:numId w:val="7"/>
        </w:numPr>
      </w:pPr>
      <w:r>
        <w:t xml:space="preserve">The table below shows the key issues raised and how we have responded to them when redrafting </w:t>
      </w:r>
      <w:r w:rsidR="00096006">
        <w:t xml:space="preserve">the pieces of </w:t>
      </w:r>
      <w:r w:rsidR="00E7361F">
        <w:rPr>
          <w:rFonts w:asciiTheme="minorHAnsi" w:eastAsiaTheme="minorHAnsi" w:hAnsiTheme="minorHAnsi" w:cstheme="minorHAnsi"/>
        </w:rPr>
        <w:t>more detailed</w:t>
      </w:r>
      <w:r w:rsidR="00E7361F" w:rsidRPr="000E0F5F">
        <w:rPr>
          <w:rFonts w:asciiTheme="minorHAnsi" w:eastAsiaTheme="minorHAnsi" w:hAnsiTheme="minorHAnsi" w:cstheme="minorHAnsi"/>
        </w:rPr>
        <w:t xml:space="preserve"> </w:t>
      </w:r>
      <w:r w:rsidR="00096006">
        <w:t>guidance</w:t>
      </w:r>
      <w:r>
        <w:t xml:space="preserve">. </w:t>
      </w:r>
    </w:p>
    <w:p w14:paraId="6833A2D1" w14:textId="77777777" w:rsidR="00532820" w:rsidRPr="00097F29" w:rsidRDefault="00532820" w:rsidP="00E67A05">
      <w:pPr>
        <w:pStyle w:val="GMCNumbertext"/>
        <w:numPr>
          <w:ilvl w:val="0"/>
          <w:numId w:val="0"/>
        </w:numPr>
        <w:ind w:left="510"/>
      </w:pPr>
    </w:p>
    <w:tbl>
      <w:tblPr>
        <w:tblStyle w:val="TableGrid"/>
        <w:tblW w:w="15735" w:type="dxa"/>
        <w:tblInd w:w="-572" w:type="dxa"/>
        <w:tblLayout w:type="fixed"/>
        <w:tblLook w:val="04A0" w:firstRow="1" w:lastRow="0" w:firstColumn="1" w:lastColumn="0" w:noHBand="0" w:noVBand="1"/>
      </w:tblPr>
      <w:tblGrid>
        <w:gridCol w:w="1701"/>
        <w:gridCol w:w="1985"/>
        <w:gridCol w:w="4252"/>
        <w:gridCol w:w="2127"/>
        <w:gridCol w:w="5670"/>
      </w:tblGrid>
      <w:tr w:rsidR="00532820" w:rsidRPr="00097F29" w14:paraId="4083518C" w14:textId="163D73F9" w:rsidTr="00CB3C31">
        <w:trPr>
          <w:tblHeader/>
        </w:trPr>
        <w:tc>
          <w:tcPr>
            <w:tcW w:w="1701" w:type="dxa"/>
            <w:tcBorders>
              <w:bottom w:val="single" w:sz="4" w:space="0" w:color="auto"/>
            </w:tcBorders>
            <w:shd w:val="clear" w:color="auto" w:fill="999999" w:themeFill="accent5" w:themeFillTint="66"/>
            <w:vAlign w:val="bottom"/>
          </w:tcPr>
          <w:p w14:paraId="4187C46E" w14:textId="5842634E" w:rsidR="00532820" w:rsidRPr="00AB403F" w:rsidRDefault="00CB301C" w:rsidP="005777CA">
            <w:pPr>
              <w:rPr>
                <w:b/>
                <w:bCs/>
                <w:sz w:val="28"/>
                <w:szCs w:val="28"/>
              </w:rPr>
            </w:pPr>
            <w:r>
              <w:rPr>
                <w:b/>
                <w:bCs/>
                <w:sz w:val="28"/>
                <w:szCs w:val="28"/>
              </w:rPr>
              <w:t>M</w:t>
            </w:r>
            <w:r w:rsidR="00E7361F" w:rsidRPr="00E7361F">
              <w:rPr>
                <w:b/>
                <w:bCs/>
                <w:sz w:val="28"/>
                <w:szCs w:val="28"/>
              </w:rPr>
              <w:t xml:space="preserve">ore </w:t>
            </w:r>
            <w:r w:rsidR="00387FC3" w:rsidRPr="00E7361F">
              <w:rPr>
                <w:b/>
                <w:bCs/>
                <w:sz w:val="28"/>
                <w:szCs w:val="28"/>
              </w:rPr>
              <w:t>detailed</w:t>
            </w:r>
            <w:r w:rsidR="00387FC3">
              <w:rPr>
                <w:b/>
                <w:bCs/>
                <w:sz w:val="28"/>
                <w:szCs w:val="28"/>
              </w:rPr>
              <w:t xml:space="preserve"> </w:t>
            </w:r>
            <w:r w:rsidR="00387FC3">
              <w:rPr>
                <w:rFonts w:asciiTheme="minorHAnsi" w:eastAsiaTheme="minorHAnsi" w:hAnsiTheme="minorHAnsi" w:cstheme="minorHAnsi"/>
              </w:rPr>
              <w:t>guidance</w:t>
            </w:r>
            <w:r w:rsidR="00E7361F" w:rsidRPr="00E7361F">
              <w:rPr>
                <w:rFonts w:asciiTheme="minorHAnsi" w:eastAsiaTheme="minorHAnsi" w:hAnsiTheme="minorHAnsi" w:cstheme="minorHAnsi"/>
              </w:rPr>
              <w:t xml:space="preserve"> </w:t>
            </w:r>
          </w:p>
        </w:tc>
        <w:tc>
          <w:tcPr>
            <w:tcW w:w="1985" w:type="dxa"/>
            <w:tcBorders>
              <w:bottom w:val="single" w:sz="4" w:space="0" w:color="auto"/>
            </w:tcBorders>
            <w:shd w:val="clear" w:color="auto" w:fill="999999" w:themeFill="accent5" w:themeFillTint="66"/>
            <w:vAlign w:val="bottom"/>
          </w:tcPr>
          <w:p w14:paraId="10877D84" w14:textId="09D7E90D" w:rsidR="00532820" w:rsidRPr="00744D2C" w:rsidRDefault="00CB301C" w:rsidP="00CB301C">
            <w:pPr>
              <w:rPr>
                <w:b/>
                <w:bCs/>
                <w:sz w:val="28"/>
                <w:szCs w:val="28"/>
              </w:rPr>
            </w:pPr>
            <w:r>
              <w:rPr>
                <w:b/>
                <w:bCs/>
                <w:sz w:val="28"/>
                <w:szCs w:val="28"/>
              </w:rPr>
              <w:t>Paragraph reference or g</w:t>
            </w:r>
            <w:r w:rsidR="00532820" w:rsidRPr="000C51FD">
              <w:rPr>
                <w:b/>
                <w:bCs/>
                <w:sz w:val="28"/>
                <w:szCs w:val="28"/>
              </w:rPr>
              <w:t xml:space="preserve">eneral </w:t>
            </w:r>
            <w:r w:rsidR="005575F6">
              <w:rPr>
                <w:b/>
                <w:bCs/>
                <w:sz w:val="28"/>
                <w:szCs w:val="28"/>
              </w:rPr>
              <w:t>concern</w:t>
            </w:r>
          </w:p>
        </w:tc>
        <w:tc>
          <w:tcPr>
            <w:tcW w:w="4252" w:type="dxa"/>
            <w:tcBorders>
              <w:bottom w:val="single" w:sz="4" w:space="0" w:color="auto"/>
            </w:tcBorders>
            <w:shd w:val="clear" w:color="auto" w:fill="999999" w:themeFill="accent5" w:themeFillTint="66"/>
            <w:vAlign w:val="bottom"/>
          </w:tcPr>
          <w:p w14:paraId="38E6E45B" w14:textId="3416E206" w:rsidR="00532820" w:rsidRPr="00744D2C" w:rsidRDefault="00532820" w:rsidP="005777CA">
            <w:pPr>
              <w:rPr>
                <w:b/>
                <w:bCs/>
                <w:sz w:val="28"/>
                <w:szCs w:val="28"/>
              </w:rPr>
            </w:pPr>
            <w:r>
              <w:rPr>
                <w:b/>
                <w:bCs/>
                <w:sz w:val="28"/>
                <w:szCs w:val="28"/>
              </w:rPr>
              <w:t xml:space="preserve">What is the issue? </w:t>
            </w:r>
          </w:p>
        </w:tc>
        <w:tc>
          <w:tcPr>
            <w:tcW w:w="2127" w:type="dxa"/>
            <w:tcBorders>
              <w:bottom w:val="single" w:sz="4" w:space="0" w:color="auto"/>
            </w:tcBorders>
            <w:shd w:val="clear" w:color="auto" w:fill="999999" w:themeFill="accent5" w:themeFillTint="66"/>
            <w:vAlign w:val="bottom"/>
          </w:tcPr>
          <w:p w14:paraId="1F8EB35A" w14:textId="02ECA1BF" w:rsidR="00532820" w:rsidRPr="00744D2C" w:rsidRDefault="00B855F1" w:rsidP="005777CA">
            <w:pPr>
              <w:rPr>
                <w:b/>
                <w:bCs/>
                <w:sz w:val="28"/>
                <w:szCs w:val="28"/>
              </w:rPr>
            </w:pPr>
            <w:r>
              <w:rPr>
                <w:b/>
                <w:bCs/>
                <w:sz w:val="28"/>
                <w:szCs w:val="28"/>
              </w:rPr>
              <w:t>Which protected characteristic is affected?</w:t>
            </w:r>
          </w:p>
        </w:tc>
        <w:tc>
          <w:tcPr>
            <w:tcW w:w="5670" w:type="dxa"/>
            <w:tcBorders>
              <w:bottom w:val="single" w:sz="4" w:space="0" w:color="auto"/>
            </w:tcBorders>
            <w:shd w:val="clear" w:color="auto" w:fill="999999" w:themeFill="accent5" w:themeFillTint="66"/>
          </w:tcPr>
          <w:p w14:paraId="4E96C251" w14:textId="58ED2DD4" w:rsidR="00532820" w:rsidRPr="00744D2C" w:rsidRDefault="007025DB" w:rsidP="005777CA">
            <w:pPr>
              <w:rPr>
                <w:b/>
                <w:bCs/>
                <w:sz w:val="28"/>
                <w:szCs w:val="28"/>
              </w:rPr>
            </w:pPr>
            <w:r>
              <w:rPr>
                <w:b/>
                <w:bCs/>
                <w:sz w:val="28"/>
                <w:szCs w:val="28"/>
              </w:rPr>
              <w:t>Post engagement a</w:t>
            </w:r>
            <w:r w:rsidR="00532820">
              <w:rPr>
                <w:b/>
                <w:bCs/>
                <w:sz w:val="28"/>
                <w:szCs w:val="28"/>
              </w:rPr>
              <w:t>ction</w:t>
            </w:r>
            <w:r>
              <w:rPr>
                <w:b/>
                <w:bCs/>
                <w:sz w:val="28"/>
                <w:szCs w:val="28"/>
              </w:rPr>
              <w:t xml:space="preserve"> </w:t>
            </w:r>
          </w:p>
        </w:tc>
      </w:tr>
      <w:tr w:rsidR="00532820" w:rsidRPr="00097F29" w14:paraId="0F4DDA36" w14:textId="08A9735F" w:rsidTr="00CB3C31">
        <w:tc>
          <w:tcPr>
            <w:tcW w:w="1701" w:type="dxa"/>
            <w:shd w:val="clear" w:color="auto" w:fill="E6F2CF" w:themeFill="accent2" w:themeFillTint="33"/>
          </w:tcPr>
          <w:p w14:paraId="08DC3723" w14:textId="77777777" w:rsidR="00532820" w:rsidRPr="00AB403F" w:rsidRDefault="00532820" w:rsidP="005777CA">
            <w:pPr>
              <w:rPr>
                <w:b/>
                <w:bCs/>
              </w:rPr>
            </w:pPr>
            <w:r w:rsidRPr="00AB403F">
              <w:rPr>
                <w:b/>
                <w:bCs/>
              </w:rPr>
              <w:t>Social media</w:t>
            </w:r>
          </w:p>
        </w:tc>
        <w:tc>
          <w:tcPr>
            <w:tcW w:w="1985" w:type="dxa"/>
            <w:shd w:val="clear" w:color="auto" w:fill="FFFFFF" w:themeFill="accent6" w:themeFillTint="33"/>
          </w:tcPr>
          <w:p w14:paraId="033BF3F0" w14:textId="3C668D0E" w:rsidR="00532820" w:rsidRPr="00097F29" w:rsidRDefault="00A15270" w:rsidP="005777CA">
            <w:r>
              <w:t>General concern</w:t>
            </w:r>
          </w:p>
        </w:tc>
        <w:tc>
          <w:tcPr>
            <w:tcW w:w="4252" w:type="dxa"/>
            <w:shd w:val="clear" w:color="auto" w:fill="FFFFFF" w:themeFill="accent6" w:themeFillTint="33"/>
          </w:tcPr>
          <w:p w14:paraId="2E09F6D6" w14:textId="6334B6FA" w:rsidR="00532820" w:rsidRPr="00097F29" w:rsidRDefault="005575F6" w:rsidP="005777CA">
            <w:r w:rsidRPr="00097F29">
              <w:t>Differences in the ways in which different generations engage with social media may lead to differential risks for medical professionals in relation to the professional standards in this area. For example, younger generations of medical professionals who use social media more frequently, or older generations who lack familiarity.</w:t>
            </w:r>
          </w:p>
        </w:tc>
        <w:tc>
          <w:tcPr>
            <w:tcW w:w="2127" w:type="dxa"/>
            <w:shd w:val="clear" w:color="auto" w:fill="FFFFFF" w:themeFill="accent6" w:themeFillTint="33"/>
          </w:tcPr>
          <w:p w14:paraId="2BDE6ED0" w14:textId="77777777" w:rsidR="00532820" w:rsidRPr="00097F29" w:rsidRDefault="00532820" w:rsidP="005777CA">
            <w:r w:rsidRPr="00097F29">
              <w:t>Age</w:t>
            </w:r>
          </w:p>
        </w:tc>
        <w:tc>
          <w:tcPr>
            <w:tcW w:w="5670" w:type="dxa"/>
            <w:shd w:val="clear" w:color="auto" w:fill="FFFFFF" w:themeFill="accent6" w:themeFillTint="33"/>
          </w:tcPr>
          <w:p w14:paraId="67BBC419" w14:textId="7BC8C46C" w:rsidR="00532820" w:rsidRPr="00097F29" w:rsidRDefault="00A15270" w:rsidP="005777CA">
            <w:r>
              <w:t>We discussed this issue</w:t>
            </w:r>
            <w:r w:rsidR="002F65A0">
              <w:t xml:space="preserve"> </w:t>
            </w:r>
            <w:r>
              <w:t xml:space="preserve">at the RO network meetings </w:t>
            </w:r>
            <w:r w:rsidR="002F65A0">
              <w:t xml:space="preserve">and heard various perspectives based on their experiences of dealing with cases at local level. Following this, we held a dedicated session with GMC clinical fellows to gain views of younger </w:t>
            </w:r>
            <w:r w:rsidR="00176653">
              <w:t>medical professionals</w:t>
            </w:r>
            <w:r w:rsidR="002F65A0">
              <w:t xml:space="preserve"> specifically. </w:t>
            </w:r>
            <w:r w:rsidR="002F65A0" w:rsidRPr="007C7409">
              <w:t>There are no new o</w:t>
            </w:r>
            <w:r w:rsidR="00A91B39" w:rsidRPr="007C7409">
              <w:t>r</w:t>
            </w:r>
            <w:r w:rsidR="002F65A0" w:rsidRPr="007C7409">
              <w:t xml:space="preserve"> different standards in the social media guidance that could impact differentially per se, but it could be that we need to develop targeted communications</w:t>
            </w:r>
            <w:r w:rsidR="00727426" w:rsidRPr="007C7409">
              <w:t>/learning materials</w:t>
            </w:r>
            <w:r w:rsidR="002F65A0" w:rsidRPr="007C7409">
              <w:t xml:space="preserve"> as part of our wider implementation strategy </w:t>
            </w:r>
            <w:r w:rsidR="002F65A0" w:rsidRPr="007C7409">
              <w:lastRenderedPageBreak/>
              <w:t xml:space="preserve">to make sure that different groups </w:t>
            </w:r>
            <w:r w:rsidR="00727426" w:rsidRPr="007C7409">
              <w:t>receive accessible messages about what th</w:t>
            </w:r>
            <w:r w:rsidR="00E7361F" w:rsidRPr="007C7409">
              <w:t>is</w:t>
            </w:r>
            <w:r w:rsidR="00727426" w:rsidRPr="007C7409">
              <w:t xml:space="preserve"> guidance means for them</w:t>
            </w:r>
            <w:r w:rsidR="002F65A0" w:rsidRPr="007C7409">
              <w:t>.</w:t>
            </w:r>
            <w:r w:rsidR="002F65A0">
              <w:t xml:space="preserve">   </w:t>
            </w:r>
          </w:p>
        </w:tc>
      </w:tr>
      <w:tr w:rsidR="00532820" w:rsidRPr="00097F29" w14:paraId="43E5E6B0" w14:textId="295EE2F4" w:rsidTr="00CB3C31">
        <w:tc>
          <w:tcPr>
            <w:tcW w:w="1701" w:type="dxa"/>
            <w:tcBorders>
              <w:bottom w:val="single" w:sz="4" w:space="0" w:color="auto"/>
            </w:tcBorders>
            <w:shd w:val="clear" w:color="auto" w:fill="E6F2CF" w:themeFill="accent2" w:themeFillTint="33"/>
          </w:tcPr>
          <w:p w14:paraId="38B90962" w14:textId="77777777" w:rsidR="00532820" w:rsidRPr="00AB403F" w:rsidRDefault="00532820" w:rsidP="005777CA">
            <w:pPr>
              <w:rPr>
                <w:b/>
                <w:bCs/>
              </w:rPr>
            </w:pPr>
            <w:r w:rsidRPr="00AB403F">
              <w:rPr>
                <w:b/>
                <w:bCs/>
              </w:rPr>
              <w:lastRenderedPageBreak/>
              <w:t>Social media</w:t>
            </w:r>
          </w:p>
        </w:tc>
        <w:tc>
          <w:tcPr>
            <w:tcW w:w="1985" w:type="dxa"/>
            <w:tcBorders>
              <w:bottom w:val="single" w:sz="4" w:space="0" w:color="auto"/>
            </w:tcBorders>
            <w:shd w:val="clear" w:color="auto" w:fill="FFFFFF" w:themeFill="accent6" w:themeFillTint="33"/>
          </w:tcPr>
          <w:p w14:paraId="2DA9BE2F" w14:textId="2AE81002" w:rsidR="00532820" w:rsidRPr="00097F29" w:rsidRDefault="00B105F8" w:rsidP="005777CA">
            <w:r>
              <w:t>General concern</w:t>
            </w:r>
          </w:p>
        </w:tc>
        <w:tc>
          <w:tcPr>
            <w:tcW w:w="4252" w:type="dxa"/>
            <w:tcBorders>
              <w:bottom w:val="single" w:sz="4" w:space="0" w:color="auto"/>
            </w:tcBorders>
            <w:shd w:val="clear" w:color="auto" w:fill="FFFFFF" w:themeFill="accent6" w:themeFillTint="33"/>
          </w:tcPr>
          <w:p w14:paraId="00342051" w14:textId="52EFDCEC" w:rsidR="009157F2" w:rsidRDefault="005575F6" w:rsidP="005777CA">
            <w:r w:rsidRPr="00097F29">
              <w:t xml:space="preserve">Younger patients much more likely to get health information online via social media and therefore more at risk of medical misinformation or information about health/healthcare framed in a misleading way. The new standards in </w:t>
            </w:r>
            <w:r w:rsidR="00CB37EA" w:rsidRPr="002F10C6">
              <w:rPr>
                <w:rFonts w:asciiTheme="minorHAnsi" w:eastAsiaTheme="minorHAnsi" w:hAnsiTheme="minorHAnsi" w:cstheme="minorHAnsi"/>
                <w:i/>
                <w:iCs/>
              </w:rPr>
              <w:t>Good medical practice</w:t>
            </w:r>
            <w:r w:rsidR="00CB37EA">
              <w:rPr>
                <w:rFonts w:asciiTheme="minorHAnsi" w:eastAsiaTheme="minorHAnsi" w:hAnsiTheme="minorHAnsi" w:cstheme="minorHAnsi"/>
              </w:rPr>
              <w:t xml:space="preserve"> </w:t>
            </w:r>
            <w:r w:rsidRPr="00097F29">
              <w:t>in relation to public communication via social media, and the more detailed guidance may have a positive impact in mitigating the risks of this coming from medical professionals registered with us.</w:t>
            </w:r>
          </w:p>
          <w:p w14:paraId="53BCA9CF" w14:textId="00B022CF" w:rsidR="005575F6" w:rsidRDefault="005575F6" w:rsidP="005777CA">
            <w:r>
              <w:t xml:space="preserve">[see </w:t>
            </w:r>
            <w:hyperlink r:id="rId25" w:history="1">
              <w:r>
                <w:rPr>
                  <w:rStyle w:val="Hyperlink"/>
                </w:rPr>
                <w:t>Journal Article 1 September 2022</w:t>
              </w:r>
            </w:hyperlink>
            <w:r>
              <w:rPr>
                <w:rStyle w:val="Hyperlink"/>
              </w:rPr>
              <w:t xml:space="preserve"> </w:t>
            </w:r>
          </w:p>
          <w:p w14:paraId="11421FC4" w14:textId="234CFB53" w:rsidR="00532820" w:rsidRPr="00097F29" w:rsidRDefault="00C07E87" w:rsidP="006B1BA4">
            <w:r>
              <w:t>a</w:t>
            </w:r>
            <w:r w:rsidR="005575F6">
              <w:t xml:space="preserve">nd </w:t>
            </w:r>
            <w:hyperlink r:id="rId26" w:history="1">
              <w:r w:rsidR="00532820">
                <w:rPr>
                  <w:rStyle w:val="Hyperlink"/>
                </w:rPr>
                <w:t>Full Report WHO  2022</w:t>
              </w:r>
            </w:hyperlink>
            <w:r>
              <w:rPr>
                <w:rStyle w:val="Hyperlink"/>
              </w:rPr>
              <w:t>]</w:t>
            </w:r>
          </w:p>
        </w:tc>
        <w:tc>
          <w:tcPr>
            <w:tcW w:w="2127" w:type="dxa"/>
            <w:tcBorders>
              <w:bottom w:val="single" w:sz="4" w:space="0" w:color="auto"/>
            </w:tcBorders>
            <w:shd w:val="clear" w:color="auto" w:fill="FFFFFF" w:themeFill="accent6" w:themeFillTint="33"/>
          </w:tcPr>
          <w:p w14:paraId="398F275D" w14:textId="5460236B" w:rsidR="00532820" w:rsidRPr="00097F29" w:rsidRDefault="00532820" w:rsidP="005777CA">
            <w:r>
              <w:t>Age</w:t>
            </w:r>
          </w:p>
        </w:tc>
        <w:tc>
          <w:tcPr>
            <w:tcW w:w="5670" w:type="dxa"/>
            <w:tcBorders>
              <w:bottom w:val="single" w:sz="4" w:space="0" w:color="auto"/>
            </w:tcBorders>
            <w:shd w:val="clear" w:color="auto" w:fill="FFFFFF" w:themeFill="accent6" w:themeFillTint="33"/>
          </w:tcPr>
          <w:p w14:paraId="7FCC2E74" w14:textId="125BF905" w:rsidR="00237BAB" w:rsidRDefault="00237BAB" w:rsidP="00237BAB">
            <w:pPr>
              <w:pStyle w:val="BodyText1"/>
              <w:rPr>
                <w:lang w:eastAsia="en-GB"/>
              </w:rPr>
            </w:pPr>
            <w:r>
              <w:rPr>
                <w:lang w:eastAsia="en-GB"/>
              </w:rPr>
              <w:t>In the final version, there is new emphasis on accuracy and truthfulness of communications and making sure that communications do not exploit people’s vulnerability or lack of medical knowledge, in line with new content in</w:t>
            </w:r>
            <w:r w:rsidR="00CB37EA" w:rsidRPr="002F10C6">
              <w:rPr>
                <w:rFonts w:asciiTheme="minorHAnsi" w:eastAsiaTheme="minorHAnsi" w:hAnsiTheme="minorHAnsi" w:cstheme="minorHAnsi"/>
                <w:i/>
                <w:iCs/>
              </w:rPr>
              <w:t xml:space="preserve"> Good medical practice</w:t>
            </w:r>
            <w:r>
              <w:rPr>
                <w:lang w:eastAsia="en-GB"/>
              </w:rPr>
              <w:t xml:space="preserve">. We’ve also included a clearer statement about the importance of medical professionals upholding professional standards when using social media given that patients and the public are likely to take what is said about health and healthcare on trust, and they may adapt their attitudes or behaviour towards their health, other medical professionals, or healthcare services as a result. </w:t>
            </w:r>
          </w:p>
          <w:p w14:paraId="38356563" w14:textId="571F03E3" w:rsidR="00532820" w:rsidRDefault="00532820" w:rsidP="005777CA"/>
        </w:tc>
      </w:tr>
      <w:tr w:rsidR="00532820" w:rsidRPr="00097F29" w14:paraId="2AA322ED" w14:textId="737F4A06" w:rsidTr="00CB3C31">
        <w:tc>
          <w:tcPr>
            <w:tcW w:w="1701" w:type="dxa"/>
            <w:tcBorders>
              <w:bottom w:val="single" w:sz="4" w:space="0" w:color="auto"/>
            </w:tcBorders>
            <w:shd w:val="clear" w:color="auto" w:fill="E6F2CF" w:themeFill="accent2" w:themeFillTint="33"/>
          </w:tcPr>
          <w:p w14:paraId="65CFC7D9" w14:textId="77777777" w:rsidR="00532820" w:rsidRPr="00AB403F" w:rsidRDefault="00532820" w:rsidP="005777CA">
            <w:pPr>
              <w:rPr>
                <w:b/>
                <w:bCs/>
              </w:rPr>
            </w:pPr>
            <w:r w:rsidRPr="00AB403F">
              <w:rPr>
                <w:b/>
                <w:bCs/>
              </w:rPr>
              <w:t>Social media</w:t>
            </w:r>
          </w:p>
        </w:tc>
        <w:tc>
          <w:tcPr>
            <w:tcW w:w="1985" w:type="dxa"/>
            <w:tcBorders>
              <w:bottom w:val="single" w:sz="4" w:space="0" w:color="auto"/>
            </w:tcBorders>
            <w:shd w:val="clear" w:color="auto" w:fill="FFFFFF" w:themeFill="accent6" w:themeFillTint="33"/>
          </w:tcPr>
          <w:p w14:paraId="2D5CD484" w14:textId="6D6CFFD1" w:rsidR="007F34AC" w:rsidRDefault="007F34AC" w:rsidP="007F34AC">
            <w:r w:rsidRPr="00097F29">
              <w:t xml:space="preserve">New duty in </w:t>
            </w:r>
            <w:r w:rsidR="00CB37EA" w:rsidRPr="002F10C6">
              <w:rPr>
                <w:rFonts w:asciiTheme="minorHAnsi" w:eastAsiaTheme="minorHAnsi" w:hAnsiTheme="minorHAnsi" w:cstheme="minorHAnsi"/>
                <w:i/>
                <w:iCs/>
              </w:rPr>
              <w:t>Good medical practice</w:t>
            </w:r>
            <w:r w:rsidR="00CB37EA">
              <w:rPr>
                <w:rFonts w:asciiTheme="minorHAnsi" w:eastAsiaTheme="minorHAnsi" w:hAnsiTheme="minorHAnsi" w:cstheme="minorHAnsi"/>
              </w:rPr>
              <w:t xml:space="preserve"> </w:t>
            </w:r>
            <w:r w:rsidRPr="00097F29">
              <w:t>202</w:t>
            </w:r>
            <w:r w:rsidR="005D0994">
              <w:t>4 para 56</w:t>
            </w:r>
            <w:r w:rsidRPr="00097F29">
              <w:t xml:space="preserve"> to not</w:t>
            </w:r>
            <w:r>
              <w:t xml:space="preserve"> </w:t>
            </w:r>
            <w:r>
              <w:lastRenderedPageBreak/>
              <w:t>a</w:t>
            </w:r>
            <w:r w:rsidRPr="00097F29">
              <w:t>buse/discriminate</w:t>
            </w:r>
            <w:r>
              <w:t>/</w:t>
            </w:r>
            <w:r w:rsidRPr="00097F29">
              <w:t>bully/exploit</w:t>
            </w:r>
            <w:r>
              <w:t xml:space="preserve"> or</w:t>
            </w:r>
            <w:r w:rsidRPr="00097F29">
              <w:t xml:space="preserve"> harass anyone…</w:t>
            </w:r>
          </w:p>
          <w:p w14:paraId="6F32CED5" w14:textId="5AD445D5" w:rsidR="00532820" w:rsidRPr="00097F29" w:rsidRDefault="00532820" w:rsidP="007F34AC"/>
        </w:tc>
        <w:tc>
          <w:tcPr>
            <w:tcW w:w="4252" w:type="dxa"/>
            <w:tcBorders>
              <w:bottom w:val="single" w:sz="4" w:space="0" w:color="auto"/>
            </w:tcBorders>
            <w:shd w:val="clear" w:color="auto" w:fill="FFFFFF" w:themeFill="accent6" w:themeFillTint="33"/>
          </w:tcPr>
          <w:p w14:paraId="6FEE4AF6" w14:textId="0D25D20D" w:rsidR="00C92A6B" w:rsidRDefault="00C92A6B" w:rsidP="005777CA">
            <w:r>
              <w:lastRenderedPageBreak/>
              <w:t xml:space="preserve">We know that bullying and unprofessional behaviour is a particular </w:t>
            </w:r>
            <w:r>
              <w:lastRenderedPageBreak/>
              <w:t xml:space="preserve">problem on social media and that medical professionals can engage in this. </w:t>
            </w:r>
          </w:p>
          <w:p w14:paraId="1E6F4426" w14:textId="53449DDD" w:rsidR="007F34AC" w:rsidRDefault="005D0994" w:rsidP="005777CA">
            <w:r>
              <w:t>In t</w:t>
            </w:r>
            <w:r w:rsidR="006C037D">
              <w:t xml:space="preserve">he </w:t>
            </w:r>
            <w:r w:rsidR="00CB37EA" w:rsidRPr="002F10C6">
              <w:rPr>
                <w:rFonts w:asciiTheme="minorHAnsi" w:eastAsiaTheme="minorHAnsi" w:hAnsiTheme="minorHAnsi" w:cstheme="minorHAnsi"/>
                <w:i/>
                <w:iCs/>
              </w:rPr>
              <w:t>Good medical practice</w:t>
            </w:r>
            <w:r w:rsidR="00CB37EA">
              <w:rPr>
                <w:rFonts w:asciiTheme="minorHAnsi" w:eastAsiaTheme="minorHAnsi" w:hAnsiTheme="minorHAnsi" w:cstheme="minorHAnsi"/>
              </w:rPr>
              <w:t xml:space="preserve"> </w:t>
            </w:r>
            <w:r w:rsidR="006C037D">
              <w:t>consultation draft</w:t>
            </w:r>
            <w:r>
              <w:t>,</w:t>
            </w:r>
            <w:r w:rsidR="006C037D">
              <w:t xml:space="preserve"> </w:t>
            </w:r>
            <w:r>
              <w:t>the bullying duty</w:t>
            </w:r>
            <w:r w:rsidR="006C037D">
              <w:t xml:space="preserve"> includ</w:t>
            </w:r>
            <w:r>
              <w:t>ed</w:t>
            </w:r>
            <w:r w:rsidR="006C037D">
              <w:t xml:space="preserve"> references to social media, but f</w:t>
            </w:r>
            <w:r w:rsidR="007F34AC" w:rsidRPr="00097F29">
              <w:t>ollowing feedback in the consultation, we removed reference</w:t>
            </w:r>
            <w:r w:rsidR="006C037D">
              <w:t xml:space="preserve"> </w:t>
            </w:r>
            <w:r w:rsidR="00CB3C31">
              <w:t xml:space="preserve">in </w:t>
            </w:r>
            <w:r w:rsidR="00CB3C31" w:rsidRPr="00097F29">
              <w:t>Good</w:t>
            </w:r>
            <w:r w:rsidR="00CB37EA" w:rsidRPr="002F10C6">
              <w:rPr>
                <w:rFonts w:asciiTheme="minorHAnsi" w:eastAsiaTheme="minorHAnsi" w:hAnsiTheme="minorHAnsi" w:cstheme="minorHAnsi"/>
                <w:i/>
                <w:iCs/>
              </w:rPr>
              <w:t xml:space="preserve"> medical practice</w:t>
            </w:r>
            <w:r w:rsidR="00CB37EA">
              <w:rPr>
                <w:rFonts w:asciiTheme="minorHAnsi" w:eastAsiaTheme="minorHAnsi" w:hAnsiTheme="minorHAnsi" w:cstheme="minorHAnsi"/>
              </w:rPr>
              <w:t xml:space="preserve"> </w:t>
            </w:r>
            <w:r w:rsidR="007F34AC" w:rsidRPr="00097F29">
              <w:t xml:space="preserve">to </w:t>
            </w:r>
            <w:r w:rsidR="006C037D">
              <w:t>‘</w:t>
            </w:r>
            <w:r w:rsidR="007F34AC" w:rsidRPr="00097F29">
              <w:t>this includes all interactions, including on social media</w:t>
            </w:r>
            <w:r w:rsidR="006C037D">
              <w:t>’</w:t>
            </w:r>
            <w:r w:rsidR="007F34AC" w:rsidRPr="00097F29">
              <w:t xml:space="preserve"> (because it was seen to go too wide in the context of the duty as stated)</w:t>
            </w:r>
            <w:r w:rsidR="006C037D">
              <w:t>. There was</w:t>
            </w:r>
            <w:r w:rsidR="007F34AC" w:rsidRPr="00097F29">
              <w:t xml:space="preserve"> also difficulty with the interpretation of </w:t>
            </w:r>
            <w:r w:rsidR="007F34AC">
              <w:t>‘</w:t>
            </w:r>
            <w:r w:rsidR="007F34AC" w:rsidRPr="00097F29">
              <w:t>condone</w:t>
            </w:r>
            <w:r w:rsidR="007F34AC">
              <w:t>’</w:t>
            </w:r>
            <w:r w:rsidR="006C037D">
              <w:t xml:space="preserve"> in the context of social media</w:t>
            </w:r>
            <w:r w:rsidR="007F34AC" w:rsidRPr="00097F29">
              <w:t>.</w:t>
            </w:r>
          </w:p>
          <w:p w14:paraId="3BAC27E2" w14:textId="1433BCBD" w:rsidR="006C037D" w:rsidRDefault="007F34AC" w:rsidP="005777CA">
            <w:r w:rsidRPr="00097F29">
              <w:t xml:space="preserve"> In </w:t>
            </w:r>
            <w:r w:rsidR="006C037D">
              <w:t>the draft social media</w:t>
            </w:r>
            <w:r w:rsidR="006C037D" w:rsidRPr="00097F29">
              <w:t xml:space="preserve"> </w:t>
            </w:r>
            <w:r w:rsidRPr="00097F29">
              <w:t xml:space="preserve">guidance however, we have </w:t>
            </w:r>
            <w:r w:rsidR="006C037D">
              <w:t>reworked</w:t>
            </w:r>
            <w:r w:rsidR="006C037D" w:rsidRPr="00097F29">
              <w:t xml:space="preserve"> </w:t>
            </w:r>
            <w:r w:rsidRPr="00097F29">
              <w:t>para 15 &amp; 16</w:t>
            </w:r>
            <w:r w:rsidR="006C037D">
              <w:t xml:space="preserve"> from the 2013</w:t>
            </w:r>
            <w:r w:rsidRPr="00097F29">
              <w:t xml:space="preserve"> </w:t>
            </w:r>
            <w:r w:rsidR="006C037D">
              <w:t xml:space="preserve">version </w:t>
            </w:r>
            <w:r w:rsidRPr="00097F29">
              <w:t xml:space="preserve">and broadened out to say ‘people’ not just colleagues (recognising the cases where doctors have been </w:t>
            </w:r>
            <w:r>
              <w:t xml:space="preserve">referred to </w:t>
            </w:r>
            <w:r w:rsidRPr="00097F29">
              <w:t xml:space="preserve">FTP for harassing members of the public on </w:t>
            </w:r>
            <w:r w:rsidRPr="00CD0CCF">
              <w:rPr>
                <w:i/>
                <w:iCs/>
              </w:rPr>
              <w:t xml:space="preserve">Twitter </w:t>
            </w:r>
            <w:r w:rsidRPr="00097F29">
              <w:t xml:space="preserve">for holding certain views/beliefs/lifestyles). </w:t>
            </w:r>
            <w:r w:rsidRPr="00097F29">
              <w:lastRenderedPageBreak/>
              <w:t>This is in line with para 56 in new</w:t>
            </w:r>
            <w:r w:rsidR="00CB37EA">
              <w:t xml:space="preserve"> </w:t>
            </w:r>
            <w:r w:rsidR="00CB37EA" w:rsidRPr="002F10C6">
              <w:rPr>
                <w:rFonts w:asciiTheme="minorHAnsi" w:eastAsiaTheme="minorHAnsi" w:hAnsiTheme="minorHAnsi" w:cstheme="minorHAnsi"/>
                <w:i/>
                <w:iCs/>
              </w:rPr>
              <w:t>Good medical practice</w:t>
            </w:r>
            <w:r w:rsidRPr="00097F29">
              <w:t xml:space="preserve">. This will hopefully have a positive effect in reducing instances of bullying online from </w:t>
            </w:r>
            <w:r w:rsidR="00C92A6B">
              <w:t>medical professional</w:t>
            </w:r>
            <w:r w:rsidR="00C92A6B" w:rsidRPr="00097F29">
              <w:t>s</w:t>
            </w:r>
            <w:r w:rsidRPr="00097F29">
              <w:t xml:space="preserve">. </w:t>
            </w:r>
          </w:p>
          <w:p w14:paraId="0B35BD04" w14:textId="612E270F" w:rsidR="00532820" w:rsidRPr="00097F29" w:rsidRDefault="007F34AC" w:rsidP="00952DC3">
            <w:r w:rsidRPr="00097F29">
              <w:t xml:space="preserve">The PSA queried whether we would have a bystander duty in relation to bullying/discriminatory behaviour online and we </w:t>
            </w:r>
            <w:r w:rsidR="00536F22">
              <w:t>tested</w:t>
            </w:r>
            <w:r w:rsidRPr="00097F29">
              <w:t xml:space="preserve"> a high-level version of this in the draft for engagement: "If you have concerns that a colleague may not be fit to practise and may be putting patients at risk as a result of their </w:t>
            </w:r>
            <w:r w:rsidRPr="00CB3C31">
              <w:t xml:space="preserve">activities online </w:t>
            </w:r>
            <w:r w:rsidRPr="00E34BA5">
              <w:t>you should follow the guidance in para 75C of</w:t>
            </w:r>
            <w:r w:rsidR="00CB37EA" w:rsidRPr="00E34BA5">
              <w:t xml:space="preserve"> </w:t>
            </w:r>
            <w:r w:rsidR="00CB37EA" w:rsidRPr="00F17AD3">
              <w:rPr>
                <w:rFonts w:asciiTheme="minorHAnsi" w:eastAsiaTheme="minorHAnsi" w:hAnsiTheme="minorHAnsi" w:cstheme="minorHAnsi"/>
                <w:i/>
                <w:iCs/>
              </w:rPr>
              <w:t>Good medical practice</w:t>
            </w:r>
            <w:r w:rsidRPr="00E34BA5">
              <w:t xml:space="preserve"> </w:t>
            </w:r>
            <w:r w:rsidRPr="00F17AD3">
              <w:t>"</w:t>
            </w:r>
          </w:p>
        </w:tc>
        <w:tc>
          <w:tcPr>
            <w:tcW w:w="2127" w:type="dxa"/>
            <w:tcBorders>
              <w:bottom w:val="single" w:sz="4" w:space="0" w:color="auto"/>
            </w:tcBorders>
            <w:shd w:val="clear" w:color="auto" w:fill="FFFFFF" w:themeFill="accent6" w:themeFillTint="33"/>
          </w:tcPr>
          <w:p w14:paraId="635E1045" w14:textId="77777777" w:rsidR="00532820" w:rsidRPr="00097F29" w:rsidRDefault="00532820" w:rsidP="005777CA">
            <w:r w:rsidRPr="00097F29">
              <w:lastRenderedPageBreak/>
              <w:t xml:space="preserve">All but </w:t>
            </w:r>
            <w:proofErr w:type="gramStart"/>
            <w:r w:rsidRPr="00097F29">
              <w:t>in particular gender</w:t>
            </w:r>
            <w:proofErr w:type="gramEnd"/>
            <w:r w:rsidRPr="00097F29">
              <w:t xml:space="preserve"> </w:t>
            </w:r>
            <w:r w:rsidRPr="00097F29">
              <w:lastRenderedPageBreak/>
              <w:t>reassignment, sex, religion/belief</w:t>
            </w:r>
          </w:p>
        </w:tc>
        <w:tc>
          <w:tcPr>
            <w:tcW w:w="5670" w:type="dxa"/>
            <w:tcBorders>
              <w:bottom w:val="single" w:sz="4" w:space="0" w:color="auto"/>
            </w:tcBorders>
            <w:shd w:val="clear" w:color="auto" w:fill="FFFFFF" w:themeFill="accent6" w:themeFillTint="33"/>
          </w:tcPr>
          <w:p w14:paraId="63E2416E" w14:textId="3F28234A" w:rsidR="00C92A6B" w:rsidRDefault="00C92A6B" w:rsidP="00A33D6D">
            <w:pPr>
              <w:pStyle w:val="BodyText1"/>
              <w:widowControl w:val="0"/>
              <w:autoSpaceDE w:val="0"/>
              <w:autoSpaceDN w:val="0"/>
              <w:spacing w:before="120" w:after="120" w:line="240" w:lineRule="auto"/>
              <w:rPr>
                <w:rFonts w:cstheme="minorHAnsi"/>
              </w:rPr>
            </w:pPr>
            <w:r>
              <w:lastRenderedPageBreak/>
              <w:t xml:space="preserve">The duty in the final version </w:t>
            </w:r>
            <w:r w:rsidR="00CB3C31">
              <w:t xml:space="preserve">of the MDG guidance </w:t>
            </w:r>
            <w:r>
              <w:t xml:space="preserve">reads: </w:t>
            </w:r>
            <w:bookmarkStart w:id="6" w:name="_Hlk146288377"/>
            <w:r>
              <w:t>“</w:t>
            </w:r>
            <w:r w:rsidRPr="004943F6">
              <w:rPr>
                <w:rFonts w:cstheme="minorHAnsi"/>
              </w:rPr>
              <w:t xml:space="preserve">You must not use social media to </w:t>
            </w:r>
            <w:bookmarkStart w:id="7" w:name="_Hlk146288824"/>
            <w:r w:rsidRPr="004943F6">
              <w:rPr>
                <w:rFonts w:cstheme="minorHAnsi"/>
              </w:rPr>
              <w:t xml:space="preserve">abuse, discriminate against, bully, harass or deliberately target </w:t>
            </w:r>
            <w:r>
              <w:rPr>
                <w:rFonts w:cstheme="minorHAnsi"/>
              </w:rPr>
              <w:t>any individual or group.</w:t>
            </w:r>
            <w:bookmarkEnd w:id="7"/>
            <w:r>
              <w:rPr>
                <w:rFonts w:cstheme="minorHAnsi"/>
              </w:rPr>
              <w:t>”</w:t>
            </w:r>
          </w:p>
          <w:bookmarkEnd w:id="6"/>
          <w:p w14:paraId="7547B7D2" w14:textId="630216F9" w:rsidR="00532820" w:rsidRPr="00097F29" w:rsidRDefault="006C037D" w:rsidP="005777CA">
            <w:r>
              <w:lastRenderedPageBreak/>
              <w:t xml:space="preserve">With respect to a ‘bystander duty’, we sought feedback on the inclusion of a duty to raise concerns during the period of summer engagement and considered the duty again during a redrafting workshop. </w:t>
            </w:r>
            <w:r w:rsidR="00794AA6">
              <w:t>The RO reference group also discussed this duty in detail and members were concerned about</w:t>
            </w:r>
            <w:r w:rsidR="00CD0CCF">
              <w:t xml:space="preserve"> how</w:t>
            </w:r>
            <w:r w:rsidR="00794AA6">
              <w:t xml:space="preserve"> this duty was presented and the prospect of encouraging high volumes of vexatious referrals. Also, it was agreed that to include this duty in the social media guidance we’d have to give further guidance around how the duty should work in different online environments and the very real difficulties in doing that. We agreed that the duty to raise concerns already exists and that given th</w:t>
            </w:r>
            <w:r w:rsidR="00CB3C31">
              <w:t>at our</w:t>
            </w:r>
            <w:r w:rsidR="00794AA6">
              <w:t xml:space="preserve"> message is</w:t>
            </w:r>
            <w:r w:rsidR="00CB3C31">
              <w:t xml:space="preserve"> that</w:t>
            </w:r>
            <w:r w:rsidR="00794AA6">
              <w:t xml:space="preserve"> the standards of medical professionals do not change when using social media, it was unnecessary duplication to include it here, and could potentially cause adverse consequences.</w:t>
            </w:r>
            <w:r w:rsidR="007F75C1">
              <w:t xml:space="preserve"> We also have content about raising concerns and ways of doing this on our social media advice hub pages.</w:t>
            </w:r>
          </w:p>
        </w:tc>
      </w:tr>
      <w:tr w:rsidR="00532820" w:rsidRPr="00097F29" w14:paraId="425F18AD" w14:textId="5B63E601" w:rsidTr="00CB3C31">
        <w:tc>
          <w:tcPr>
            <w:tcW w:w="1701" w:type="dxa"/>
            <w:tcBorders>
              <w:bottom w:val="single" w:sz="4" w:space="0" w:color="auto"/>
            </w:tcBorders>
            <w:shd w:val="clear" w:color="auto" w:fill="E6F2CF" w:themeFill="accent2" w:themeFillTint="33"/>
          </w:tcPr>
          <w:p w14:paraId="4F7F9B3D" w14:textId="77777777" w:rsidR="00532820" w:rsidRPr="00AB403F" w:rsidRDefault="00532820" w:rsidP="005777CA">
            <w:pPr>
              <w:rPr>
                <w:b/>
                <w:bCs/>
              </w:rPr>
            </w:pPr>
            <w:r w:rsidRPr="00AB403F">
              <w:rPr>
                <w:b/>
                <w:bCs/>
              </w:rPr>
              <w:lastRenderedPageBreak/>
              <w:t>Social media</w:t>
            </w:r>
          </w:p>
        </w:tc>
        <w:tc>
          <w:tcPr>
            <w:tcW w:w="1985" w:type="dxa"/>
            <w:tcBorders>
              <w:bottom w:val="single" w:sz="4" w:space="0" w:color="auto"/>
            </w:tcBorders>
            <w:shd w:val="clear" w:color="auto" w:fill="FFFFFF" w:themeFill="accent6" w:themeFillTint="33"/>
          </w:tcPr>
          <w:p w14:paraId="6F919DBB" w14:textId="429D5812" w:rsidR="007F34AC" w:rsidRDefault="00CB37EA" w:rsidP="005777CA">
            <w:r w:rsidRPr="002F10C6">
              <w:rPr>
                <w:rFonts w:asciiTheme="minorHAnsi" w:eastAsiaTheme="minorHAnsi" w:hAnsiTheme="minorHAnsi" w:cstheme="minorHAnsi"/>
                <w:i/>
                <w:iCs/>
              </w:rPr>
              <w:t>Good medical practice</w:t>
            </w:r>
            <w:r>
              <w:rPr>
                <w:rFonts w:asciiTheme="minorHAnsi" w:eastAsiaTheme="minorHAnsi" w:hAnsiTheme="minorHAnsi" w:cstheme="minorHAnsi"/>
              </w:rPr>
              <w:t xml:space="preserve"> </w:t>
            </w:r>
            <w:r w:rsidR="00CD0CCF">
              <w:t xml:space="preserve">para </w:t>
            </w:r>
            <w:r w:rsidR="00B105F8">
              <w:t>83</w:t>
            </w:r>
            <w:r w:rsidR="00CD0CCF">
              <w:t>,</w:t>
            </w:r>
            <w:r w:rsidR="00B105F8">
              <w:t xml:space="preserve"> </w:t>
            </w:r>
            <w:r w:rsidR="00B105F8" w:rsidRPr="00B105F8">
              <w:t xml:space="preserve">If a patient, colleague, or anyone else you have contact with </w:t>
            </w:r>
            <w:r w:rsidR="00B105F8" w:rsidRPr="00B105F8">
              <w:lastRenderedPageBreak/>
              <w:t>in your professional role asks for your</w:t>
            </w:r>
            <w:r w:rsidR="00A33D6D">
              <w:t xml:space="preserve"> registered </w:t>
            </w:r>
            <w:r w:rsidR="00B105F8" w:rsidRPr="00B105F8">
              <w:t xml:space="preserve">name and/or GMC reference number, you must give this information to them. </w:t>
            </w:r>
            <w:r w:rsidR="00B105F8">
              <w:t xml:space="preserve"> </w:t>
            </w:r>
          </w:p>
          <w:p w14:paraId="6D735564" w14:textId="30DF8456" w:rsidR="00532820" w:rsidRPr="00097F29" w:rsidRDefault="00532820" w:rsidP="00B105F8"/>
        </w:tc>
        <w:tc>
          <w:tcPr>
            <w:tcW w:w="4252" w:type="dxa"/>
            <w:tcBorders>
              <w:bottom w:val="single" w:sz="4" w:space="0" w:color="auto"/>
            </w:tcBorders>
            <w:shd w:val="clear" w:color="auto" w:fill="FFFFFF" w:themeFill="accent6" w:themeFillTint="33"/>
          </w:tcPr>
          <w:p w14:paraId="640A87A1" w14:textId="56934162" w:rsidR="007F34AC" w:rsidRDefault="00B105F8" w:rsidP="007F34AC">
            <w:r w:rsidRPr="00097F29">
              <w:lastRenderedPageBreak/>
              <w:t xml:space="preserve">The </w:t>
            </w:r>
            <w:r>
              <w:t xml:space="preserve">social media </w:t>
            </w:r>
            <w:r w:rsidRPr="00097F29">
              <w:t xml:space="preserve">guidance requires individuals to identify themselves by name when posting as a medical professional. </w:t>
            </w:r>
            <w:r w:rsidR="00532820" w:rsidRPr="00097F29">
              <w:t xml:space="preserve">This is an existing duty in </w:t>
            </w:r>
            <w:r w:rsidR="00532820">
              <w:t xml:space="preserve">the current 2013 </w:t>
            </w:r>
            <w:r w:rsidR="00976544">
              <w:t>guidance,</w:t>
            </w:r>
            <w:r w:rsidR="00532820">
              <w:t xml:space="preserve"> </w:t>
            </w:r>
            <w:r w:rsidR="00532820" w:rsidRPr="00097F29">
              <w:t xml:space="preserve">but suggestion is to bring it up top of the </w:t>
            </w:r>
            <w:r w:rsidR="00E7361F">
              <w:lastRenderedPageBreak/>
              <w:t xml:space="preserve">new redraft of this </w:t>
            </w:r>
            <w:r w:rsidR="00532820" w:rsidRPr="00097F29">
              <w:t xml:space="preserve">guidance- own it- and link it to honesty about skills and experience more generally. </w:t>
            </w:r>
            <w:r w:rsidR="007F34AC">
              <w:t xml:space="preserve"> </w:t>
            </w:r>
            <w:r w:rsidR="007F34AC" w:rsidRPr="00097F29">
              <w:t>Risk that this could lead to increased levels of bullying/harassment or vexatious complaints and referrals (which could align strongly with protected characteristics) where others decide they don</w:t>
            </w:r>
            <w:r w:rsidR="00A33D6D">
              <w:t>’</w:t>
            </w:r>
            <w:r w:rsidR="007F34AC" w:rsidRPr="00097F29">
              <w:t>t</w:t>
            </w:r>
            <w:r w:rsidR="007F34AC">
              <w:t xml:space="preserve"> </w:t>
            </w:r>
            <w:r w:rsidR="007F34AC" w:rsidRPr="007F34AC">
              <w:t>agree with their views/lifestyle.</w:t>
            </w:r>
          </w:p>
          <w:p w14:paraId="029DDD7F" w14:textId="1F650D0A" w:rsidR="007F34AC" w:rsidRDefault="00532820" w:rsidP="005777CA">
            <w:r w:rsidRPr="00097F29">
              <w:t>In any other area of professional interaction, we would expect transparency, so we should be upfront about it in th</w:t>
            </w:r>
            <w:r w:rsidR="00E7361F">
              <w:t>e new redraft of this</w:t>
            </w:r>
            <w:r w:rsidR="00E32B50">
              <w:t xml:space="preserve"> </w:t>
            </w:r>
            <w:r w:rsidRPr="00097F29">
              <w:t xml:space="preserve">guidance but keep it as a </w:t>
            </w:r>
            <w:r w:rsidR="006F3524">
              <w:t>‘</w:t>
            </w:r>
            <w:r w:rsidRPr="00097F29">
              <w:t>should</w:t>
            </w:r>
            <w:r w:rsidR="006F3524">
              <w:t>’</w:t>
            </w:r>
            <w:r w:rsidRPr="00097F29">
              <w:t xml:space="preserve"> duty, recognising there are some limited cases where there is a reason for not identifying oneself (for example the </w:t>
            </w:r>
            <w:r w:rsidR="00A44AF0">
              <w:t xml:space="preserve">medical professional </w:t>
            </w:r>
            <w:r w:rsidRPr="00097F29">
              <w:t xml:space="preserve">who was a political refugee or whistle-blowers). </w:t>
            </w:r>
          </w:p>
          <w:p w14:paraId="7C9FBC2F" w14:textId="3A906E73" w:rsidR="00532820" w:rsidRPr="00097F29" w:rsidRDefault="00532820" w:rsidP="005777CA">
            <w:r w:rsidRPr="00097F29">
              <w:t xml:space="preserve">However, arguably social media is not a safe space and so we need to be mindful </w:t>
            </w:r>
            <w:r w:rsidRPr="00097F29">
              <w:lastRenderedPageBreak/>
              <w:t xml:space="preserve">that some medical professionals will be more at risk. This </w:t>
            </w:r>
            <w:proofErr w:type="gramStart"/>
            <w:r w:rsidRPr="00097F29">
              <w:t>has to</w:t>
            </w:r>
            <w:proofErr w:type="gramEnd"/>
            <w:r w:rsidRPr="00097F29">
              <w:t xml:space="preserve"> be balanced against the consideration that misinformation is a serious issue online and in response we are emphasising the need for medical professionals to post accurate information and not be false or misleading. The duty aims to help others interacting with the medical professional online to judge their interventions in context and is a reminder to speak as a professional from the basis of professional knowledge and experience (thus helping to avoid misinformation whether intentional or not).  </w:t>
            </w:r>
          </w:p>
        </w:tc>
        <w:tc>
          <w:tcPr>
            <w:tcW w:w="2127" w:type="dxa"/>
            <w:tcBorders>
              <w:bottom w:val="single" w:sz="4" w:space="0" w:color="auto"/>
            </w:tcBorders>
            <w:shd w:val="clear" w:color="auto" w:fill="FFFFFF" w:themeFill="accent6" w:themeFillTint="33"/>
          </w:tcPr>
          <w:p w14:paraId="75FE9320" w14:textId="77777777" w:rsidR="00532820" w:rsidRPr="00097F29" w:rsidRDefault="00532820" w:rsidP="005777CA">
            <w:r w:rsidRPr="00097F29">
              <w:lastRenderedPageBreak/>
              <w:t>All</w:t>
            </w:r>
          </w:p>
        </w:tc>
        <w:tc>
          <w:tcPr>
            <w:tcW w:w="5670" w:type="dxa"/>
            <w:tcBorders>
              <w:bottom w:val="single" w:sz="4" w:space="0" w:color="auto"/>
            </w:tcBorders>
            <w:shd w:val="clear" w:color="auto" w:fill="FFFFFF" w:themeFill="accent6" w:themeFillTint="33"/>
          </w:tcPr>
          <w:p w14:paraId="227B91CD" w14:textId="090E49A2" w:rsidR="00532820" w:rsidRPr="00097F29" w:rsidRDefault="00D56CE6" w:rsidP="00A33D6D">
            <w:pPr>
              <w:pStyle w:val="BodyText1"/>
              <w:widowControl w:val="0"/>
              <w:autoSpaceDE w:val="0"/>
              <w:autoSpaceDN w:val="0"/>
              <w:spacing w:before="120" w:after="120" w:line="240" w:lineRule="auto"/>
            </w:pPr>
            <w:r>
              <w:t xml:space="preserve">After careful consideration throughout the project and discussion at drafting meetings, RO reference groups, clinical </w:t>
            </w:r>
            <w:r w:rsidR="00E34BA5">
              <w:t>fellows’</w:t>
            </w:r>
            <w:r>
              <w:t xml:space="preserve"> session and SMT, we settled on </w:t>
            </w:r>
            <w:r w:rsidR="002310FC">
              <w:t>the following</w:t>
            </w:r>
            <w:r>
              <w:t>: “</w:t>
            </w:r>
            <w:r w:rsidRPr="00E47C12">
              <w:t xml:space="preserve">It is important that your content includes appropriate context, so that people who access what you say about health and healthcare have information </w:t>
            </w:r>
            <w:r w:rsidRPr="00E47C12">
              <w:lastRenderedPageBreak/>
              <w:t xml:space="preserve">that supports their understanding and </w:t>
            </w:r>
            <w:r>
              <w:t>helps them</w:t>
            </w:r>
            <w:r w:rsidRPr="00E47C12">
              <w:t xml:space="preserve"> to verify your claims and expertise. If you’re commenting on health or healthcare issues you should usually say who you are.</w:t>
            </w:r>
            <w:r>
              <w:t>”</w:t>
            </w:r>
          </w:p>
        </w:tc>
      </w:tr>
      <w:tr w:rsidR="00532820" w:rsidRPr="00097F29" w14:paraId="0C5838C0" w14:textId="79952C5A" w:rsidTr="00CB3C31">
        <w:tc>
          <w:tcPr>
            <w:tcW w:w="1701" w:type="dxa"/>
            <w:tcBorders>
              <w:bottom w:val="single" w:sz="4" w:space="0" w:color="auto"/>
            </w:tcBorders>
            <w:shd w:val="clear" w:color="auto" w:fill="E6F2CF" w:themeFill="accent2" w:themeFillTint="33"/>
          </w:tcPr>
          <w:p w14:paraId="55428DF9" w14:textId="77777777" w:rsidR="00532820" w:rsidRPr="00AB403F" w:rsidRDefault="00532820" w:rsidP="005777CA">
            <w:pPr>
              <w:rPr>
                <w:b/>
                <w:bCs/>
              </w:rPr>
            </w:pPr>
            <w:r w:rsidRPr="00AB403F">
              <w:rPr>
                <w:b/>
                <w:bCs/>
              </w:rPr>
              <w:lastRenderedPageBreak/>
              <w:t>Social media</w:t>
            </w:r>
          </w:p>
        </w:tc>
        <w:tc>
          <w:tcPr>
            <w:tcW w:w="1985" w:type="dxa"/>
            <w:tcBorders>
              <w:bottom w:val="single" w:sz="4" w:space="0" w:color="auto"/>
            </w:tcBorders>
            <w:shd w:val="clear" w:color="auto" w:fill="FFFFFF" w:themeFill="accent6" w:themeFillTint="33"/>
          </w:tcPr>
          <w:p w14:paraId="04D1A7A1" w14:textId="77777777" w:rsidR="00B105F8" w:rsidRDefault="00B105F8" w:rsidP="005777CA">
            <w:r>
              <w:t xml:space="preserve">General concern </w:t>
            </w:r>
          </w:p>
          <w:p w14:paraId="754D5D39" w14:textId="71E670C0" w:rsidR="00532820" w:rsidRPr="00097F29" w:rsidRDefault="00532820" w:rsidP="005777CA"/>
        </w:tc>
        <w:tc>
          <w:tcPr>
            <w:tcW w:w="4252" w:type="dxa"/>
            <w:tcBorders>
              <w:bottom w:val="single" w:sz="4" w:space="0" w:color="auto"/>
            </w:tcBorders>
            <w:shd w:val="clear" w:color="auto" w:fill="FFFFFF" w:themeFill="accent6" w:themeFillTint="33"/>
          </w:tcPr>
          <w:p w14:paraId="67E5A5DA" w14:textId="085DD4BB" w:rsidR="00B105F8" w:rsidRDefault="00B105F8" w:rsidP="005777CA">
            <w:r>
              <w:t>During drafting, we t</w:t>
            </w:r>
            <w:r w:rsidRPr="00097F29">
              <w:t>est</w:t>
            </w:r>
            <w:r>
              <w:t>ed</w:t>
            </w:r>
            <w:r w:rsidRPr="00097F29">
              <w:t xml:space="preserve"> out </w:t>
            </w:r>
            <w:r w:rsidR="005D0994">
              <w:t>translating</w:t>
            </w:r>
            <w:r w:rsidRPr="00097F29">
              <w:t xml:space="preserve"> </w:t>
            </w:r>
            <w:r>
              <w:t xml:space="preserve">a </w:t>
            </w:r>
            <w:r w:rsidRPr="00097F29">
              <w:t xml:space="preserve">duty </w:t>
            </w:r>
            <w:r>
              <w:t xml:space="preserve">from </w:t>
            </w:r>
            <w:r w:rsidR="005D0994" w:rsidRPr="00A33D6D">
              <w:rPr>
                <w:i/>
                <w:iCs/>
              </w:rPr>
              <w:t>the</w:t>
            </w:r>
            <w:r w:rsidRPr="00A33D6D">
              <w:rPr>
                <w:i/>
                <w:iCs/>
              </w:rPr>
              <w:t xml:space="preserve"> </w:t>
            </w:r>
            <w:proofErr w:type="gramStart"/>
            <w:r w:rsidR="00A33D6D" w:rsidRPr="00A33D6D">
              <w:rPr>
                <w:i/>
                <w:iCs/>
              </w:rPr>
              <w:t>Personal</w:t>
            </w:r>
            <w:proofErr w:type="gramEnd"/>
            <w:r w:rsidR="00A33D6D" w:rsidRPr="00A33D6D">
              <w:rPr>
                <w:i/>
                <w:iCs/>
              </w:rPr>
              <w:t xml:space="preserve"> beliefs and medical practice</w:t>
            </w:r>
            <w:r w:rsidR="00A33D6D">
              <w:rPr>
                <w:i/>
                <w:iCs/>
              </w:rPr>
              <w:t xml:space="preserve"> </w:t>
            </w:r>
            <w:r w:rsidRPr="00097F29">
              <w:t>in</w:t>
            </w:r>
            <w:r w:rsidR="005D0994">
              <w:t>to</w:t>
            </w:r>
            <w:r w:rsidRPr="00097F29">
              <w:t xml:space="preserve"> the social media </w:t>
            </w:r>
            <w:r w:rsidR="005D0994">
              <w:t>context</w:t>
            </w:r>
            <w:r w:rsidRPr="00097F29">
              <w:t xml:space="preserve">: "You must not use social media to express your personal beliefs (including political, religious and </w:t>
            </w:r>
            <w:r w:rsidRPr="00097F29">
              <w:lastRenderedPageBreak/>
              <w:t xml:space="preserve">moral beliefs) to people in ways that exploit their vulnerability or could reasonably cause them distress. You must follow our more detailed guidance on </w:t>
            </w:r>
            <w:r w:rsidRPr="00A33D6D">
              <w:rPr>
                <w:i/>
                <w:iCs/>
              </w:rPr>
              <w:t>Personal beliefs and medical practice</w:t>
            </w:r>
            <w:r w:rsidRPr="00097F29">
              <w:t>."</w:t>
            </w:r>
          </w:p>
          <w:p w14:paraId="33FE56C2" w14:textId="1A34F3E2" w:rsidR="00532820" w:rsidRPr="00097F29" w:rsidRDefault="00B105F8" w:rsidP="005777CA">
            <w:r>
              <w:t>However, t</w:t>
            </w:r>
            <w:r w:rsidR="000C51FD" w:rsidRPr="00097F29">
              <w:t xml:space="preserve">his could be seen as going too far to restrict freedom of expression (i.e., beyond the immediate therapeutic relationship) and impact disproportionately on </w:t>
            </w:r>
            <w:r w:rsidR="002310FC">
              <w:t xml:space="preserve">medical </w:t>
            </w:r>
            <w:r w:rsidR="006F3524">
              <w:t xml:space="preserve">professionals </w:t>
            </w:r>
            <w:r w:rsidR="006F3524" w:rsidRPr="00097F29">
              <w:t>who</w:t>
            </w:r>
            <w:r w:rsidR="000C51FD" w:rsidRPr="00097F29">
              <w:t xml:space="preserve"> hold protected beliefs.</w:t>
            </w:r>
          </w:p>
        </w:tc>
        <w:tc>
          <w:tcPr>
            <w:tcW w:w="2127" w:type="dxa"/>
            <w:tcBorders>
              <w:bottom w:val="single" w:sz="4" w:space="0" w:color="auto"/>
            </w:tcBorders>
            <w:shd w:val="clear" w:color="auto" w:fill="FFFFFF" w:themeFill="accent6" w:themeFillTint="33"/>
          </w:tcPr>
          <w:p w14:paraId="72C50B87" w14:textId="6D5E5BB0" w:rsidR="00532820" w:rsidRPr="00097F29" w:rsidRDefault="00B105F8" w:rsidP="005777CA">
            <w:r>
              <w:lastRenderedPageBreak/>
              <w:t>All</w:t>
            </w:r>
          </w:p>
        </w:tc>
        <w:tc>
          <w:tcPr>
            <w:tcW w:w="5670" w:type="dxa"/>
            <w:tcBorders>
              <w:bottom w:val="single" w:sz="4" w:space="0" w:color="auto"/>
            </w:tcBorders>
            <w:shd w:val="clear" w:color="auto" w:fill="FFFFFF" w:themeFill="accent6" w:themeFillTint="33"/>
          </w:tcPr>
          <w:p w14:paraId="544F313E" w14:textId="77777777" w:rsidR="00532820" w:rsidRDefault="00090BBE" w:rsidP="005777CA">
            <w:r>
              <w:t xml:space="preserve">For the reasons in the </w:t>
            </w:r>
            <w:r w:rsidR="00A33D6D">
              <w:t>left-hand</w:t>
            </w:r>
            <w:r>
              <w:t xml:space="preserve"> box, we removed this duty from the draft.</w:t>
            </w:r>
          </w:p>
          <w:p w14:paraId="1D8E8F05" w14:textId="4092B3A6" w:rsidR="000F0D65" w:rsidRPr="004323C6" w:rsidRDefault="000F0D65" w:rsidP="004323C6">
            <w:pPr>
              <w:pStyle w:val="Default"/>
              <w:rPr>
                <w:rFonts w:asciiTheme="minorHAnsi" w:hAnsiTheme="minorHAnsi" w:cstheme="minorHAnsi"/>
                <w:i/>
                <w:iCs/>
              </w:rPr>
            </w:pPr>
            <w:r w:rsidRPr="004323C6">
              <w:rPr>
                <w:rFonts w:asciiTheme="minorHAnsi" w:hAnsiTheme="minorHAnsi" w:cstheme="minorHAnsi"/>
              </w:rPr>
              <w:t xml:space="preserve">All </w:t>
            </w:r>
            <w:r w:rsidR="00A44AF0">
              <w:rPr>
                <w:rFonts w:asciiTheme="minorHAnsi" w:hAnsiTheme="minorHAnsi" w:cstheme="minorHAnsi"/>
              </w:rPr>
              <w:t xml:space="preserve">medical professionals </w:t>
            </w:r>
            <w:r w:rsidRPr="004323C6">
              <w:rPr>
                <w:rFonts w:asciiTheme="minorHAnsi" w:hAnsiTheme="minorHAnsi" w:cstheme="minorHAnsi"/>
              </w:rPr>
              <w:t xml:space="preserve">must make sure that </w:t>
            </w:r>
            <w:r w:rsidR="00F30C51" w:rsidRPr="004323C6">
              <w:rPr>
                <w:rFonts w:asciiTheme="minorHAnsi" w:hAnsiTheme="minorHAnsi" w:cstheme="minorHAnsi"/>
              </w:rPr>
              <w:t xml:space="preserve">they show respect for, and sensitivity towards, others’ life experience, </w:t>
            </w:r>
            <w:r w:rsidR="00E34BA5" w:rsidRPr="004323C6">
              <w:rPr>
                <w:rFonts w:asciiTheme="minorHAnsi" w:hAnsiTheme="minorHAnsi" w:cstheme="minorHAnsi"/>
              </w:rPr>
              <w:t>cultures,</w:t>
            </w:r>
            <w:r w:rsidR="00F30C51" w:rsidRPr="004323C6">
              <w:rPr>
                <w:rFonts w:asciiTheme="minorHAnsi" w:hAnsiTheme="minorHAnsi" w:cstheme="minorHAnsi"/>
              </w:rPr>
              <w:t xml:space="preserve"> and beliefs. (</w:t>
            </w:r>
            <w:r w:rsidR="00387FC3" w:rsidRPr="004323C6">
              <w:rPr>
                <w:rFonts w:asciiTheme="minorHAnsi" w:hAnsiTheme="minorHAnsi" w:cstheme="minorHAnsi"/>
              </w:rPr>
              <w:t>Para</w:t>
            </w:r>
            <w:r w:rsidR="00F30C51" w:rsidRPr="004323C6">
              <w:rPr>
                <w:rFonts w:asciiTheme="minorHAnsi" w:hAnsiTheme="minorHAnsi" w:cstheme="minorHAnsi"/>
              </w:rPr>
              <w:t xml:space="preserve"> 55 of new </w:t>
            </w:r>
            <w:r w:rsidR="00F30C51" w:rsidRPr="004323C6">
              <w:rPr>
                <w:rFonts w:asciiTheme="minorHAnsi" w:hAnsiTheme="minorHAnsi" w:cstheme="minorHAnsi"/>
                <w:i/>
                <w:iCs/>
              </w:rPr>
              <w:t>Good medical practice</w:t>
            </w:r>
            <w:r w:rsidR="00F30C51" w:rsidRPr="00E070E3">
              <w:rPr>
                <w:rFonts w:asciiTheme="minorHAnsi" w:hAnsiTheme="minorHAnsi" w:cstheme="minorHAnsi"/>
              </w:rPr>
              <w:t>)</w:t>
            </w:r>
            <w:r w:rsidR="00F30C51" w:rsidRPr="004323C6">
              <w:rPr>
                <w:rFonts w:asciiTheme="minorHAnsi" w:hAnsiTheme="minorHAnsi" w:cstheme="minorHAnsi"/>
              </w:rPr>
              <w:t xml:space="preserve"> and that </w:t>
            </w:r>
            <w:r w:rsidRPr="004323C6">
              <w:rPr>
                <w:rFonts w:asciiTheme="minorHAnsi" w:hAnsiTheme="minorHAnsi" w:cstheme="minorHAnsi"/>
              </w:rPr>
              <w:t xml:space="preserve">their conduct justifies </w:t>
            </w:r>
            <w:r w:rsidRPr="004323C6">
              <w:rPr>
                <w:rFonts w:asciiTheme="minorHAnsi" w:hAnsiTheme="minorHAnsi" w:cstheme="minorHAnsi"/>
              </w:rPr>
              <w:lastRenderedPageBreak/>
              <w:t xml:space="preserve">patients’ trust in them and the public’s trust in their profession (para 81 of new </w:t>
            </w:r>
            <w:r w:rsidRPr="004323C6">
              <w:rPr>
                <w:rFonts w:asciiTheme="minorHAnsi" w:hAnsiTheme="minorHAnsi" w:cstheme="minorHAnsi"/>
                <w:i/>
                <w:iCs/>
              </w:rPr>
              <w:t>Good medical practice</w:t>
            </w:r>
            <w:r w:rsidR="00341642" w:rsidRPr="004323C6">
              <w:rPr>
                <w:rFonts w:asciiTheme="minorHAnsi" w:hAnsiTheme="minorHAnsi" w:cstheme="minorHAnsi"/>
                <w:i/>
                <w:iCs/>
              </w:rPr>
              <w:t>)</w:t>
            </w:r>
            <w:r w:rsidRPr="004323C6">
              <w:rPr>
                <w:rFonts w:asciiTheme="minorHAnsi" w:hAnsiTheme="minorHAnsi" w:cstheme="minorHAnsi"/>
                <w:i/>
                <w:iCs/>
              </w:rPr>
              <w:t>.</w:t>
            </w:r>
          </w:p>
          <w:p w14:paraId="6AD37274" w14:textId="01116300" w:rsidR="000F0D65" w:rsidRPr="00097F29" w:rsidRDefault="000F0D65" w:rsidP="005777CA"/>
        </w:tc>
      </w:tr>
      <w:tr w:rsidR="009157F2" w:rsidRPr="00097F29" w14:paraId="452D48F1" w14:textId="62FAA06A" w:rsidTr="00CB3C31">
        <w:tc>
          <w:tcPr>
            <w:tcW w:w="1701" w:type="dxa"/>
            <w:shd w:val="clear" w:color="auto" w:fill="FFDFB9" w:themeFill="accent4" w:themeFillShade="E6"/>
          </w:tcPr>
          <w:p w14:paraId="6B81BA42" w14:textId="77777777" w:rsidR="009157F2" w:rsidRPr="00AB403F" w:rsidRDefault="009157F2" w:rsidP="009157F2">
            <w:pPr>
              <w:rPr>
                <w:b/>
                <w:bCs/>
              </w:rPr>
            </w:pPr>
            <w:r w:rsidRPr="00AB403F">
              <w:rPr>
                <w:b/>
                <w:bCs/>
              </w:rPr>
              <w:lastRenderedPageBreak/>
              <w:t>Acting as a witness</w:t>
            </w:r>
          </w:p>
        </w:tc>
        <w:tc>
          <w:tcPr>
            <w:tcW w:w="1985" w:type="dxa"/>
            <w:shd w:val="clear" w:color="auto" w:fill="FFFCFA" w:themeFill="accent4" w:themeFillTint="33"/>
          </w:tcPr>
          <w:p w14:paraId="6AD36355" w14:textId="6369E74A" w:rsidR="009157F2" w:rsidRPr="00097F29" w:rsidRDefault="00C62110" w:rsidP="009157F2">
            <w:r>
              <w:t>P</w:t>
            </w:r>
            <w:r w:rsidR="009157F2" w:rsidRPr="00097F29">
              <w:t>aragraph 3</w:t>
            </w:r>
            <w:r w:rsidR="009157F2">
              <w:t xml:space="preserve"> of the engagement draft </w:t>
            </w:r>
            <w:r w:rsidR="009157F2" w:rsidRPr="00097F29">
              <w:t xml:space="preserve">(albeit not a new principle) says: 'You must understand your role as a witness and cooperate </w:t>
            </w:r>
            <w:r w:rsidR="009157F2" w:rsidRPr="00097F29">
              <w:lastRenderedPageBreak/>
              <w:t xml:space="preserve">with case management'. </w:t>
            </w:r>
          </w:p>
        </w:tc>
        <w:tc>
          <w:tcPr>
            <w:tcW w:w="4252" w:type="dxa"/>
            <w:shd w:val="clear" w:color="auto" w:fill="FFFCFA" w:themeFill="accent4" w:themeFillTint="33"/>
          </w:tcPr>
          <w:p w14:paraId="4A96A4F2" w14:textId="5EEE6714" w:rsidR="009157F2" w:rsidRPr="00097F29" w:rsidRDefault="009157F2" w:rsidP="00284445">
            <w:r w:rsidRPr="00097F29">
              <w:lastRenderedPageBreak/>
              <w:t>Might this be more difficult for certain individuals or groups due to culture</w:t>
            </w:r>
            <w:r w:rsidR="00284445">
              <w:t xml:space="preserve"> (i.e., those who have l</w:t>
            </w:r>
            <w:r w:rsidR="00284445" w:rsidRPr="00284445">
              <w:t>ess familiarity with</w:t>
            </w:r>
            <w:r w:rsidR="00284445">
              <w:t xml:space="preserve"> these systems (bearing in mind that some of the </w:t>
            </w:r>
            <w:r w:rsidR="009934BA">
              <w:t xml:space="preserve">legal </w:t>
            </w:r>
            <w:r w:rsidR="00EE2F61">
              <w:t>processes</w:t>
            </w:r>
            <w:r w:rsidR="00284445">
              <w:t xml:space="preserve"> themselves vary widely in Scotland and Northern Ireland </w:t>
            </w:r>
            <w:r w:rsidR="009934BA">
              <w:t>from those in E</w:t>
            </w:r>
            <w:r w:rsidR="00284445">
              <w:t xml:space="preserve">ngland and Wales). </w:t>
            </w:r>
          </w:p>
        </w:tc>
        <w:tc>
          <w:tcPr>
            <w:tcW w:w="2127" w:type="dxa"/>
            <w:shd w:val="clear" w:color="auto" w:fill="FFFCFA" w:themeFill="accent4" w:themeFillTint="33"/>
          </w:tcPr>
          <w:p w14:paraId="6A39C451" w14:textId="290AD436" w:rsidR="009157F2" w:rsidRPr="00097F29" w:rsidRDefault="009157F2" w:rsidP="009157F2">
            <w:r w:rsidRPr="00097F29">
              <w:t>Race</w:t>
            </w:r>
          </w:p>
        </w:tc>
        <w:tc>
          <w:tcPr>
            <w:tcW w:w="5670" w:type="dxa"/>
            <w:shd w:val="clear" w:color="auto" w:fill="FFFCFA" w:themeFill="accent4" w:themeFillTint="33"/>
          </w:tcPr>
          <w:p w14:paraId="71AC995D" w14:textId="5482FC3F" w:rsidR="009157F2" w:rsidRDefault="009157F2" w:rsidP="009157F2">
            <w:r>
              <w:t xml:space="preserve">This has been amended to “you must take steps to understand”, which shifts the emphasis from what the </w:t>
            </w:r>
            <w:r w:rsidR="00EC7156">
              <w:t xml:space="preserve">medical professional </w:t>
            </w:r>
            <w:r>
              <w:t xml:space="preserve">may already know, to the actions they must take to make sure that they meet the requirements of the legal process. This is a necessary requirement for anyone acting as a witness in view of the potentially serious consequences if witnesses do not maintain high standards. Stakeholders have also emphasised the personal responsibility of any person </w:t>
            </w:r>
            <w:r>
              <w:lastRenderedPageBreak/>
              <w:t>asked to act as a witness to consider their suitability to do so.</w:t>
            </w:r>
          </w:p>
          <w:p w14:paraId="0B228EE8" w14:textId="77777777" w:rsidR="00A45E0F" w:rsidRDefault="00773566" w:rsidP="00A45E0F">
            <w:r>
              <w:t>We have published a supporting leaflet that lists the key learning resources and relevant legal frameworks</w:t>
            </w:r>
            <w:r w:rsidR="009157F2">
              <w:t xml:space="preserve"> </w:t>
            </w:r>
            <w:r>
              <w:t xml:space="preserve">with links </w:t>
            </w:r>
            <w:r w:rsidR="009157F2">
              <w:t xml:space="preserve">to websites where people who are interested can find out more about the competencies, and available training, </w:t>
            </w:r>
            <w:r>
              <w:t xml:space="preserve">to become expert </w:t>
            </w:r>
            <w:r w:rsidR="00EF3264">
              <w:t>witnesses.</w:t>
            </w:r>
          </w:p>
          <w:p w14:paraId="5714CF6F" w14:textId="6B8D6ED4" w:rsidR="00976544" w:rsidRPr="00A45E0F" w:rsidRDefault="00773566" w:rsidP="00A45E0F">
            <w:r>
              <w:rPr>
                <w:rStyle w:val="cf01"/>
                <w:rFonts w:ascii="Calibri" w:hAnsi="Calibri" w:cs="Calibri"/>
                <w:sz w:val="24"/>
                <w:szCs w:val="24"/>
              </w:rPr>
              <w:t>In the final published text, we</w:t>
            </w:r>
            <w:r w:rsidR="001E5BD9">
              <w:rPr>
                <w:rStyle w:val="cf01"/>
                <w:rFonts w:ascii="Calibri" w:hAnsi="Calibri" w:cs="Calibri"/>
                <w:sz w:val="24"/>
                <w:szCs w:val="24"/>
              </w:rPr>
              <w:t xml:space="preserve"> point </w:t>
            </w:r>
            <w:r w:rsidR="00EF3264">
              <w:rPr>
                <w:rStyle w:val="cf01"/>
                <w:rFonts w:ascii="Calibri" w:hAnsi="Calibri" w:cs="Calibri"/>
                <w:sz w:val="24"/>
                <w:szCs w:val="24"/>
              </w:rPr>
              <w:t xml:space="preserve">out </w:t>
            </w:r>
            <w:r w:rsidR="00EF3264" w:rsidRPr="00976544">
              <w:rPr>
                <w:rStyle w:val="cf01"/>
                <w:rFonts w:ascii="Calibri" w:hAnsi="Calibri" w:cs="Calibri"/>
                <w:sz w:val="24"/>
                <w:szCs w:val="24"/>
              </w:rPr>
              <w:t>that</w:t>
            </w:r>
            <w:r w:rsidR="00976544" w:rsidRPr="00976544">
              <w:rPr>
                <w:rStyle w:val="cf01"/>
                <w:rFonts w:ascii="Calibri" w:hAnsi="Calibri" w:cs="Calibri"/>
                <w:sz w:val="24"/>
                <w:szCs w:val="24"/>
              </w:rPr>
              <w:t xml:space="preserve"> in most cases patient safety reviews and investigations do not have legal powers to compel people to give evidence (except the </w:t>
            </w:r>
            <w:r w:rsidR="00EF3264">
              <w:rPr>
                <w:rStyle w:val="cf01"/>
                <w:rFonts w:ascii="Calibri" w:hAnsi="Calibri" w:cs="Calibri"/>
                <w:sz w:val="24"/>
                <w:szCs w:val="24"/>
              </w:rPr>
              <w:t>Health Services Safety Investigations Body ‘</w:t>
            </w:r>
            <w:r w:rsidR="00976544" w:rsidRPr="00976544">
              <w:rPr>
                <w:rStyle w:val="cf01"/>
                <w:rFonts w:ascii="Calibri" w:hAnsi="Calibri" w:cs="Calibri"/>
                <w:sz w:val="24"/>
                <w:szCs w:val="24"/>
              </w:rPr>
              <w:t>HS</w:t>
            </w:r>
            <w:r w:rsidR="00EF3264">
              <w:rPr>
                <w:rStyle w:val="cf01"/>
                <w:rFonts w:ascii="Calibri" w:hAnsi="Calibri" w:cs="Calibri"/>
                <w:sz w:val="24"/>
                <w:szCs w:val="24"/>
              </w:rPr>
              <w:t>S</w:t>
            </w:r>
            <w:r w:rsidR="00976544" w:rsidRPr="00976544">
              <w:rPr>
                <w:rStyle w:val="cf01"/>
                <w:rFonts w:ascii="Calibri" w:hAnsi="Calibri" w:cs="Calibri"/>
                <w:sz w:val="24"/>
                <w:szCs w:val="24"/>
              </w:rPr>
              <w:t>IB</w:t>
            </w:r>
            <w:r w:rsidR="00EF3264">
              <w:rPr>
                <w:rStyle w:val="cf01"/>
                <w:rFonts w:ascii="Calibri" w:hAnsi="Calibri" w:cs="Calibri"/>
                <w:sz w:val="24"/>
                <w:szCs w:val="24"/>
              </w:rPr>
              <w:t>’</w:t>
            </w:r>
            <w:r w:rsidR="00976544" w:rsidRPr="00976544">
              <w:rPr>
                <w:rStyle w:val="cf01"/>
                <w:rFonts w:ascii="Calibri" w:hAnsi="Calibri" w:cs="Calibri"/>
                <w:sz w:val="24"/>
                <w:szCs w:val="24"/>
              </w:rPr>
              <w:t xml:space="preserve">), </w:t>
            </w:r>
            <w:r w:rsidR="001E5BD9">
              <w:rPr>
                <w:rStyle w:val="cf01"/>
                <w:rFonts w:ascii="Calibri" w:hAnsi="Calibri" w:cs="Calibri"/>
                <w:sz w:val="24"/>
                <w:szCs w:val="24"/>
              </w:rPr>
              <w:t xml:space="preserve">so they are not ‘legal proceedings’ for the purpose of the guidance. However, we </w:t>
            </w:r>
            <w:r w:rsidR="00976544" w:rsidRPr="00976544">
              <w:rPr>
                <w:rStyle w:val="cf01"/>
                <w:rFonts w:ascii="Calibri" w:hAnsi="Calibri" w:cs="Calibri"/>
                <w:sz w:val="24"/>
                <w:szCs w:val="24"/>
              </w:rPr>
              <w:t>emphasis</w:t>
            </w:r>
            <w:r w:rsidR="001E5BD9">
              <w:rPr>
                <w:rStyle w:val="cf01"/>
                <w:rFonts w:ascii="Calibri" w:hAnsi="Calibri" w:cs="Calibri"/>
                <w:sz w:val="24"/>
                <w:szCs w:val="24"/>
              </w:rPr>
              <w:t>e</w:t>
            </w:r>
            <w:r w:rsidR="00976544" w:rsidRPr="00976544">
              <w:rPr>
                <w:rStyle w:val="cf01"/>
                <w:rFonts w:ascii="Calibri" w:hAnsi="Calibri" w:cs="Calibri"/>
                <w:sz w:val="24"/>
                <w:szCs w:val="24"/>
              </w:rPr>
              <w:t xml:space="preserve"> that their aim is to support a learning and safety culture within </w:t>
            </w:r>
            <w:r w:rsidR="00EF3264" w:rsidRPr="00976544">
              <w:rPr>
                <w:rStyle w:val="cf01"/>
                <w:rFonts w:ascii="Calibri" w:hAnsi="Calibri" w:cs="Calibri"/>
                <w:sz w:val="24"/>
                <w:szCs w:val="24"/>
              </w:rPr>
              <w:t>organisation</w:t>
            </w:r>
            <w:r w:rsidR="00EF3264">
              <w:rPr>
                <w:rStyle w:val="cf01"/>
                <w:rFonts w:ascii="Calibri" w:hAnsi="Calibri" w:cs="Calibri"/>
                <w:sz w:val="24"/>
                <w:szCs w:val="24"/>
              </w:rPr>
              <w:t>s,</w:t>
            </w:r>
            <w:r w:rsidR="001E5BD9">
              <w:rPr>
                <w:rStyle w:val="cf01"/>
                <w:rFonts w:ascii="Calibri" w:hAnsi="Calibri" w:cs="Calibri"/>
                <w:sz w:val="24"/>
                <w:szCs w:val="24"/>
              </w:rPr>
              <w:t xml:space="preserve"> and we signpost to sources of information and support for anyone who is asked to take part in a patient safety review or investigation. </w:t>
            </w:r>
            <w:r w:rsidR="00976544" w:rsidRPr="00976544">
              <w:rPr>
                <w:rStyle w:val="cf01"/>
                <w:rFonts w:ascii="Calibri" w:hAnsi="Calibri" w:cs="Calibri"/>
                <w:sz w:val="24"/>
                <w:szCs w:val="24"/>
              </w:rPr>
              <w:t xml:space="preserve">Including this content may be helpful to </w:t>
            </w:r>
            <w:r w:rsidR="00CF48AE">
              <w:rPr>
                <w:rStyle w:val="cf01"/>
                <w:rFonts w:ascii="Calibri" w:hAnsi="Calibri" w:cs="Calibri"/>
                <w:sz w:val="24"/>
                <w:szCs w:val="24"/>
              </w:rPr>
              <w:t xml:space="preserve">medical </w:t>
            </w:r>
            <w:r w:rsidR="00EF3264">
              <w:rPr>
                <w:rStyle w:val="cf01"/>
                <w:rFonts w:ascii="Calibri" w:hAnsi="Calibri" w:cs="Calibri"/>
                <w:sz w:val="24"/>
                <w:szCs w:val="24"/>
              </w:rPr>
              <w:t xml:space="preserve">professionals </w:t>
            </w:r>
            <w:r w:rsidR="00EF3264" w:rsidRPr="00976544">
              <w:rPr>
                <w:rStyle w:val="cf01"/>
                <w:rFonts w:ascii="Calibri" w:hAnsi="Calibri" w:cs="Calibri"/>
                <w:sz w:val="24"/>
                <w:szCs w:val="24"/>
              </w:rPr>
              <w:t>who</w:t>
            </w:r>
            <w:r w:rsidR="00976544" w:rsidRPr="00976544">
              <w:rPr>
                <w:rStyle w:val="cf01"/>
                <w:rFonts w:ascii="Calibri" w:hAnsi="Calibri" w:cs="Calibri"/>
                <w:sz w:val="24"/>
                <w:szCs w:val="24"/>
              </w:rPr>
              <w:t xml:space="preserve"> are unfamiliar with </w:t>
            </w:r>
            <w:r w:rsidR="00EF3264">
              <w:rPr>
                <w:rStyle w:val="cf01"/>
                <w:rFonts w:ascii="Calibri" w:hAnsi="Calibri" w:cs="Calibri"/>
                <w:sz w:val="24"/>
                <w:szCs w:val="24"/>
              </w:rPr>
              <w:t xml:space="preserve">patient safety incidents, </w:t>
            </w:r>
            <w:r w:rsidR="00EE2F61">
              <w:rPr>
                <w:rStyle w:val="cf01"/>
                <w:rFonts w:ascii="Calibri" w:hAnsi="Calibri" w:cs="Calibri"/>
                <w:sz w:val="24"/>
                <w:szCs w:val="24"/>
              </w:rPr>
              <w:t>investigations,</w:t>
            </w:r>
            <w:r w:rsidR="00EF3264">
              <w:rPr>
                <w:rStyle w:val="cf01"/>
                <w:rFonts w:ascii="Calibri" w:hAnsi="Calibri" w:cs="Calibri"/>
                <w:sz w:val="24"/>
                <w:szCs w:val="24"/>
              </w:rPr>
              <w:t xml:space="preserve"> and reviews.  This also applies to those unfamiliar with </w:t>
            </w:r>
            <w:r w:rsidR="00CF48AE">
              <w:rPr>
                <w:rStyle w:val="cf01"/>
                <w:rFonts w:ascii="Calibri" w:hAnsi="Calibri" w:cs="Calibri"/>
                <w:sz w:val="24"/>
                <w:szCs w:val="24"/>
              </w:rPr>
              <w:t>d</w:t>
            </w:r>
            <w:r w:rsidR="00976544" w:rsidRPr="00976544">
              <w:rPr>
                <w:rStyle w:val="cf01"/>
                <w:rFonts w:ascii="Calibri" w:hAnsi="Calibri" w:cs="Calibri"/>
                <w:sz w:val="24"/>
                <w:szCs w:val="24"/>
              </w:rPr>
              <w:t xml:space="preserve">uty of </w:t>
            </w:r>
            <w:r w:rsidR="00CF48AE">
              <w:rPr>
                <w:rStyle w:val="cf01"/>
                <w:rFonts w:ascii="Calibri" w:hAnsi="Calibri" w:cs="Calibri"/>
                <w:sz w:val="24"/>
                <w:szCs w:val="24"/>
              </w:rPr>
              <w:t>c</w:t>
            </w:r>
            <w:r w:rsidR="00976544" w:rsidRPr="00976544">
              <w:rPr>
                <w:rStyle w:val="cf01"/>
                <w:rFonts w:ascii="Calibri" w:hAnsi="Calibri" w:cs="Calibri"/>
                <w:sz w:val="24"/>
                <w:szCs w:val="24"/>
              </w:rPr>
              <w:t xml:space="preserve">andour requirements </w:t>
            </w:r>
            <w:r w:rsidR="00976544" w:rsidRPr="00976544">
              <w:rPr>
                <w:rStyle w:val="cf01"/>
                <w:rFonts w:ascii="Calibri" w:hAnsi="Calibri" w:cs="Calibri"/>
                <w:sz w:val="24"/>
                <w:szCs w:val="24"/>
              </w:rPr>
              <w:lastRenderedPageBreak/>
              <w:t xml:space="preserve">and </w:t>
            </w:r>
            <w:r w:rsidR="00EF3264">
              <w:rPr>
                <w:rStyle w:val="cf01"/>
                <w:rFonts w:ascii="Calibri" w:hAnsi="Calibri" w:cs="Calibri"/>
                <w:sz w:val="24"/>
                <w:szCs w:val="24"/>
              </w:rPr>
              <w:t xml:space="preserve">those who </w:t>
            </w:r>
            <w:r w:rsidR="00976544" w:rsidRPr="00976544">
              <w:rPr>
                <w:rStyle w:val="cf01"/>
                <w:rFonts w:ascii="Calibri" w:hAnsi="Calibri" w:cs="Calibri"/>
                <w:sz w:val="24"/>
                <w:szCs w:val="24"/>
              </w:rPr>
              <w:t xml:space="preserve">may not understand the difference between these processes and the legal requirements in </w:t>
            </w:r>
            <w:r w:rsidR="00387FC3" w:rsidRPr="00976544">
              <w:rPr>
                <w:rStyle w:val="cf01"/>
                <w:rFonts w:ascii="Calibri" w:hAnsi="Calibri" w:cs="Calibri"/>
                <w:sz w:val="24"/>
                <w:szCs w:val="24"/>
              </w:rPr>
              <w:t>e.g.,</w:t>
            </w:r>
            <w:r w:rsidR="00976544" w:rsidRPr="00976544">
              <w:rPr>
                <w:rStyle w:val="cf01"/>
                <w:rFonts w:ascii="Calibri" w:hAnsi="Calibri" w:cs="Calibri"/>
                <w:sz w:val="24"/>
                <w:szCs w:val="24"/>
              </w:rPr>
              <w:t xml:space="preserve"> clinical negligence claims. This may include </w:t>
            </w:r>
            <w:r w:rsidR="00C4630B">
              <w:rPr>
                <w:rStyle w:val="cf01"/>
                <w:rFonts w:ascii="Calibri" w:hAnsi="Calibri" w:cs="Calibri"/>
                <w:sz w:val="24"/>
                <w:szCs w:val="24"/>
              </w:rPr>
              <w:t xml:space="preserve">IMGs </w:t>
            </w:r>
            <w:r w:rsidR="00976544" w:rsidRPr="00976544">
              <w:rPr>
                <w:rStyle w:val="cf01"/>
                <w:rFonts w:ascii="Calibri" w:hAnsi="Calibri" w:cs="Calibri"/>
                <w:sz w:val="24"/>
                <w:szCs w:val="24"/>
              </w:rPr>
              <w:t xml:space="preserve">and newly qualified </w:t>
            </w:r>
            <w:r w:rsidR="00176653">
              <w:rPr>
                <w:rStyle w:val="cf01"/>
                <w:rFonts w:ascii="Calibri" w:hAnsi="Calibri" w:cs="Calibri"/>
                <w:sz w:val="24"/>
                <w:szCs w:val="24"/>
              </w:rPr>
              <w:t>medical professionals</w:t>
            </w:r>
            <w:r w:rsidR="00976544" w:rsidRPr="00976544">
              <w:rPr>
                <w:rStyle w:val="cf01"/>
                <w:rFonts w:ascii="Calibri" w:hAnsi="Calibri" w:cs="Calibri"/>
                <w:sz w:val="24"/>
                <w:szCs w:val="24"/>
              </w:rPr>
              <w:t>.</w:t>
            </w:r>
          </w:p>
          <w:p w14:paraId="43E8ECD5" w14:textId="08A206FD" w:rsidR="009157F2" w:rsidRPr="00097F29" w:rsidRDefault="009157F2" w:rsidP="009157F2"/>
        </w:tc>
      </w:tr>
      <w:tr w:rsidR="00532820" w:rsidRPr="00097F29" w14:paraId="5E8198E5" w14:textId="59D2778D" w:rsidTr="00CB3C31">
        <w:tc>
          <w:tcPr>
            <w:tcW w:w="1701" w:type="dxa"/>
            <w:tcBorders>
              <w:bottom w:val="single" w:sz="4" w:space="0" w:color="auto"/>
            </w:tcBorders>
            <w:shd w:val="clear" w:color="auto" w:fill="FFDFB9" w:themeFill="accent4" w:themeFillShade="E6"/>
          </w:tcPr>
          <w:p w14:paraId="75542681" w14:textId="77777777" w:rsidR="00532820" w:rsidRPr="00AB403F" w:rsidRDefault="00532820" w:rsidP="005777CA">
            <w:pPr>
              <w:rPr>
                <w:b/>
                <w:bCs/>
              </w:rPr>
            </w:pPr>
            <w:r w:rsidRPr="00AB403F">
              <w:rPr>
                <w:b/>
                <w:bCs/>
              </w:rPr>
              <w:lastRenderedPageBreak/>
              <w:t>Acting as a witness</w:t>
            </w:r>
          </w:p>
        </w:tc>
        <w:tc>
          <w:tcPr>
            <w:tcW w:w="1985" w:type="dxa"/>
            <w:tcBorders>
              <w:bottom w:val="single" w:sz="4" w:space="0" w:color="auto"/>
            </w:tcBorders>
            <w:shd w:val="clear" w:color="auto" w:fill="FFFCFA" w:themeFill="accent4" w:themeFillTint="33"/>
          </w:tcPr>
          <w:p w14:paraId="385624B7" w14:textId="6FC169DA" w:rsidR="00532820" w:rsidRPr="00097F29" w:rsidRDefault="00EE2F61" w:rsidP="005777CA">
            <w:r>
              <w:t xml:space="preserve">In the existing guidance and the engagement draft, </w:t>
            </w:r>
            <w:r w:rsidR="00532820" w:rsidRPr="00097F29">
              <w:t xml:space="preserve">we also say medical professionals 'must make sure [they] meet the timescales for producing reports and attending meetings, conferences or court hearings'. </w:t>
            </w:r>
          </w:p>
        </w:tc>
        <w:tc>
          <w:tcPr>
            <w:tcW w:w="4252" w:type="dxa"/>
            <w:tcBorders>
              <w:bottom w:val="single" w:sz="4" w:space="0" w:color="auto"/>
            </w:tcBorders>
            <w:shd w:val="clear" w:color="auto" w:fill="FFFCFA" w:themeFill="accent4" w:themeFillTint="33"/>
          </w:tcPr>
          <w:p w14:paraId="5BCB5213" w14:textId="1350FE29" w:rsidR="00532820" w:rsidRPr="00097F29" w:rsidRDefault="00B65C76" w:rsidP="005777CA">
            <w:r w:rsidRPr="00097F29">
              <w:t xml:space="preserve">Could this be more difficult for those working less than full time? In which case it may disproportionately affect women </w:t>
            </w:r>
            <w:r w:rsidR="000A64C3">
              <w:t>as</w:t>
            </w:r>
            <w:r w:rsidRPr="00097F29">
              <w:t xml:space="preserve"> they are more likely to work part-time due to caring responsibilities.</w:t>
            </w:r>
          </w:p>
        </w:tc>
        <w:tc>
          <w:tcPr>
            <w:tcW w:w="2127" w:type="dxa"/>
            <w:tcBorders>
              <w:bottom w:val="single" w:sz="4" w:space="0" w:color="auto"/>
            </w:tcBorders>
            <w:shd w:val="clear" w:color="auto" w:fill="FFFCFA" w:themeFill="accent4" w:themeFillTint="33"/>
          </w:tcPr>
          <w:p w14:paraId="25198149" w14:textId="34F5EC2A" w:rsidR="00532820" w:rsidRPr="00097F29" w:rsidRDefault="0052667C" w:rsidP="005777CA">
            <w:r>
              <w:t xml:space="preserve">Sex </w:t>
            </w:r>
          </w:p>
        </w:tc>
        <w:tc>
          <w:tcPr>
            <w:tcW w:w="5670" w:type="dxa"/>
            <w:tcBorders>
              <w:bottom w:val="single" w:sz="4" w:space="0" w:color="auto"/>
            </w:tcBorders>
            <w:shd w:val="clear" w:color="auto" w:fill="FFFCFA" w:themeFill="accent4" w:themeFillTint="33"/>
          </w:tcPr>
          <w:p w14:paraId="6B1F1544" w14:textId="36FC15A0" w:rsidR="00976544" w:rsidRPr="00976544" w:rsidRDefault="00311177" w:rsidP="00E37296">
            <w:pPr>
              <w:rPr>
                <w:rFonts w:cs="Calibri"/>
              </w:rPr>
            </w:pPr>
            <w:r w:rsidRPr="00976544">
              <w:rPr>
                <w:rFonts w:cs="Calibri"/>
              </w:rPr>
              <w:t xml:space="preserve">While this has been redrafted post-engagement the underlying expectation remains the same. Any differential impact arises from the required timescales in legal proceedings rather than from the professional expectation that those timescales would be met.  </w:t>
            </w:r>
            <w:r w:rsidR="00976544" w:rsidRPr="00976544">
              <w:rPr>
                <w:rStyle w:val="cf01"/>
                <w:rFonts w:ascii="Calibri" w:hAnsi="Calibri" w:cs="Calibri"/>
                <w:sz w:val="24"/>
                <w:szCs w:val="24"/>
              </w:rPr>
              <w:t xml:space="preserve">It now says that </w:t>
            </w:r>
            <w:r w:rsidR="00CF48AE">
              <w:rPr>
                <w:rStyle w:val="cf01"/>
                <w:rFonts w:ascii="Calibri" w:hAnsi="Calibri" w:cs="Calibri"/>
                <w:sz w:val="24"/>
                <w:szCs w:val="24"/>
              </w:rPr>
              <w:t xml:space="preserve">medical </w:t>
            </w:r>
            <w:r w:rsidR="00EE2F61">
              <w:rPr>
                <w:rStyle w:val="cf01"/>
                <w:rFonts w:ascii="Calibri" w:hAnsi="Calibri" w:cs="Calibri"/>
                <w:sz w:val="24"/>
                <w:szCs w:val="24"/>
              </w:rPr>
              <w:t xml:space="preserve">professionals </w:t>
            </w:r>
            <w:r w:rsidR="00EE2F61" w:rsidRPr="00976544">
              <w:rPr>
                <w:rStyle w:val="cf01"/>
                <w:rFonts w:ascii="Calibri" w:hAnsi="Calibri" w:cs="Calibri"/>
                <w:sz w:val="24"/>
                <w:szCs w:val="24"/>
              </w:rPr>
              <w:t>should</w:t>
            </w:r>
            <w:r w:rsidR="00976544" w:rsidRPr="00976544">
              <w:rPr>
                <w:rStyle w:val="cf01"/>
                <w:rFonts w:ascii="Calibri" w:hAnsi="Calibri" w:cs="Calibri"/>
                <w:sz w:val="24"/>
                <w:szCs w:val="24"/>
              </w:rPr>
              <w:t xml:space="preserve"> take all practical steps to meet agreed timescales. </w:t>
            </w:r>
          </w:p>
          <w:p w14:paraId="227FB98E" w14:textId="77777777" w:rsidR="00976544" w:rsidRPr="00976544" w:rsidRDefault="00976544" w:rsidP="00976544">
            <w:pPr>
              <w:pStyle w:val="pf0"/>
              <w:rPr>
                <w:rFonts w:ascii="Calibri" w:hAnsi="Calibri" w:cs="Calibri"/>
              </w:rPr>
            </w:pPr>
            <w:r w:rsidRPr="00976544">
              <w:rPr>
                <w:rStyle w:val="cf01"/>
                <w:rFonts w:ascii="Calibri" w:hAnsi="Calibri" w:cs="Calibri"/>
                <w:sz w:val="24"/>
                <w:szCs w:val="24"/>
              </w:rPr>
              <w:t>This recognises that health issues and other matters may affect how possible it is to meet timelines, while stressing the need to respect agreed deadlines as delays can impede access to justice in some legal cases.</w:t>
            </w:r>
          </w:p>
          <w:p w14:paraId="7A4143B2" w14:textId="3D826700" w:rsidR="00976544" w:rsidRPr="00976544" w:rsidRDefault="00976544" w:rsidP="005777CA">
            <w:pPr>
              <w:rPr>
                <w:b/>
                <w:bCs/>
              </w:rPr>
            </w:pPr>
          </w:p>
        </w:tc>
      </w:tr>
      <w:tr w:rsidR="00532820" w:rsidRPr="00097F29" w14:paraId="369E426C" w14:textId="34CEFDF3" w:rsidTr="00CB3C31">
        <w:tc>
          <w:tcPr>
            <w:tcW w:w="1701" w:type="dxa"/>
            <w:shd w:val="clear" w:color="auto" w:fill="2795AE" w:themeFill="background2" w:themeFillShade="E6"/>
          </w:tcPr>
          <w:p w14:paraId="2CD37F0E" w14:textId="77777777" w:rsidR="00532820" w:rsidRPr="00AB403F" w:rsidRDefault="00532820" w:rsidP="005777CA">
            <w:pPr>
              <w:rPr>
                <w:b/>
                <w:bCs/>
              </w:rPr>
            </w:pPr>
            <w:r w:rsidRPr="00AB403F">
              <w:rPr>
                <w:b/>
                <w:bCs/>
              </w:rPr>
              <w:lastRenderedPageBreak/>
              <w:t>Delegation and referral</w:t>
            </w:r>
          </w:p>
        </w:tc>
        <w:tc>
          <w:tcPr>
            <w:tcW w:w="1985" w:type="dxa"/>
            <w:shd w:val="clear" w:color="auto" w:fill="auto"/>
          </w:tcPr>
          <w:p w14:paraId="48BE0B36" w14:textId="7564DEFC" w:rsidR="00532820" w:rsidRPr="00097F29" w:rsidRDefault="0001001A" w:rsidP="005777CA">
            <w:r>
              <w:t>General concern</w:t>
            </w:r>
          </w:p>
        </w:tc>
        <w:tc>
          <w:tcPr>
            <w:tcW w:w="4252" w:type="dxa"/>
            <w:shd w:val="clear" w:color="auto" w:fill="auto"/>
          </w:tcPr>
          <w:p w14:paraId="3DC0E943" w14:textId="71CE17D5" w:rsidR="00532820" w:rsidRPr="00097F29" w:rsidRDefault="005E0091" w:rsidP="005777CA">
            <w:r w:rsidRPr="00097F29">
              <w:t xml:space="preserve">Power dynamics are inherent to the process of delegation, in that it </w:t>
            </w:r>
            <w:r w:rsidR="00E37296">
              <w:t xml:space="preserve">often </w:t>
            </w:r>
            <w:r w:rsidRPr="00097F29">
              <w:t>involves more senior medical professionals delegating to more junior colleagues. We must therefore be mindful that delegation creates the conditions for potential unfair treatment.</w:t>
            </w:r>
          </w:p>
        </w:tc>
        <w:tc>
          <w:tcPr>
            <w:tcW w:w="2127" w:type="dxa"/>
            <w:shd w:val="clear" w:color="auto" w:fill="auto"/>
          </w:tcPr>
          <w:p w14:paraId="19BB043C" w14:textId="77777777" w:rsidR="00532820" w:rsidRPr="00097F29" w:rsidRDefault="00532820" w:rsidP="005777CA">
            <w:r w:rsidRPr="00097F29">
              <w:t>All</w:t>
            </w:r>
          </w:p>
        </w:tc>
        <w:tc>
          <w:tcPr>
            <w:tcW w:w="5670" w:type="dxa"/>
          </w:tcPr>
          <w:p w14:paraId="0092777B" w14:textId="6F1EDD1C" w:rsidR="0001001A" w:rsidRDefault="0001001A" w:rsidP="00BB6D4A">
            <w:pPr>
              <w:pStyle w:val="Default"/>
              <w:rPr>
                <w:rFonts w:ascii="Calibri" w:hAnsi="Calibri" w:cs="Calibri"/>
                <w:i/>
                <w:iCs/>
              </w:rPr>
            </w:pPr>
            <w:r w:rsidRPr="00D1139E">
              <w:rPr>
                <w:rFonts w:ascii="Calibri" w:hAnsi="Calibri" w:cs="Calibri"/>
              </w:rPr>
              <w:t xml:space="preserve">Whilst this is a credible </w:t>
            </w:r>
            <w:r w:rsidR="00976544">
              <w:rPr>
                <w:rFonts w:ascii="Calibri" w:hAnsi="Calibri" w:cs="Calibri"/>
              </w:rPr>
              <w:t>concern</w:t>
            </w:r>
            <w:r w:rsidRPr="00D1139E">
              <w:rPr>
                <w:rFonts w:ascii="Calibri" w:hAnsi="Calibri" w:cs="Calibri"/>
              </w:rPr>
              <w:t xml:space="preserve">, it is arguable that the final version of the new draft </w:t>
            </w:r>
            <w:proofErr w:type="gramStart"/>
            <w:r w:rsidR="00976544">
              <w:rPr>
                <w:rFonts w:ascii="Calibri" w:hAnsi="Calibri" w:cs="Calibri"/>
              </w:rPr>
              <w:t xml:space="preserve">actually </w:t>
            </w:r>
            <w:r w:rsidRPr="00D1139E">
              <w:rPr>
                <w:rFonts w:ascii="Calibri" w:hAnsi="Calibri" w:cs="Calibri"/>
              </w:rPr>
              <w:t>gives</w:t>
            </w:r>
            <w:proofErr w:type="gramEnd"/>
            <w:r w:rsidRPr="00D1139E">
              <w:rPr>
                <w:rFonts w:ascii="Calibri" w:hAnsi="Calibri" w:cs="Calibri"/>
              </w:rPr>
              <w:t xml:space="preserve"> more power to the delagatee </w:t>
            </w:r>
            <w:r w:rsidR="00976544">
              <w:rPr>
                <w:rFonts w:ascii="Calibri" w:hAnsi="Calibri" w:cs="Calibri"/>
              </w:rPr>
              <w:t xml:space="preserve">(usually junior member of staff and less powerful) </w:t>
            </w:r>
            <w:r w:rsidRPr="00D1139E">
              <w:rPr>
                <w:rFonts w:ascii="Calibri" w:hAnsi="Calibri" w:cs="Calibri"/>
              </w:rPr>
              <w:t xml:space="preserve">as they can and </w:t>
            </w:r>
            <w:r w:rsidRPr="00D1139E">
              <w:rPr>
                <w:rFonts w:ascii="Calibri" w:hAnsi="Calibri" w:cs="Calibri"/>
                <w:i/>
                <w:iCs/>
              </w:rPr>
              <w:t>must prioritise patient safety</w:t>
            </w:r>
            <w:r w:rsidRPr="00D1139E">
              <w:rPr>
                <w:rFonts w:ascii="Calibri" w:hAnsi="Calibri" w:cs="Calibri"/>
              </w:rPr>
              <w:t xml:space="preserve"> and either refuse a </w:t>
            </w:r>
            <w:r w:rsidR="00387FC3" w:rsidRPr="00D1139E">
              <w:rPr>
                <w:rFonts w:ascii="Calibri" w:hAnsi="Calibri" w:cs="Calibri"/>
              </w:rPr>
              <w:t>task,</w:t>
            </w:r>
            <w:r w:rsidR="00D1139E" w:rsidRPr="00D1139E">
              <w:rPr>
                <w:rFonts w:ascii="Calibri" w:hAnsi="Calibri" w:cs="Calibri"/>
              </w:rPr>
              <w:t xml:space="preserve"> </w:t>
            </w:r>
            <w:r w:rsidRPr="00D1139E">
              <w:rPr>
                <w:rFonts w:ascii="Calibri" w:hAnsi="Calibri" w:cs="Calibri"/>
              </w:rPr>
              <w:t xml:space="preserve">they do not believe they are capable of doing, or seek supervision. </w:t>
            </w:r>
            <w:r w:rsidR="00030540" w:rsidRPr="00D1139E">
              <w:rPr>
                <w:rFonts w:ascii="Calibri" w:hAnsi="Calibri" w:cs="Calibri"/>
              </w:rPr>
              <w:t xml:space="preserve">Also, it is hoped that new </w:t>
            </w:r>
            <w:r w:rsidR="00030540" w:rsidRPr="008152BD">
              <w:rPr>
                <w:rFonts w:ascii="Calibri" w:hAnsi="Calibri" w:cs="Calibri"/>
              </w:rPr>
              <w:t>paragraph 11</w:t>
            </w:r>
            <w:r w:rsidR="00D1139E" w:rsidRPr="00D1139E">
              <w:rPr>
                <w:rFonts w:ascii="Calibri" w:hAnsi="Calibri" w:cs="Calibri"/>
              </w:rPr>
              <w:t xml:space="preserve"> which says: </w:t>
            </w:r>
            <w:r w:rsidR="00030540" w:rsidRPr="00030540">
              <w:rPr>
                <w:rFonts w:ascii="Calibri" w:hAnsi="Calibri" w:cs="Calibri"/>
                <w:i/>
                <w:iCs/>
              </w:rPr>
              <w:t xml:space="preserve">You must respond constructively to any concerns colleagues have and make sure they know where they can find support or access </w:t>
            </w:r>
            <w:r w:rsidR="00D1139E" w:rsidRPr="00D1139E">
              <w:rPr>
                <w:rFonts w:ascii="Calibri" w:hAnsi="Calibri" w:cs="Calibri"/>
                <w:i/>
                <w:iCs/>
              </w:rPr>
              <w:t>supervision places</w:t>
            </w:r>
            <w:r w:rsidR="00030540" w:rsidRPr="00D1139E">
              <w:rPr>
                <w:rFonts w:ascii="Calibri" w:hAnsi="Calibri" w:cs="Calibri"/>
              </w:rPr>
              <w:t xml:space="preserve"> a duty on those delegating tasks </w:t>
            </w:r>
            <w:r w:rsidR="00030540" w:rsidRPr="00D1139E">
              <w:rPr>
                <w:rFonts w:ascii="Calibri" w:hAnsi="Calibri" w:cs="Calibri"/>
                <w:u w:val="single"/>
              </w:rPr>
              <w:t>to do so fairly</w:t>
            </w:r>
            <w:r w:rsidR="00D1139E" w:rsidRPr="00D1139E">
              <w:rPr>
                <w:rFonts w:ascii="Calibri" w:hAnsi="Calibri" w:cs="Calibri"/>
                <w:u w:val="single"/>
              </w:rPr>
              <w:t xml:space="preserve"> (</w:t>
            </w:r>
            <w:r w:rsidR="00976544" w:rsidRPr="00D1139E">
              <w:rPr>
                <w:rFonts w:ascii="Calibri" w:hAnsi="Calibri" w:cs="Calibri"/>
                <w:u w:val="single"/>
              </w:rPr>
              <w:t>linked</w:t>
            </w:r>
            <w:r w:rsidR="00D1139E" w:rsidRPr="00D1139E">
              <w:rPr>
                <w:rFonts w:ascii="Calibri" w:hAnsi="Calibri" w:cs="Calibri"/>
                <w:u w:val="single"/>
              </w:rPr>
              <w:t xml:space="preserve"> to new </w:t>
            </w:r>
            <w:r w:rsidR="00CB37EA" w:rsidRPr="002F10C6">
              <w:rPr>
                <w:rFonts w:asciiTheme="minorHAnsi" w:hAnsiTheme="minorHAnsi" w:cstheme="minorHAnsi"/>
                <w:i/>
                <w:iCs/>
              </w:rPr>
              <w:t>Good medical practice</w:t>
            </w:r>
            <w:r w:rsidR="00CB37EA">
              <w:rPr>
                <w:rFonts w:asciiTheme="minorHAnsi" w:hAnsiTheme="minorHAnsi" w:cstheme="minorHAnsi"/>
              </w:rPr>
              <w:t xml:space="preserve"> </w:t>
            </w:r>
            <w:r w:rsidR="00D1139E" w:rsidRPr="008152BD">
              <w:rPr>
                <w:rFonts w:ascii="Calibri" w:hAnsi="Calibri" w:cs="Calibri"/>
                <w:u w:val="single"/>
              </w:rPr>
              <w:t>duty 64:</w:t>
            </w:r>
            <w:r w:rsidR="00D1139E" w:rsidRPr="00D1139E">
              <w:rPr>
                <w:rFonts w:ascii="Calibri" w:hAnsi="Calibri" w:cs="Calibri"/>
                <w:u w:val="single"/>
              </w:rPr>
              <w:t xml:space="preserve"> </w:t>
            </w:r>
            <w:r w:rsidR="00D1139E" w:rsidRPr="00D1139E">
              <w:rPr>
                <w:rFonts w:ascii="Calibri" w:hAnsi="Calibri" w:cs="Calibri"/>
                <w:i/>
                <w:iCs/>
              </w:rPr>
              <w:t xml:space="preserve">If part of your role is helping staff access training, development and employment opportunities, you should do this fairly </w:t>
            </w:r>
            <w:r w:rsidR="00BB6D4A">
              <w:rPr>
                <w:rFonts w:ascii="Calibri" w:hAnsi="Calibri" w:cs="Calibri"/>
                <w:i/>
                <w:iCs/>
              </w:rPr>
              <w:t>.</w:t>
            </w:r>
          </w:p>
          <w:p w14:paraId="7259FECA" w14:textId="77777777" w:rsidR="00BB6D4A" w:rsidRDefault="00BB6D4A" w:rsidP="00BB6D4A">
            <w:pPr>
              <w:pStyle w:val="Default"/>
              <w:rPr>
                <w:rFonts w:ascii="Calibri" w:hAnsi="Calibri" w:cs="Calibri"/>
                <w:i/>
                <w:iCs/>
              </w:rPr>
            </w:pPr>
          </w:p>
          <w:p w14:paraId="03F1178A" w14:textId="6577C8E3" w:rsidR="00BB6D4A" w:rsidRPr="00BB6D4A" w:rsidRDefault="00BB6D4A" w:rsidP="00BB6D4A">
            <w:pPr>
              <w:pStyle w:val="Default"/>
              <w:rPr>
                <w:rFonts w:cs="Calibri"/>
              </w:rPr>
            </w:pPr>
            <w:r>
              <w:rPr>
                <w:rFonts w:ascii="Calibri" w:hAnsi="Calibri" w:cs="Calibri"/>
              </w:rPr>
              <w:t xml:space="preserve">The link here is that a training opportunity (to undertake a new procedure) should never be more important than patient safety and training opportunities should be distributed fairly, so no one should see an opportunity as more important than patient safety. </w:t>
            </w:r>
          </w:p>
        </w:tc>
      </w:tr>
      <w:tr w:rsidR="00532820" w:rsidRPr="00097F29" w14:paraId="3211E850" w14:textId="5320CED1" w:rsidTr="00CB3C31">
        <w:tc>
          <w:tcPr>
            <w:tcW w:w="1701" w:type="dxa"/>
            <w:shd w:val="clear" w:color="auto" w:fill="2795AE" w:themeFill="background2" w:themeFillShade="E6"/>
          </w:tcPr>
          <w:p w14:paraId="7066EDCB" w14:textId="77777777" w:rsidR="00532820" w:rsidRPr="00AB403F" w:rsidRDefault="00532820" w:rsidP="005777CA">
            <w:pPr>
              <w:rPr>
                <w:b/>
                <w:bCs/>
              </w:rPr>
            </w:pPr>
            <w:r w:rsidRPr="00AB403F">
              <w:rPr>
                <w:b/>
                <w:bCs/>
              </w:rPr>
              <w:t>Delegation and referral</w:t>
            </w:r>
          </w:p>
        </w:tc>
        <w:tc>
          <w:tcPr>
            <w:tcW w:w="1985" w:type="dxa"/>
            <w:shd w:val="clear" w:color="auto" w:fill="auto"/>
          </w:tcPr>
          <w:p w14:paraId="37BD664E" w14:textId="76E29923" w:rsidR="00532820" w:rsidRPr="00097F29" w:rsidRDefault="008152BD" w:rsidP="005777CA">
            <w:r>
              <w:t>N</w:t>
            </w:r>
            <w:r w:rsidR="00532820" w:rsidRPr="00097F29">
              <w:t xml:space="preserve">ew </w:t>
            </w:r>
            <w:r>
              <w:t xml:space="preserve">wording </w:t>
            </w:r>
            <w:r w:rsidR="00532820" w:rsidRPr="00097F29">
              <w:t xml:space="preserve">says: 'You must assess the competence of a </w:t>
            </w:r>
            <w:r w:rsidR="00532820" w:rsidRPr="00097F29">
              <w:lastRenderedPageBreak/>
              <w:t xml:space="preserve">colleague before delegating to them'. </w:t>
            </w:r>
          </w:p>
        </w:tc>
        <w:tc>
          <w:tcPr>
            <w:tcW w:w="4252" w:type="dxa"/>
            <w:shd w:val="clear" w:color="auto" w:fill="auto"/>
          </w:tcPr>
          <w:p w14:paraId="2EACEB0A" w14:textId="7865DFEB" w:rsidR="007A66E3" w:rsidRPr="007A66E3" w:rsidRDefault="005E0091" w:rsidP="007A66E3">
            <w:r w:rsidRPr="00097F29">
              <w:lastRenderedPageBreak/>
              <w:t xml:space="preserve">Might this be more difficult for certain individuals or groups due </w:t>
            </w:r>
            <w:r w:rsidR="007A66E3">
              <w:t xml:space="preserve">them </w:t>
            </w:r>
            <w:r w:rsidR="00E37296">
              <w:t>having</w:t>
            </w:r>
            <w:r w:rsidR="007A66E3" w:rsidRPr="007A66E3">
              <w:rPr>
                <w:rFonts w:ascii="Segoe UI" w:hAnsi="Segoe UI" w:cs="Segoe UI"/>
                <w:color w:val="auto"/>
                <w:sz w:val="18"/>
                <w:szCs w:val="18"/>
                <w:lang w:eastAsia="en-GB"/>
              </w:rPr>
              <w:t xml:space="preserve"> </w:t>
            </w:r>
            <w:r w:rsidR="007A66E3" w:rsidRPr="007A66E3">
              <w:t>less familiarity with (a) the competencies covered in UK education and training</w:t>
            </w:r>
            <w:r w:rsidR="00C62110">
              <w:t xml:space="preserve"> and </w:t>
            </w:r>
            <w:r w:rsidR="00C62110">
              <w:lastRenderedPageBreak/>
              <w:t xml:space="preserve">what </w:t>
            </w:r>
            <w:r w:rsidR="007A66E3" w:rsidRPr="007A66E3">
              <w:t>different qualifications</w:t>
            </w:r>
            <w:r w:rsidR="00C62110">
              <w:t xml:space="preserve"> indicate</w:t>
            </w:r>
            <w:r w:rsidR="007A66E3" w:rsidRPr="007A66E3">
              <w:t xml:space="preserve">, (b) the scope of roles within different healthcare settings, and c) different expectations of staff working within multi-disciplinary teams </w:t>
            </w:r>
          </w:p>
          <w:p w14:paraId="780A84FD" w14:textId="3AC1B89F" w:rsidR="00532820" w:rsidRPr="00097F29" w:rsidRDefault="00532820" w:rsidP="005777CA"/>
        </w:tc>
        <w:tc>
          <w:tcPr>
            <w:tcW w:w="2127" w:type="dxa"/>
            <w:shd w:val="clear" w:color="auto" w:fill="auto"/>
          </w:tcPr>
          <w:p w14:paraId="0CA85D59" w14:textId="503A215E" w:rsidR="00532820" w:rsidRPr="00097F29" w:rsidRDefault="00532820" w:rsidP="005777CA">
            <w:r w:rsidRPr="00097F29">
              <w:lastRenderedPageBreak/>
              <w:t>Race</w:t>
            </w:r>
            <w:r w:rsidR="00EA2FA2">
              <w:t>, age</w:t>
            </w:r>
          </w:p>
        </w:tc>
        <w:tc>
          <w:tcPr>
            <w:tcW w:w="5670" w:type="dxa"/>
          </w:tcPr>
          <w:p w14:paraId="2CAAFEEB" w14:textId="316F50DA" w:rsidR="009E5054" w:rsidRPr="00097F29" w:rsidRDefault="009E5054" w:rsidP="00C62110">
            <w:r>
              <w:t xml:space="preserve">The duty in the engagement draft and the final version is less onerous than what is written here.  The final version now says at </w:t>
            </w:r>
            <w:r w:rsidRPr="008152BD">
              <w:t>para</w:t>
            </w:r>
            <w:r w:rsidR="00FF6E1A">
              <w:t>graph</w:t>
            </w:r>
            <w:r w:rsidRPr="008152BD">
              <w:t xml:space="preserve"> 4:</w:t>
            </w:r>
            <w:r w:rsidR="00387FC3">
              <w:t xml:space="preserve"> </w:t>
            </w:r>
            <w:r w:rsidR="00387FC3" w:rsidRPr="009E5054">
              <w:rPr>
                <w:i/>
                <w:iCs/>
              </w:rPr>
              <w:t xml:space="preserve">you must be confident that the colleague </w:t>
            </w:r>
            <w:r w:rsidRPr="009E5054">
              <w:rPr>
                <w:i/>
                <w:iCs/>
              </w:rPr>
              <w:t xml:space="preserve">you delegate to has the necessary </w:t>
            </w:r>
            <w:r w:rsidRPr="009E5054">
              <w:rPr>
                <w:i/>
                <w:iCs/>
              </w:rPr>
              <w:lastRenderedPageBreak/>
              <w:t xml:space="preserve">knowledge, skills, and training to carry out the </w:t>
            </w:r>
            <w:r w:rsidRPr="009E5054">
              <w:t>task ….</w:t>
            </w:r>
            <w:r>
              <w:t xml:space="preserve">” And </w:t>
            </w:r>
            <w:r w:rsidRPr="008152BD">
              <w:t>para</w:t>
            </w:r>
            <w:r w:rsidR="00CF48AE">
              <w:t>graph</w:t>
            </w:r>
            <w:r w:rsidRPr="008152BD">
              <w:t xml:space="preserve"> 5 a</w:t>
            </w:r>
            <w:r>
              <w:t>lso gives advice on how to get assurance about competence (</w:t>
            </w:r>
            <w:r w:rsidR="00EA2FA2">
              <w:t>e.g.,</w:t>
            </w:r>
            <w:r>
              <w:t xml:space="preserve"> are individuals on statutory or managed voluntary registers?) and, now that delegation is defined as shared responsibility (between delegator and delagatee </w:t>
            </w:r>
            <w:r w:rsidRPr="008152BD">
              <w:t>para 3)</w:t>
            </w:r>
            <w:r>
              <w:t xml:space="preserve"> so, providing </w:t>
            </w:r>
            <w:r w:rsidR="00EA2FA2">
              <w:t xml:space="preserve">the </w:t>
            </w:r>
            <w:r>
              <w:t xml:space="preserve">delegator gives clear and correct </w:t>
            </w:r>
            <w:r w:rsidR="00D1139E">
              <w:t>instructions, the</w:t>
            </w:r>
            <w:r>
              <w:t xml:space="preserve"> delagatee is responsible for how the task is carried out. </w:t>
            </w:r>
          </w:p>
        </w:tc>
      </w:tr>
      <w:tr w:rsidR="00532820" w:rsidRPr="00097F29" w14:paraId="52EAB037" w14:textId="050858D5" w:rsidTr="00CB3C31">
        <w:tc>
          <w:tcPr>
            <w:tcW w:w="1701" w:type="dxa"/>
            <w:shd w:val="clear" w:color="auto" w:fill="2795AE" w:themeFill="background2" w:themeFillShade="E6"/>
          </w:tcPr>
          <w:p w14:paraId="5497C464" w14:textId="77777777" w:rsidR="00532820" w:rsidRPr="00AB403F" w:rsidRDefault="00532820" w:rsidP="005777CA">
            <w:pPr>
              <w:rPr>
                <w:b/>
                <w:bCs/>
              </w:rPr>
            </w:pPr>
            <w:r w:rsidRPr="00AB403F">
              <w:rPr>
                <w:b/>
                <w:bCs/>
              </w:rPr>
              <w:lastRenderedPageBreak/>
              <w:t>Delegation and referral</w:t>
            </w:r>
          </w:p>
        </w:tc>
        <w:tc>
          <w:tcPr>
            <w:tcW w:w="1985" w:type="dxa"/>
            <w:shd w:val="clear" w:color="auto" w:fill="auto"/>
          </w:tcPr>
          <w:p w14:paraId="5D560FEF" w14:textId="6B2BA4A3" w:rsidR="00532820" w:rsidRPr="00097F29" w:rsidRDefault="00532820" w:rsidP="005777CA">
            <w:r w:rsidRPr="00097F29">
              <w:t xml:space="preserve">Paragraphs 12 </w:t>
            </w:r>
            <w:r w:rsidR="00CF48AE">
              <w:t xml:space="preserve">and </w:t>
            </w:r>
            <w:r w:rsidR="00794214">
              <w:t xml:space="preserve">14 </w:t>
            </w:r>
            <w:r w:rsidRPr="00097F29">
              <w:t xml:space="preserve">say medical professionals must speak up if they feel they are being asked to work outside their competence. </w:t>
            </w:r>
          </w:p>
        </w:tc>
        <w:tc>
          <w:tcPr>
            <w:tcW w:w="4252" w:type="dxa"/>
            <w:shd w:val="clear" w:color="auto" w:fill="auto"/>
          </w:tcPr>
          <w:p w14:paraId="6529A575" w14:textId="33037F9C" w:rsidR="00794214" w:rsidRDefault="00794214" w:rsidP="005777CA">
            <w:r w:rsidRPr="00097F29">
              <w:t xml:space="preserve">Asking questions of or speaking up to a senior colleague </w:t>
            </w:r>
            <w:r>
              <w:t xml:space="preserve">or indeed saying </w:t>
            </w:r>
            <w:r w:rsidR="007F44B5">
              <w:t>“</w:t>
            </w:r>
            <w:r>
              <w:t>no I don’t feel able to carry out this task – I don’t have the right level of competence</w:t>
            </w:r>
            <w:r w:rsidR="007F44B5">
              <w:t>”</w:t>
            </w:r>
            <w:r>
              <w:t xml:space="preserve"> </w:t>
            </w:r>
            <w:r w:rsidRPr="00097F29">
              <w:t>might not be commonplace</w:t>
            </w:r>
            <w:r>
              <w:t xml:space="preserve"> or happen at all </w:t>
            </w:r>
            <w:r w:rsidRPr="00097F29">
              <w:t xml:space="preserve">in certain </w:t>
            </w:r>
            <w:r>
              <w:t xml:space="preserve">other </w:t>
            </w:r>
            <w:r w:rsidRPr="00097F29">
              <w:t>health systems</w:t>
            </w:r>
            <w:r w:rsidR="007F44B5">
              <w:t xml:space="preserve"> across the world.</w:t>
            </w:r>
          </w:p>
          <w:p w14:paraId="67146F48" w14:textId="284358B8" w:rsidR="00794214" w:rsidRDefault="00794214" w:rsidP="005777CA">
            <w:r>
              <w:t xml:space="preserve">As a result, this could </w:t>
            </w:r>
            <w:r w:rsidRPr="00097F29">
              <w:t xml:space="preserve">mean these duties disproportionately impact </w:t>
            </w:r>
            <w:r w:rsidR="009F346E">
              <w:t xml:space="preserve">IMG </w:t>
            </w:r>
            <w:r w:rsidRPr="00097F29">
              <w:t>professionals</w:t>
            </w:r>
            <w:r w:rsidR="007F44B5">
              <w:t>.</w:t>
            </w:r>
            <w:r w:rsidRPr="00097F29">
              <w:t xml:space="preserve"> </w:t>
            </w:r>
          </w:p>
          <w:p w14:paraId="2E00EB5D" w14:textId="2A41839D" w:rsidR="005E0091" w:rsidRDefault="009F346E" w:rsidP="005777CA">
            <w:r>
              <w:t xml:space="preserve">As this duty requires speaking up – </w:t>
            </w:r>
            <w:r w:rsidR="00E84975">
              <w:t xml:space="preserve">this </w:t>
            </w:r>
            <w:r w:rsidR="00E84975" w:rsidRPr="00097F29">
              <w:t>might</w:t>
            </w:r>
            <w:r w:rsidR="005E0091" w:rsidRPr="00097F29">
              <w:t xml:space="preserve"> be more difficult for certain </w:t>
            </w:r>
            <w:r w:rsidR="005E0091" w:rsidRPr="00097F29">
              <w:lastRenderedPageBreak/>
              <w:t xml:space="preserve">groups who </w:t>
            </w:r>
            <w:r w:rsidR="007F44B5">
              <w:t xml:space="preserve">have learnt behaviour not to </w:t>
            </w:r>
            <w:r w:rsidR="005E0091" w:rsidRPr="00097F29">
              <w:t>admit to gap</w:t>
            </w:r>
            <w:r w:rsidR="007F44B5">
              <w:t>s</w:t>
            </w:r>
            <w:r w:rsidR="005E0091" w:rsidRPr="00097F29">
              <w:t xml:space="preserve"> in their knowledge (</w:t>
            </w:r>
            <w:r w:rsidR="00176653" w:rsidRPr="00097F29">
              <w:t>e.g.,</w:t>
            </w:r>
            <w:r w:rsidR="005E0091" w:rsidRPr="00097F29">
              <w:t xml:space="preserve"> IMGs, </w:t>
            </w:r>
            <w:r w:rsidR="00E84975" w:rsidRPr="00097F29">
              <w:t xml:space="preserve">young </w:t>
            </w:r>
            <w:r w:rsidR="00E84975">
              <w:t>(</w:t>
            </w:r>
            <w:r>
              <w:t>possibly female)</w:t>
            </w:r>
            <w:r w:rsidR="005E0091" w:rsidRPr="00097F29">
              <w:t xml:space="preserve"> </w:t>
            </w:r>
            <w:r w:rsidR="00A44AF0">
              <w:t>medical professionals</w:t>
            </w:r>
            <w:r>
              <w:t xml:space="preserve">, </w:t>
            </w:r>
            <w:r w:rsidR="007F44B5">
              <w:t xml:space="preserve">other </w:t>
            </w:r>
            <w:r w:rsidR="00A44AF0">
              <w:t xml:space="preserve">medical professionals </w:t>
            </w:r>
            <w:r>
              <w:t xml:space="preserve">who have any characteristics that </w:t>
            </w:r>
            <w:r w:rsidR="00E84975">
              <w:t xml:space="preserve">already </w:t>
            </w:r>
            <w:r>
              <w:t>impact</w:t>
            </w:r>
            <w:r w:rsidR="00E84975">
              <w:t>s</w:t>
            </w:r>
            <w:r>
              <w:t xml:space="preserve"> their confidence</w:t>
            </w:r>
            <w:r w:rsidR="00E84975">
              <w:t>/standing/</w:t>
            </w:r>
            <w:r w:rsidR="00284445">
              <w:t>power e</w:t>
            </w:r>
            <w:r w:rsidR="007F44B5">
              <w:t>.</w:t>
            </w:r>
            <w:r w:rsidR="00284445">
              <w:t>g</w:t>
            </w:r>
            <w:r w:rsidR="007F44B5">
              <w:t>.,</w:t>
            </w:r>
            <w:r>
              <w:t xml:space="preserve"> disability</w:t>
            </w:r>
            <w:r w:rsidR="00E84975">
              <w:t>, being pregnant etc</w:t>
            </w:r>
          </w:p>
          <w:p w14:paraId="0A83A6A0" w14:textId="77777777" w:rsidR="005E0091" w:rsidRDefault="005E0091" w:rsidP="005777CA"/>
          <w:p w14:paraId="49AE3B56" w14:textId="5D1D3F0B" w:rsidR="00532820" w:rsidRPr="00097F29" w:rsidRDefault="00532820" w:rsidP="005777CA"/>
        </w:tc>
        <w:tc>
          <w:tcPr>
            <w:tcW w:w="2127" w:type="dxa"/>
            <w:shd w:val="clear" w:color="auto" w:fill="auto"/>
          </w:tcPr>
          <w:p w14:paraId="4432260E" w14:textId="0B8FA476" w:rsidR="00532820" w:rsidRPr="00097F29" w:rsidRDefault="009F346E" w:rsidP="005777CA">
            <w:r>
              <w:lastRenderedPageBreak/>
              <w:t xml:space="preserve">Race, age, </w:t>
            </w:r>
            <w:r w:rsidR="00E84975">
              <w:t xml:space="preserve">sex, disability, </w:t>
            </w:r>
            <w:r w:rsidR="00E036D5">
              <w:t>pregnancy and</w:t>
            </w:r>
            <w:r w:rsidR="00E84975">
              <w:t xml:space="preserve"> possibly others if they affect the M</w:t>
            </w:r>
            <w:r w:rsidR="00A44AF0">
              <w:t xml:space="preserve">edical </w:t>
            </w:r>
            <w:r w:rsidR="00E84975">
              <w:t>P</w:t>
            </w:r>
            <w:r w:rsidR="00A44AF0">
              <w:t>rofessional</w:t>
            </w:r>
            <w:r w:rsidR="00E036D5">
              <w:t>’</w:t>
            </w:r>
            <w:r w:rsidR="00E84975">
              <w:t>s standing/ability to speak up.</w:t>
            </w:r>
          </w:p>
        </w:tc>
        <w:tc>
          <w:tcPr>
            <w:tcW w:w="5670" w:type="dxa"/>
          </w:tcPr>
          <w:p w14:paraId="2158B5C5" w14:textId="09361529" w:rsidR="00C14AE8" w:rsidRDefault="009903B5" w:rsidP="00AF4A91">
            <w:pPr>
              <w:rPr>
                <w:i/>
                <w:iCs/>
              </w:rPr>
            </w:pPr>
            <w:r>
              <w:t xml:space="preserve">This is a genuine concern and was expressed in the targeted engagement by one organisational respondent and it was expressed </w:t>
            </w:r>
            <w:r w:rsidR="00093169">
              <w:t>i</w:t>
            </w:r>
            <w:r>
              <w:t xml:space="preserve">n one of the meetings leading up to targeted engagement. </w:t>
            </w:r>
            <w:r w:rsidR="00093169">
              <w:t xml:space="preserve">Discussed this </w:t>
            </w:r>
            <w:r w:rsidR="00794214">
              <w:t>with</w:t>
            </w:r>
            <w:r w:rsidR="00CF48AE">
              <w:t xml:space="preserve"> our</w:t>
            </w:r>
            <w:r w:rsidR="00794214">
              <w:t xml:space="preserve"> Outreach</w:t>
            </w:r>
            <w:r w:rsidR="00CF48AE">
              <w:t xml:space="preserve"> team who work regularly with </w:t>
            </w:r>
            <w:r w:rsidR="00176653">
              <w:t xml:space="preserve">medical professionals </w:t>
            </w:r>
            <w:r w:rsidR="00CF48AE">
              <w:t xml:space="preserve">across the UK. </w:t>
            </w:r>
            <w:r w:rsidR="00E036D5">
              <w:t xml:space="preserve">They acknowledge this </w:t>
            </w:r>
            <w:r w:rsidR="00BB6D4A">
              <w:t xml:space="preserve">concern and agree </w:t>
            </w:r>
            <w:r w:rsidR="00093169" w:rsidRPr="004323C6">
              <w:t xml:space="preserve">there is a sound evidence base that </w:t>
            </w:r>
            <w:proofErr w:type="spellStart"/>
            <w:r w:rsidR="00A44AF0" w:rsidRPr="004323C6">
              <w:t>minoriti</w:t>
            </w:r>
            <w:r w:rsidR="00A44AF0">
              <w:t>s</w:t>
            </w:r>
            <w:r w:rsidR="00A44AF0" w:rsidRPr="004323C6">
              <w:t>ed</w:t>
            </w:r>
            <w:proofErr w:type="spellEnd"/>
            <w:r w:rsidR="00093169" w:rsidRPr="004323C6">
              <w:t xml:space="preserve"> ethnic </w:t>
            </w:r>
            <w:r w:rsidR="00176653">
              <w:t>medical professionals</w:t>
            </w:r>
            <w:r w:rsidR="00093169" w:rsidRPr="004323C6">
              <w:t xml:space="preserve"> and </w:t>
            </w:r>
            <w:proofErr w:type="gramStart"/>
            <w:r w:rsidR="00093169" w:rsidRPr="004323C6">
              <w:t>IMGs in particular, find</w:t>
            </w:r>
            <w:proofErr w:type="gramEnd"/>
            <w:r w:rsidR="00093169" w:rsidRPr="004323C6">
              <w:t xml:space="preserve"> it difficult to ask for help</w:t>
            </w:r>
            <w:r w:rsidR="00C14AE8" w:rsidRPr="004323C6">
              <w:t>.</w:t>
            </w:r>
          </w:p>
          <w:p w14:paraId="7691460C" w14:textId="106C2F21" w:rsidR="00AF4A91" w:rsidRDefault="006B5CB7" w:rsidP="00AF4A91">
            <w:hyperlink r:id="rId27" w:history="1">
              <w:r w:rsidR="00AF4A91">
                <w:rPr>
                  <w:rStyle w:val="Hyperlink"/>
                </w:rPr>
                <w:t xml:space="preserve">The experience of working within a different professional 2009 </w:t>
              </w:r>
            </w:hyperlink>
          </w:p>
          <w:p w14:paraId="307B7C93" w14:textId="7CE5BB69" w:rsidR="004E4D2D" w:rsidRPr="004E4D2D" w:rsidRDefault="00E036D5" w:rsidP="004E4D2D">
            <w:pPr>
              <w:rPr>
                <w:rFonts w:asciiTheme="minorHAnsi" w:eastAsiaTheme="minorHAnsi" w:hAnsiTheme="minorHAnsi" w:cstheme="minorHAnsi"/>
              </w:rPr>
            </w:pPr>
            <w:r w:rsidRPr="004E411A">
              <w:lastRenderedPageBreak/>
              <w:t>Mitigating Action: Whe</w:t>
            </w:r>
            <w:r w:rsidR="00B917BC" w:rsidRPr="004E411A">
              <w:t xml:space="preserve">n we are implementing this </w:t>
            </w:r>
            <w:r w:rsidR="004F0E2A" w:rsidRPr="004E411A">
              <w:t>guidance,</w:t>
            </w:r>
            <w:r w:rsidR="00B917BC" w:rsidRPr="004E411A">
              <w:t xml:space="preserve"> we should</w:t>
            </w:r>
            <w:r w:rsidR="00186789">
              <w:t xml:space="preserve"> </w:t>
            </w:r>
            <w:r w:rsidR="004F0E2A" w:rsidRPr="004E411A">
              <w:t xml:space="preserve">ensure that </w:t>
            </w:r>
            <w:r w:rsidR="004E4D2D">
              <w:t xml:space="preserve">awareness is raised regarding </w:t>
            </w:r>
            <w:r w:rsidR="004F0E2A" w:rsidRPr="004E411A">
              <w:t xml:space="preserve">para 12 from this guidance (which comes from </w:t>
            </w:r>
            <w:r w:rsidR="00B917BC" w:rsidRPr="004E411A">
              <w:t>the new duty in para 67</w:t>
            </w:r>
            <w:r w:rsidR="00CB37EA" w:rsidRPr="004E411A">
              <w:rPr>
                <w:rFonts w:asciiTheme="minorHAnsi" w:eastAsiaTheme="minorHAnsi" w:hAnsiTheme="minorHAnsi" w:cstheme="minorHAnsi"/>
                <w:i/>
                <w:iCs/>
              </w:rPr>
              <w:t xml:space="preserve"> </w:t>
            </w:r>
            <w:r w:rsidRPr="004E411A">
              <w:rPr>
                <w:rFonts w:asciiTheme="minorHAnsi" w:eastAsiaTheme="minorHAnsi" w:hAnsiTheme="minorHAnsi" w:cstheme="minorHAnsi"/>
              </w:rPr>
              <w:t>of new</w:t>
            </w:r>
            <w:r w:rsidRPr="004E411A">
              <w:rPr>
                <w:rFonts w:asciiTheme="minorHAnsi" w:eastAsiaTheme="minorHAnsi" w:hAnsiTheme="minorHAnsi" w:cstheme="minorHAnsi"/>
                <w:i/>
                <w:iCs/>
              </w:rPr>
              <w:t xml:space="preserve"> </w:t>
            </w:r>
            <w:r w:rsidR="00CB37EA" w:rsidRPr="004E411A">
              <w:rPr>
                <w:rFonts w:asciiTheme="minorHAnsi" w:eastAsiaTheme="minorHAnsi" w:hAnsiTheme="minorHAnsi" w:cstheme="minorHAnsi"/>
                <w:i/>
                <w:iCs/>
              </w:rPr>
              <w:t>Good medical practice</w:t>
            </w:r>
            <w:r w:rsidR="004F0E2A" w:rsidRPr="004E411A">
              <w:t>)</w:t>
            </w:r>
            <w:r w:rsidR="004E4D2D">
              <w:t xml:space="preserve">.  We can do this via the </w:t>
            </w:r>
            <w:r w:rsidRPr="004E411A">
              <w:t xml:space="preserve">Welcome to UK Practice </w:t>
            </w:r>
            <w:r w:rsidR="004E4D2D" w:rsidRPr="004E411A">
              <w:t>(WTUKP</w:t>
            </w:r>
            <w:r w:rsidRPr="004E411A">
              <w:t>)</w:t>
            </w:r>
            <w:r w:rsidR="004E4D2D">
              <w:t xml:space="preserve"> workshops. These are workshops held by </w:t>
            </w:r>
            <w:r w:rsidRPr="004E411A">
              <w:t xml:space="preserve">the </w:t>
            </w:r>
            <w:r w:rsidR="004F0E2A" w:rsidRPr="004E411A">
              <w:t>GMC</w:t>
            </w:r>
            <w:r w:rsidR="004E4D2D">
              <w:t xml:space="preserve"> </w:t>
            </w:r>
            <w:r w:rsidR="004F0E2A" w:rsidRPr="004E411A">
              <w:t>for IMG</w:t>
            </w:r>
            <w:r w:rsidRPr="004E411A">
              <w:t>s.</w:t>
            </w:r>
            <w:r w:rsidR="004F0E2A" w:rsidRPr="004E411A">
              <w:t xml:space="preserve"> </w:t>
            </w:r>
            <w:r w:rsidRPr="004E411A">
              <w:t xml:space="preserve"> </w:t>
            </w:r>
            <w:r w:rsidR="004E4D2D">
              <w:t xml:space="preserve">It has been agreed that WTUKP will </w:t>
            </w:r>
            <w:r w:rsidR="004E4D2D" w:rsidRPr="004E4D2D">
              <w:rPr>
                <w:rFonts w:asciiTheme="minorHAnsi" w:eastAsiaTheme="minorHAnsi" w:hAnsiTheme="minorHAnsi" w:cstheme="minorHAnsi"/>
              </w:rPr>
              <w:t>share follow up materials with all attendees and link the duty specifically for emphasis</w:t>
            </w:r>
            <w:r w:rsidR="004E4D2D">
              <w:rPr>
                <w:rFonts w:asciiTheme="minorHAnsi" w:eastAsiaTheme="minorHAnsi" w:hAnsiTheme="minorHAnsi" w:cstheme="minorHAnsi"/>
              </w:rPr>
              <w:t xml:space="preserve">. In the future WTUKP could potentially include a </w:t>
            </w:r>
            <w:r w:rsidR="004E4D2D" w:rsidRPr="004E4D2D">
              <w:rPr>
                <w:rFonts w:asciiTheme="minorHAnsi" w:eastAsiaTheme="minorHAnsi" w:hAnsiTheme="minorHAnsi" w:cstheme="minorHAnsi"/>
              </w:rPr>
              <w:t xml:space="preserve">specific </w:t>
            </w:r>
            <w:r w:rsidR="004E4D2D">
              <w:rPr>
                <w:rFonts w:asciiTheme="minorHAnsi" w:eastAsiaTheme="minorHAnsi" w:hAnsiTheme="minorHAnsi" w:cstheme="minorHAnsi"/>
              </w:rPr>
              <w:t>‘</w:t>
            </w:r>
            <w:r w:rsidR="004E4D2D" w:rsidRPr="004E4D2D">
              <w:rPr>
                <w:rFonts w:asciiTheme="minorHAnsi" w:eastAsiaTheme="minorHAnsi" w:hAnsiTheme="minorHAnsi" w:cstheme="minorHAnsi"/>
              </w:rPr>
              <w:t>delegation</w:t>
            </w:r>
            <w:r w:rsidR="004E4D2D">
              <w:rPr>
                <w:rFonts w:asciiTheme="minorHAnsi" w:eastAsiaTheme="minorHAnsi" w:hAnsiTheme="minorHAnsi" w:cstheme="minorHAnsi"/>
              </w:rPr>
              <w:t>’</w:t>
            </w:r>
            <w:r w:rsidR="004E4D2D" w:rsidRPr="004E4D2D">
              <w:rPr>
                <w:rFonts w:asciiTheme="minorHAnsi" w:eastAsiaTheme="minorHAnsi" w:hAnsiTheme="minorHAnsi" w:cstheme="minorHAnsi"/>
              </w:rPr>
              <w:t xml:space="preserve"> scenario.</w:t>
            </w:r>
          </w:p>
          <w:p w14:paraId="3CA11596" w14:textId="0C66DDA9" w:rsidR="00B917BC" w:rsidRDefault="00B917BC" w:rsidP="00093169"/>
          <w:p w14:paraId="2C44A22C" w14:textId="170F2F95" w:rsidR="004F0E2A" w:rsidRPr="00097F29" w:rsidRDefault="004F0E2A" w:rsidP="00093169"/>
        </w:tc>
      </w:tr>
      <w:tr w:rsidR="00222689" w:rsidRPr="00097F29" w14:paraId="1E6C2864" w14:textId="55E3947F" w:rsidTr="00CB3C31">
        <w:tc>
          <w:tcPr>
            <w:tcW w:w="1701" w:type="dxa"/>
            <w:shd w:val="clear" w:color="auto" w:fill="FFCCFF"/>
          </w:tcPr>
          <w:p w14:paraId="219381FF" w14:textId="77777777" w:rsidR="00222689" w:rsidRPr="00AB403F" w:rsidRDefault="00222689" w:rsidP="00222689">
            <w:pPr>
              <w:rPr>
                <w:b/>
                <w:bCs/>
              </w:rPr>
            </w:pPr>
            <w:r w:rsidRPr="00AB403F">
              <w:rPr>
                <w:b/>
                <w:bCs/>
              </w:rPr>
              <w:lastRenderedPageBreak/>
              <w:t>Conflicts of interest</w:t>
            </w:r>
          </w:p>
        </w:tc>
        <w:tc>
          <w:tcPr>
            <w:tcW w:w="1985" w:type="dxa"/>
            <w:shd w:val="clear" w:color="auto" w:fill="auto"/>
          </w:tcPr>
          <w:p w14:paraId="32EEE48F" w14:textId="100F1970" w:rsidR="00222689" w:rsidRPr="00097F29" w:rsidRDefault="00222689" w:rsidP="00222689">
            <w:r>
              <w:t xml:space="preserve">New </w:t>
            </w:r>
            <w:r w:rsidR="00E7361F">
              <w:t xml:space="preserve">COI </w:t>
            </w:r>
            <w:r>
              <w:t>guidance 20&amp;21</w:t>
            </w:r>
          </w:p>
        </w:tc>
        <w:tc>
          <w:tcPr>
            <w:tcW w:w="4252" w:type="dxa"/>
            <w:shd w:val="clear" w:color="auto" w:fill="auto"/>
          </w:tcPr>
          <w:p w14:paraId="12A7D946" w14:textId="40F388DC" w:rsidR="00222689" w:rsidRDefault="00222689" w:rsidP="00222689">
            <w:r w:rsidRPr="00097F29">
              <w:t>A</w:t>
            </w:r>
            <w:r>
              <w:t>re</w:t>
            </w:r>
            <w:r w:rsidRPr="00097F29">
              <w:t xml:space="preserve"> patient groups more vulnerable to exploitation by unscrupulous </w:t>
            </w:r>
            <w:r w:rsidR="00176653">
              <w:t>medical professionals</w:t>
            </w:r>
            <w:r w:rsidRPr="00097F29">
              <w:t xml:space="preserve"> promoting their private practice? i.e., older patients, patients with complex health needs who are more likely to go private?</w:t>
            </w:r>
          </w:p>
          <w:p w14:paraId="11C32263" w14:textId="6D6A7B31" w:rsidR="00222689" w:rsidRPr="00097F29" w:rsidRDefault="00222689" w:rsidP="00222689"/>
        </w:tc>
        <w:tc>
          <w:tcPr>
            <w:tcW w:w="2127" w:type="dxa"/>
            <w:shd w:val="clear" w:color="auto" w:fill="auto"/>
          </w:tcPr>
          <w:p w14:paraId="6973E6DA" w14:textId="0C339DB8" w:rsidR="00222689" w:rsidRPr="00097F29" w:rsidRDefault="006B448B" w:rsidP="00222689">
            <w:r>
              <w:lastRenderedPageBreak/>
              <w:t xml:space="preserve">Patients - </w:t>
            </w:r>
            <w:r w:rsidR="00222689" w:rsidRPr="00097F29">
              <w:t>Age</w:t>
            </w:r>
            <w:r w:rsidR="00222689">
              <w:t>/disability</w:t>
            </w:r>
          </w:p>
        </w:tc>
        <w:tc>
          <w:tcPr>
            <w:tcW w:w="5670" w:type="dxa"/>
          </w:tcPr>
          <w:p w14:paraId="16C49D36" w14:textId="0BDC90EE" w:rsidR="00222689" w:rsidRPr="00097F29" w:rsidRDefault="00222689" w:rsidP="00222689">
            <w:r>
              <w:t>Para</w:t>
            </w:r>
            <w:r w:rsidR="00CF48AE">
              <w:t>graph</w:t>
            </w:r>
            <w:r>
              <w:t xml:space="preserve"> in final </w:t>
            </w:r>
            <w:r w:rsidR="00186789">
              <w:t>updated guidance</w:t>
            </w:r>
            <w:r>
              <w:t xml:space="preserve"> </w:t>
            </w:r>
            <w:r w:rsidR="00101898" w:rsidRPr="006B448B">
              <w:rPr>
                <w:rStyle w:val="Strong"/>
                <w:rFonts w:asciiTheme="minorHAnsi" w:hAnsiTheme="minorHAnsi" w:cstheme="minorHAnsi"/>
                <w:b w:val="0"/>
                <w:bCs w:val="0"/>
                <w:i/>
                <w:iCs/>
                <w:color w:val="111111"/>
                <w:shd w:val="clear" w:color="auto" w:fill="F1F1F1"/>
              </w:rPr>
              <w:t xml:space="preserve">Identifying </w:t>
            </w:r>
            <w:r w:rsidR="00457559" w:rsidRPr="006B448B">
              <w:rPr>
                <w:rStyle w:val="Strong"/>
                <w:rFonts w:asciiTheme="minorHAnsi" w:hAnsiTheme="minorHAnsi" w:cstheme="minorHAnsi"/>
                <w:b w:val="0"/>
                <w:bCs w:val="0"/>
                <w:i/>
                <w:iCs/>
                <w:color w:val="111111"/>
                <w:shd w:val="clear" w:color="auto" w:fill="F1F1F1"/>
              </w:rPr>
              <w:t>and</w:t>
            </w:r>
            <w:r w:rsidR="00101898" w:rsidRPr="006B448B">
              <w:rPr>
                <w:rStyle w:val="Strong"/>
                <w:rFonts w:asciiTheme="minorHAnsi" w:hAnsiTheme="minorHAnsi" w:cstheme="minorHAnsi"/>
                <w:b w:val="0"/>
                <w:bCs w:val="0"/>
                <w:i/>
                <w:iCs/>
                <w:color w:val="111111"/>
                <w:shd w:val="clear" w:color="auto" w:fill="F1F1F1"/>
              </w:rPr>
              <w:t xml:space="preserve"> managing conflicts of interest </w:t>
            </w:r>
            <w:r>
              <w:t xml:space="preserve">that </w:t>
            </w:r>
            <w:proofErr w:type="gramStart"/>
            <w:r>
              <w:t>says</w:t>
            </w:r>
            <w:proofErr w:type="gramEnd"/>
            <w:r>
              <w:t xml:space="preserve"> </w:t>
            </w:r>
            <w:r w:rsidR="00CF48AE">
              <w:t>‘</w:t>
            </w:r>
            <w:r w:rsidRPr="001417B7">
              <w:rPr>
                <w:rFonts w:cstheme="minorHAnsi"/>
                <w:lang w:eastAsia="en-GB"/>
              </w:rPr>
              <w:t>You should tell patients if you’re aware that the investigation or treatment you are offering privately would be available to them for free, and you have reason to believe they don’t know</w:t>
            </w:r>
            <w:r>
              <w:rPr>
                <w:rFonts w:cstheme="minorHAnsi"/>
                <w:lang w:eastAsia="en-GB"/>
              </w:rPr>
              <w:t>.</w:t>
            </w:r>
            <w:r w:rsidR="00CF48AE">
              <w:rPr>
                <w:rFonts w:cstheme="minorHAnsi"/>
                <w:lang w:eastAsia="en-GB"/>
              </w:rPr>
              <w:t>’</w:t>
            </w:r>
            <w:r w:rsidR="00AC3DCC">
              <w:rPr>
                <w:rFonts w:cstheme="minorHAnsi"/>
                <w:lang w:eastAsia="en-GB"/>
              </w:rPr>
              <w:t xml:space="preserve">(para 21) </w:t>
            </w:r>
            <w:r>
              <w:rPr>
                <w:rFonts w:cstheme="minorHAnsi"/>
                <w:lang w:eastAsia="en-GB"/>
              </w:rPr>
              <w:t xml:space="preserve"> Also </w:t>
            </w:r>
            <w:r w:rsidR="00AC3DCC">
              <w:rPr>
                <w:rFonts w:cstheme="minorHAnsi"/>
                <w:lang w:eastAsia="en-GB"/>
              </w:rPr>
              <w:t xml:space="preserve">there is a </w:t>
            </w:r>
            <w:r w:rsidR="00101898">
              <w:rPr>
                <w:rFonts w:cstheme="minorHAnsi"/>
                <w:lang w:eastAsia="en-GB"/>
              </w:rPr>
              <w:t xml:space="preserve">new </w:t>
            </w:r>
            <w:r>
              <w:rPr>
                <w:rFonts w:cstheme="minorHAnsi"/>
                <w:lang w:eastAsia="en-GB"/>
              </w:rPr>
              <w:t>para</w:t>
            </w:r>
            <w:r w:rsidR="00CF48AE">
              <w:rPr>
                <w:rFonts w:cstheme="minorHAnsi"/>
                <w:lang w:eastAsia="en-GB"/>
              </w:rPr>
              <w:t>graph</w:t>
            </w:r>
            <w:r>
              <w:rPr>
                <w:rFonts w:cstheme="minorHAnsi"/>
                <w:lang w:eastAsia="en-GB"/>
              </w:rPr>
              <w:t xml:space="preserve"> </w:t>
            </w:r>
            <w:r>
              <w:rPr>
                <w:rFonts w:cstheme="minorHAnsi"/>
                <w:lang w:eastAsia="en-GB"/>
              </w:rPr>
              <w:lastRenderedPageBreak/>
              <w:t>saying don’t mislead patients about waiting times</w:t>
            </w:r>
            <w:r w:rsidR="00AC3DCC">
              <w:rPr>
                <w:rFonts w:cstheme="minorHAnsi"/>
                <w:lang w:eastAsia="en-GB"/>
              </w:rPr>
              <w:t xml:space="preserve"> (para 20)</w:t>
            </w:r>
          </w:p>
        </w:tc>
      </w:tr>
      <w:tr w:rsidR="00222689" w:rsidRPr="00097F29" w14:paraId="099F2026" w14:textId="0FCFE8A0" w:rsidTr="00CB3C31">
        <w:tc>
          <w:tcPr>
            <w:tcW w:w="1701" w:type="dxa"/>
            <w:shd w:val="clear" w:color="auto" w:fill="FFCCFF"/>
          </w:tcPr>
          <w:p w14:paraId="36564D16" w14:textId="77777777" w:rsidR="00222689" w:rsidRPr="00AB403F" w:rsidRDefault="00222689" w:rsidP="00222689">
            <w:pPr>
              <w:rPr>
                <w:b/>
                <w:bCs/>
              </w:rPr>
            </w:pPr>
            <w:r w:rsidRPr="00AB403F">
              <w:rPr>
                <w:b/>
                <w:bCs/>
              </w:rPr>
              <w:lastRenderedPageBreak/>
              <w:t>Conflicts of interest</w:t>
            </w:r>
          </w:p>
        </w:tc>
        <w:tc>
          <w:tcPr>
            <w:tcW w:w="1985" w:type="dxa"/>
            <w:shd w:val="clear" w:color="auto" w:fill="auto"/>
          </w:tcPr>
          <w:p w14:paraId="27D806C8" w14:textId="4B4D9825" w:rsidR="00222689" w:rsidRPr="00097F29" w:rsidRDefault="006E0F7E" w:rsidP="00222689">
            <w:r>
              <w:t xml:space="preserve">General </w:t>
            </w:r>
            <w:r w:rsidR="00186789">
              <w:t>concern</w:t>
            </w:r>
          </w:p>
        </w:tc>
        <w:tc>
          <w:tcPr>
            <w:tcW w:w="4252" w:type="dxa"/>
            <w:shd w:val="clear" w:color="auto" w:fill="auto"/>
          </w:tcPr>
          <w:p w14:paraId="2588EC91" w14:textId="4D55A377" w:rsidR="00222689" w:rsidRPr="00097F29" w:rsidRDefault="00222689" w:rsidP="00C378C1">
            <w:r w:rsidRPr="00097F29">
              <w:t>A</w:t>
            </w:r>
            <w:r w:rsidR="006E0F7E">
              <w:t>re</w:t>
            </w:r>
            <w:r w:rsidRPr="00097F29">
              <w:t xml:space="preserve"> cultural differences likely to have an impact on perceptions of when/what gift-giving practices are acceptable? (Either </w:t>
            </w:r>
            <w:r w:rsidR="00176653">
              <w:t>medical professional</w:t>
            </w:r>
            <w:r w:rsidRPr="00097F29">
              <w:t xml:space="preserve">-patient relationship, </w:t>
            </w:r>
            <w:r w:rsidR="00176653">
              <w:t>or medical professional - medical professional</w:t>
            </w:r>
            <w:r w:rsidRPr="00097F29">
              <w:t xml:space="preserve"> relationship</w:t>
            </w:r>
            <w:r w:rsidR="00176653">
              <w:t>)</w:t>
            </w:r>
            <w:r w:rsidRPr="00097F29">
              <w:t xml:space="preserve"> in relation to revalidation)</w:t>
            </w:r>
          </w:p>
        </w:tc>
        <w:tc>
          <w:tcPr>
            <w:tcW w:w="2127" w:type="dxa"/>
            <w:shd w:val="clear" w:color="auto" w:fill="auto"/>
          </w:tcPr>
          <w:p w14:paraId="385AACAC" w14:textId="7A2866D6" w:rsidR="00222689" w:rsidRPr="00097F29" w:rsidRDefault="00222689" w:rsidP="00222689">
            <w:r w:rsidRPr="00097F29">
              <w:t>Race/Religion/Ag</w:t>
            </w:r>
            <w:r w:rsidR="00186789">
              <w:t>e</w:t>
            </w:r>
          </w:p>
        </w:tc>
        <w:tc>
          <w:tcPr>
            <w:tcW w:w="5670" w:type="dxa"/>
          </w:tcPr>
          <w:p w14:paraId="361C0AF5" w14:textId="3FC8DF01" w:rsidR="00222689" w:rsidRPr="00097F29" w:rsidRDefault="00222689" w:rsidP="00222689">
            <w:r>
              <w:t xml:space="preserve">We’ve simplified the </w:t>
            </w:r>
            <w:r w:rsidR="00E7361F">
              <w:t xml:space="preserve">new </w:t>
            </w:r>
            <w:r w:rsidR="00AC3DCC" w:rsidRPr="006B448B">
              <w:rPr>
                <w:rStyle w:val="Strong"/>
                <w:rFonts w:asciiTheme="minorHAnsi" w:hAnsiTheme="minorHAnsi" w:cstheme="minorHAnsi"/>
                <w:b w:val="0"/>
                <w:bCs w:val="0"/>
                <w:i/>
                <w:iCs/>
                <w:color w:val="111111"/>
                <w:shd w:val="clear" w:color="auto" w:fill="F1F1F1"/>
              </w:rPr>
              <w:t xml:space="preserve">Identifying </w:t>
            </w:r>
            <w:r w:rsidR="00BA47DF" w:rsidRPr="006B448B">
              <w:rPr>
                <w:rStyle w:val="Strong"/>
                <w:rFonts w:asciiTheme="minorHAnsi" w:hAnsiTheme="minorHAnsi" w:cstheme="minorHAnsi"/>
                <w:b w:val="0"/>
                <w:bCs w:val="0"/>
                <w:i/>
                <w:iCs/>
                <w:color w:val="111111"/>
                <w:shd w:val="clear" w:color="auto" w:fill="F1F1F1"/>
              </w:rPr>
              <w:t>and</w:t>
            </w:r>
            <w:r w:rsidR="00AC3DCC" w:rsidRPr="006B448B">
              <w:rPr>
                <w:rStyle w:val="Strong"/>
                <w:rFonts w:asciiTheme="minorHAnsi" w:hAnsiTheme="minorHAnsi" w:cstheme="minorHAnsi"/>
                <w:b w:val="0"/>
                <w:bCs w:val="0"/>
                <w:i/>
                <w:iCs/>
                <w:color w:val="111111"/>
                <w:shd w:val="clear" w:color="auto" w:fill="F1F1F1"/>
              </w:rPr>
              <w:t xml:space="preserve"> managing conflicts of </w:t>
            </w:r>
            <w:r w:rsidR="00186789" w:rsidRPr="006B448B">
              <w:rPr>
                <w:rStyle w:val="Strong"/>
                <w:rFonts w:asciiTheme="minorHAnsi" w:hAnsiTheme="minorHAnsi" w:cstheme="minorHAnsi"/>
                <w:b w:val="0"/>
                <w:bCs w:val="0"/>
                <w:i/>
                <w:iCs/>
                <w:color w:val="111111"/>
                <w:shd w:val="clear" w:color="auto" w:fill="F1F1F1"/>
              </w:rPr>
              <w:t xml:space="preserve">interest </w:t>
            </w:r>
            <w:r w:rsidR="00186789">
              <w:t>guidance</w:t>
            </w:r>
            <w:r>
              <w:t xml:space="preserve"> </w:t>
            </w:r>
            <w:r w:rsidR="00CF48AE">
              <w:t>on</w:t>
            </w:r>
            <w:r>
              <w:t xml:space="preserve"> gifts to say </w:t>
            </w:r>
            <w:r w:rsidR="00176653">
              <w:t xml:space="preserve">medical professionals </w:t>
            </w:r>
            <w:r>
              <w:t xml:space="preserve">should explain </w:t>
            </w:r>
            <w:r w:rsidR="00457559">
              <w:t>they</w:t>
            </w:r>
            <w:r>
              <w:t xml:space="preserve"> can’t accept them. Unless an unsolicited gift is presented that is of minimal value (reference in footnote </w:t>
            </w:r>
            <w:r w:rsidR="00AC3DCC">
              <w:t xml:space="preserve">three to two </w:t>
            </w:r>
            <w:r>
              <w:t>pieces of</w:t>
            </w:r>
            <w:r w:rsidR="00186789">
              <w:t xml:space="preserve"> </w:t>
            </w:r>
            <w:r w:rsidR="00AC3DCC">
              <w:t>external</w:t>
            </w:r>
            <w:r>
              <w:t xml:space="preserve"> guidance one of which mentions “conventional” gifts (which we’ve put in quotation marks”) like flowers, fruit, </w:t>
            </w:r>
            <w:proofErr w:type="gramStart"/>
            <w:r>
              <w:t>sweets</w:t>
            </w:r>
            <w:proofErr w:type="gramEnd"/>
            <w:r>
              <w:t xml:space="preserve"> or cakes. </w:t>
            </w:r>
          </w:p>
        </w:tc>
      </w:tr>
      <w:tr w:rsidR="00222689" w:rsidRPr="00097F29" w14:paraId="43A1843A" w14:textId="6CDD21C2" w:rsidTr="00CB3C31">
        <w:tc>
          <w:tcPr>
            <w:tcW w:w="1701" w:type="dxa"/>
            <w:shd w:val="clear" w:color="auto" w:fill="FFCCFF"/>
          </w:tcPr>
          <w:p w14:paraId="38A1073B" w14:textId="77777777" w:rsidR="00222689" w:rsidRPr="00AB403F" w:rsidRDefault="00222689" w:rsidP="00222689">
            <w:pPr>
              <w:rPr>
                <w:b/>
                <w:bCs/>
              </w:rPr>
            </w:pPr>
            <w:r w:rsidRPr="00AB403F">
              <w:rPr>
                <w:b/>
                <w:bCs/>
              </w:rPr>
              <w:t>Conflicts of interest</w:t>
            </w:r>
          </w:p>
        </w:tc>
        <w:tc>
          <w:tcPr>
            <w:tcW w:w="1985" w:type="dxa"/>
            <w:shd w:val="clear" w:color="auto" w:fill="auto"/>
          </w:tcPr>
          <w:p w14:paraId="149F2978" w14:textId="3E4F789B" w:rsidR="00222689" w:rsidRPr="00097F29" w:rsidRDefault="006E0F7E" w:rsidP="00222689">
            <w:r>
              <w:t>General</w:t>
            </w:r>
            <w:r w:rsidR="00E837F8">
              <w:t xml:space="preserve"> concern</w:t>
            </w:r>
          </w:p>
        </w:tc>
        <w:tc>
          <w:tcPr>
            <w:tcW w:w="4252" w:type="dxa"/>
            <w:shd w:val="clear" w:color="auto" w:fill="auto"/>
          </w:tcPr>
          <w:p w14:paraId="39069B90" w14:textId="0F8FF3E1" w:rsidR="00222689" w:rsidRPr="00097F29" w:rsidRDefault="00E837F8" w:rsidP="006E0F7E">
            <w:proofErr w:type="spellStart"/>
            <w:r>
              <w:t>Minorit</w:t>
            </w:r>
            <w:r w:rsidR="009754D1">
              <w:t>i</w:t>
            </w:r>
            <w:r>
              <w:t>sed</w:t>
            </w:r>
            <w:proofErr w:type="spellEnd"/>
            <w:r>
              <w:t xml:space="preserve"> ethnic </w:t>
            </w:r>
            <w:r w:rsidR="00176653">
              <w:t xml:space="preserve">medical professionals and medical professionals </w:t>
            </w:r>
            <w:r w:rsidR="00BA47DF">
              <w:t>from lower socio-economic backgrounds have been under-represented when it comes to accessing training opportunities</w:t>
            </w:r>
            <w:r w:rsidR="00457559">
              <w:t>.</w:t>
            </w:r>
          </w:p>
        </w:tc>
        <w:tc>
          <w:tcPr>
            <w:tcW w:w="2127" w:type="dxa"/>
            <w:shd w:val="clear" w:color="auto" w:fill="auto"/>
          </w:tcPr>
          <w:p w14:paraId="5E3F7612" w14:textId="13B67A8F" w:rsidR="00222689" w:rsidRPr="00097F29" w:rsidRDefault="00222689" w:rsidP="00222689">
            <w:r w:rsidRPr="00097F29">
              <w:t>Race</w:t>
            </w:r>
            <w:r w:rsidR="006E0F7E">
              <w:t>/socio-economic background</w:t>
            </w:r>
          </w:p>
        </w:tc>
        <w:tc>
          <w:tcPr>
            <w:tcW w:w="5670" w:type="dxa"/>
          </w:tcPr>
          <w:p w14:paraId="7A64F7A0" w14:textId="42CB6444" w:rsidR="00222689" w:rsidRPr="00097F29" w:rsidRDefault="00222689" w:rsidP="00222689">
            <w:r>
              <w:t xml:space="preserve">We don’t </w:t>
            </w:r>
            <w:r w:rsidR="00BA47DF">
              <w:t xml:space="preserve">explicitly </w:t>
            </w:r>
            <w:r>
              <w:t>reference training opportunities in the</w:t>
            </w:r>
            <w:r w:rsidR="00E7361F">
              <w:t xml:space="preserve"> </w:t>
            </w:r>
            <w:r w:rsidR="00AC3DCC">
              <w:t xml:space="preserve">new </w:t>
            </w:r>
            <w:r w:rsidR="00AC3DCC" w:rsidRPr="006B448B">
              <w:rPr>
                <w:rStyle w:val="Strong"/>
                <w:rFonts w:asciiTheme="minorHAnsi" w:hAnsiTheme="minorHAnsi" w:cstheme="minorHAnsi"/>
                <w:b w:val="0"/>
                <w:bCs w:val="0"/>
                <w:i/>
                <w:iCs/>
                <w:color w:val="111111"/>
                <w:shd w:val="clear" w:color="auto" w:fill="F1F1F1"/>
              </w:rPr>
              <w:t xml:space="preserve">Identifying </w:t>
            </w:r>
            <w:r w:rsidR="00BA47DF" w:rsidRPr="006B448B">
              <w:rPr>
                <w:rStyle w:val="Strong"/>
                <w:rFonts w:asciiTheme="minorHAnsi" w:hAnsiTheme="minorHAnsi" w:cstheme="minorHAnsi"/>
                <w:b w:val="0"/>
                <w:bCs w:val="0"/>
                <w:i/>
                <w:iCs/>
                <w:color w:val="111111"/>
                <w:shd w:val="clear" w:color="auto" w:fill="F1F1F1"/>
              </w:rPr>
              <w:t>and</w:t>
            </w:r>
            <w:r w:rsidR="00AC3DCC" w:rsidRPr="006B448B">
              <w:rPr>
                <w:rStyle w:val="Strong"/>
                <w:rFonts w:asciiTheme="minorHAnsi" w:hAnsiTheme="minorHAnsi" w:cstheme="minorHAnsi"/>
                <w:b w:val="0"/>
                <w:bCs w:val="0"/>
                <w:i/>
                <w:iCs/>
                <w:color w:val="111111"/>
                <w:shd w:val="clear" w:color="auto" w:fill="F1F1F1"/>
              </w:rPr>
              <w:t xml:space="preserve"> managing conflicts of interest</w:t>
            </w:r>
            <w:r w:rsidR="00AC3DCC">
              <w:t xml:space="preserve"> </w:t>
            </w:r>
            <w:r w:rsidR="00E7361F">
              <w:t>guidance</w:t>
            </w:r>
            <w:r>
              <w:t xml:space="preserve">, except to list them as an example of a non-financial </w:t>
            </w:r>
            <w:r w:rsidR="00F92E7E">
              <w:t>conflict of interest</w:t>
            </w:r>
            <w:r>
              <w:t xml:space="preserve">. </w:t>
            </w:r>
            <w:r w:rsidR="00176653">
              <w:t>However,</w:t>
            </w:r>
            <w:r w:rsidR="00BA47DF">
              <w:t xml:space="preserve"> we</w:t>
            </w:r>
            <w:r w:rsidR="00AC3DCC">
              <w:t xml:space="preserve"> have a new p</w:t>
            </w:r>
            <w:r>
              <w:t xml:space="preserve">aragraph 64 in </w:t>
            </w:r>
            <w:r w:rsidRPr="004323C6">
              <w:rPr>
                <w:i/>
                <w:iCs/>
              </w:rPr>
              <w:t>G</w:t>
            </w:r>
            <w:r w:rsidR="00F92E7E" w:rsidRPr="004323C6">
              <w:rPr>
                <w:i/>
                <w:iCs/>
              </w:rPr>
              <w:t xml:space="preserve">ood medical </w:t>
            </w:r>
            <w:r w:rsidR="006B448B" w:rsidRPr="004323C6">
              <w:rPr>
                <w:i/>
                <w:iCs/>
              </w:rPr>
              <w:t>practice</w:t>
            </w:r>
            <w:r w:rsidR="006B448B">
              <w:t xml:space="preserve"> which</w:t>
            </w:r>
            <w:r w:rsidR="00AC3DCC">
              <w:t xml:space="preserve"> </w:t>
            </w:r>
            <w:r w:rsidR="009754D1">
              <w:t>states:</w:t>
            </w:r>
            <w:r>
              <w:t xml:space="preserve"> “If part of your role is helping staff access training, development and employment opportunities, you should do this fairly.”</w:t>
            </w:r>
            <w:r w:rsidR="00AC3DCC">
              <w:t xml:space="preserve"> </w:t>
            </w:r>
          </w:p>
        </w:tc>
      </w:tr>
      <w:tr w:rsidR="00222689" w:rsidRPr="00097F29" w14:paraId="3A462A5B" w14:textId="7CAF9C8F" w:rsidTr="00CB3C31">
        <w:tc>
          <w:tcPr>
            <w:tcW w:w="1701" w:type="dxa"/>
            <w:tcBorders>
              <w:bottom w:val="single" w:sz="4" w:space="0" w:color="auto"/>
            </w:tcBorders>
            <w:shd w:val="clear" w:color="auto" w:fill="FFCCFF"/>
          </w:tcPr>
          <w:p w14:paraId="09349AEE" w14:textId="77777777" w:rsidR="00222689" w:rsidRPr="00AB403F" w:rsidRDefault="00222689" w:rsidP="00222689">
            <w:pPr>
              <w:rPr>
                <w:b/>
                <w:bCs/>
              </w:rPr>
            </w:pPr>
            <w:r w:rsidRPr="00AB403F">
              <w:rPr>
                <w:b/>
                <w:bCs/>
              </w:rPr>
              <w:t>Conflicts of interest</w:t>
            </w:r>
          </w:p>
        </w:tc>
        <w:tc>
          <w:tcPr>
            <w:tcW w:w="1985" w:type="dxa"/>
            <w:tcBorders>
              <w:bottom w:val="single" w:sz="4" w:space="0" w:color="auto"/>
            </w:tcBorders>
            <w:shd w:val="clear" w:color="auto" w:fill="auto"/>
          </w:tcPr>
          <w:p w14:paraId="42285B40" w14:textId="0FF3F7E6" w:rsidR="00222689" w:rsidRPr="00097F29" w:rsidRDefault="006E0F7E" w:rsidP="00222689">
            <w:r>
              <w:t>General</w:t>
            </w:r>
            <w:r w:rsidR="006B448B">
              <w:t xml:space="preserve"> concern</w:t>
            </w:r>
          </w:p>
        </w:tc>
        <w:tc>
          <w:tcPr>
            <w:tcW w:w="4252" w:type="dxa"/>
            <w:tcBorders>
              <w:bottom w:val="single" w:sz="4" w:space="0" w:color="auto"/>
            </w:tcBorders>
            <w:shd w:val="clear" w:color="auto" w:fill="auto"/>
          </w:tcPr>
          <w:p w14:paraId="21418855" w14:textId="796A35DF" w:rsidR="00222689" w:rsidRPr="00097F29" w:rsidRDefault="00222689" w:rsidP="00222689">
            <w:r w:rsidRPr="00097F29">
              <w:t xml:space="preserve">Are there some patients who might need additional information to understand </w:t>
            </w:r>
            <w:r w:rsidRPr="00097F29">
              <w:lastRenderedPageBreak/>
              <w:t>complex</w:t>
            </w:r>
            <w:r w:rsidR="00F92E7E">
              <w:t xml:space="preserve"> conflict of interest</w:t>
            </w:r>
            <w:r w:rsidRPr="00097F29">
              <w:t xml:space="preserve"> relationships? (</w:t>
            </w:r>
            <w:r w:rsidR="006B448B">
              <w:t>A</w:t>
            </w:r>
            <w:r w:rsidRPr="00097F29">
              <w:t xml:space="preserve">lso, in relation to </w:t>
            </w:r>
            <w:r w:rsidR="00F92E7E">
              <w:t xml:space="preserve">conflicts of </w:t>
            </w:r>
            <w:r w:rsidR="009754D1">
              <w:t xml:space="preserve">interest </w:t>
            </w:r>
            <w:r w:rsidR="009754D1" w:rsidRPr="00097F29">
              <w:t>linked</w:t>
            </w:r>
            <w:r w:rsidRPr="00097F29">
              <w:t xml:space="preserve"> to research interests</w:t>
            </w:r>
            <w:r w:rsidR="006E0F7E">
              <w:t>)</w:t>
            </w:r>
          </w:p>
        </w:tc>
        <w:tc>
          <w:tcPr>
            <w:tcW w:w="2127" w:type="dxa"/>
            <w:tcBorders>
              <w:bottom w:val="single" w:sz="4" w:space="0" w:color="auto"/>
            </w:tcBorders>
            <w:shd w:val="clear" w:color="auto" w:fill="auto"/>
          </w:tcPr>
          <w:p w14:paraId="343D99E8" w14:textId="773177FE" w:rsidR="00222689" w:rsidRPr="00097F29" w:rsidRDefault="006E0F7E" w:rsidP="00222689">
            <w:r>
              <w:lastRenderedPageBreak/>
              <w:t>Patients -age/disability/race</w:t>
            </w:r>
          </w:p>
        </w:tc>
        <w:tc>
          <w:tcPr>
            <w:tcW w:w="5670" w:type="dxa"/>
            <w:tcBorders>
              <w:bottom w:val="single" w:sz="4" w:space="0" w:color="auto"/>
            </w:tcBorders>
          </w:tcPr>
          <w:p w14:paraId="78161A99" w14:textId="69C7B334" w:rsidR="00222689" w:rsidRPr="00097F29" w:rsidRDefault="00F92E7E" w:rsidP="00222689">
            <w:r>
              <w:t>P</w:t>
            </w:r>
            <w:r w:rsidR="00222689">
              <w:t>ara</w:t>
            </w:r>
            <w:r>
              <w:t>graph</w:t>
            </w:r>
            <w:r w:rsidR="00222689">
              <w:t xml:space="preserve"> 17 </w:t>
            </w:r>
            <w:r w:rsidR="00E7361F">
              <w:t xml:space="preserve">of </w:t>
            </w:r>
            <w:r>
              <w:t xml:space="preserve">the </w:t>
            </w:r>
            <w:r w:rsidR="006B448B" w:rsidRPr="00E34BA5">
              <w:t xml:space="preserve">updated </w:t>
            </w:r>
            <w:r w:rsidR="006B448B" w:rsidRPr="00E34BA5">
              <w:rPr>
                <w:i/>
                <w:iCs/>
              </w:rPr>
              <w:t>Identifying</w:t>
            </w:r>
            <w:r w:rsidR="00B4422D" w:rsidRPr="00E34BA5">
              <w:rPr>
                <w:rStyle w:val="Strong"/>
                <w:rFonts w:asciiTheme="minorHAnsi" w:hAnsiTheme="minorHAnsi" w:cstheme="minorHAnsi"/>
                <w:b w:val="0"/>
                <w:bCs w:val="0"/>
                <w:i/>
                <w:iCs/>
                <w:color w:val="111111"/>
                <w:shd w:val="clear" w:color="auto" w:fill="F1F1F1"/>
              </w:rPr>
              <w:t xml:space="preserve"> </w:t>
            </w:r>
            <w:r w:rsidR="00BA47DF" w:rsidRPr="00E34BA5">
              <w:rPr>
                <w:rStyle w:val="Strong"/>
                <w:rFonts w:asciiTheme="minorHAnsi" w:hAnsiTheme="minorHAnsi" w:cstheme="minorHAnsi"/>
                <w:b w:val="0"/>
                <w:bCs w:val="0"/>
                <w:i/>
                <w:iCs/>
                <w:color w:val="111111"/>
                <w:shd w:val="clear" w:color="auto" w:fill="F1F1F1"/>
              </w:rPr>
              <w:t>and</w:t>
            </w:r>
            <w:r w:rsidR="00B4422D" w:rsidRPr="00E34BA5">
              <w:rPr>
                <w:rStyle w:val="Strong"/>
                <w:rFonts w:asciiTheme="minorHAnsi" w:hAnsiTheme="minorHAnsi" w:cstheme="minorHAnsi"/>
                <w:b w:val="0"/>
                <w:bCs w:val="0"/>
                <w:i/>
                <w:iCs/>
                <w:color w:val="111111"/>
                <w:shd w:val="clear" w:color="auto" w:fill="F1F1F1"/>
              </w:rPr>
              <w:t xml:space="preserve"> managing conflicts of interest </w:t>
            </w:r>
            <w:r w:rsidR="006B448B" w:rsidRPr="00E34BA5">
              <w:t>guidance</w:t>
            </w:r>
            <w:r w:rsidR="006B448B">
              <w:t xml:space="preserve"> says</w:t>
            </w:r>
            <w:r w:rsidR="00222689">
              <w:t xml:space="preserve"> to be open with </w:t>
            </w:r>
            <w:r w:rsidR="00222689">
              <w:lastRenderedPageBreak/>
              <w:t>patients about interests, and para</w:t>
            </w:r>
            <w:r>
              <w:t>graph</w:t>
            </w:r>
            <w:r w:rsidR="00222689">
              <w:t xml:space="preserve"> 22 sets out the information to give them – about the interest, about alternative options, and making sure that they know it’s their decision which option to select. This guidance, together with</w:t>
            </w:r>
            <w:r w:rsidR="006B448B">
              <w:t xml:space="preserve"> paragraph 27 of the </w:t>
            </w:r>
            <w:r w:rsidRPr="004323C6">
              <w:rPr>
                <w:i/>
                <w:iCs/>
              </w:rPr>
              <w:t>Decision making and consent</w:t>
            </w:r>
            <w:r w:rsidR="006B448B">
              <w:t xml:space="preserve"> guidance </w:t>
            </w:r>
            <w:r w:rsidR="00222689">
              <w:t xml:space="preserve">about supporting patients to make decisions, should be enough to make sure that patients who need additional support to understand the information are given </w:t>
            </w:r>
            <w:r w:rsidR="006B448B">
              <w:t>that and</w:t>
            </w:r>
            <w:r w:rsidR="00222689">
              <w:t xml:space="preserve"> helped to make an informed decision about how to proceed.</w:t>
            </w:r>
          </w:p>
        </w:tc>
      </w:tr>
      <w:tr w:rsidR="00222689" w:rsidRPr="00097F29" w14:paraId="268A909E" w14:textId="324E006B" w:rsidTr="00CB3C31">
        <w:tc>
          <w:tcPr>
            <w:tcW w:w="1701" w:type="dxa"/>
            <w:shd w:val="clear" w:color="auto" w:fill="CCFFFF"/>
          </w:tcPr>
          <w:p w14:paraId="4022FFC8" w14:textId="77777777" w:rsidR="00222689" w:rsidRPr="00AB403F" w:rsidRDefault="00222689" w:rsidP="00222689">
            <w:pPr>
              <w:rPr>
                <w:b/>
                <w:bCs/>
              </w:rPr>
            </w:pPr>
            <w:r w:rsidRPr="00AB403F">
              <w:rPr>
                <w:b/>
                <w:bCs/>
              </w:rPr>
              <w:lastRenderedPageBreak/>
              <w:t xml:space="preserve">Maintaining personal and professional boundaries </w:t>
            </w:r>
          </w:p>
        </w:tc>
        <w:tc>
          <w:tcPr>
            <w:tcW w:w="1985" w:type="dxa"/>
            <w:shd w:val="clear" w:color="auto" w:fill="auto"/>
          </w:tcPr>
          <w:p w14:paraId="19BB64DD" w14:textId="5D28A4B7" w:rsidR="00222689" w:rsidRPr="00097F29" w:rsidRDefault="00654E44" w:rsidP="00222689">
            <w:r>
              <w:t xml:space="preserve">General </w:t>
            </w:r>
            <w:r w:rsidR="00204789">
              <w:t>concern</w:t>
            </w:r>
          </w:p>
        </w:tc>
        <w:tc>
          <w:tcPr>
            <w:tcW w:w="4252" w:type="dxa"/>
            <w:shd w:val="clear" w:color="auto" w:fill="auto"/>
          </w:tcPr>
          <w:p w14:paraId="45193785" w14:textId="67ECD7CC" w:rsidR="00222689" w:rsidRPr="00097F29" w:rsidRDefault="00E7361F" w:rsidP="00654E44">
            <w:r>
              <w:t xml:space="preserve">This </w:t>
            </w:r>
            <w:r w:rsidR="00204789">
              <w:t xml:space="preserve">more detailed </w:t>
            </w:r>
            <w:r>
              <w:t>g</w:t>
            </w:r>
            <w:r w:rsidR="00222689" w:rsidRPr="00097F29">
              <w:t xml:space="preserve">uidance </w:t>
            </w:r>
            <w:r>
              <w:t xml:space="preserve">is </w:t>
            </w:r>
            <w:r w:rsidR="00222689" w:rsidRPr="00097F29">
              <w:t xml:space="preserve">necessarily directed at medical professionals and their behaviour to patients/colleagues, but potentially does not acknowledge/say enough about the prevalence of inappropriate patient behaviour or the vulnerable position </w:t>
            </w:r>
            <w:r w:rsidR="00F92E7E">
              <w:t xml:space="preserve">medical </w:t>
            </w:r>
            <w:r w:rsidR="00204789">
              <w:t xml:space="preserve">professionals </w:t>
            </w:r>
            <w:r w:rsidR="00204789" w:rsidRPr="00097F29">
              <w:t>are</w:t>
            </w:r>
            <w:r w:rsidR="00222689" w:rsidRPr="00097F29">
              <w:t xml:space="preserve"> sometimes in</w:t>
            </w:r>
            <w:r w:rsidR="00222689">
              <w:t>.</w:t>
            </w:r>
          </w:p>
        </w:tc>
        <w:tc>
          <w:tcPr>
            <w:tcW w:w="2127" w:type="dxa"/>
            <w:shd w:val="clear" w:color="auto" w:fill="auto"/>
          </w:tcPr>
          <w:p w14:paraId="3A213211" w14:textId="266873D4" w:rsidR="00222689" w:rsidRPr="00097F29" w:rsidRDefault="00222689" w:rsidP="00222689">
            <w:r>
              <w:t>All/</w:t>
            </w:r>
            <w:r w:rsidR="00204789">
              <w:t>sex</w:t>
            </w:r>
          </w:p>
        </w:tc>
        <w:tc>
          <w:tcPr>
            <w:tcW w:w="5670" w:type="dxa"/>
          </w:tcPr>
          <w:p w14:paraId="7572DDB0" w14:textId="298A0DB6" w:rsidR="00222689" w:rsidRPr="00097F29" w:rsidRDefault="00222689" w:rsidP="00222689">
            <w:r>
              <w:t>We have redrafted and included a new section in th</w:t>
            </w:r>
            <w:r w:rsidR="00E7361F">
              <w:t>is</w:t>
            </w:r>
            <w:r>
              <w:t xml:space="preserve"> guidance to address this issue and all we have heard/seen </w:t>
            </w:r>
            <w:r w:rsidR="00F92E7E">
              <w:t>in research papers and</w:t>
            </w:r>
            <w:r>
              <w:t xml:space="preserve"> media coverage. Clearly th</w:t>
            </w:r>
            <w:r w:rsidR="00E7361F">
              <w:t>is</w:t>
            </w:r>
            <w:r>
              <w:t xml:space="preserve"> guidance is not directed at patients but does suggest courses of action medical professionals could take if they experience inappropriate behaviours from patients.</w:t>
            </w:r>
          </w:p>
        </w:tc>
      </w:tr>
      <w:tr w:rsidR="00222689" w:rsidRPr="00097F29" w14:paraId="5F185A05" w14:textId="52AF9A74" w:rsidTr="00CB3C31">
        <w:tc>
          <w:tcPr>
            <w:tcW w:w="1701" w:type="dxa"/>
            <w:shd w:val="clear" w:color="auto" w:fill="CCFFFF"/>
          </w:tcPr>
          <w:p w14:paraId="2CDABA18" w14:textId="77777777" w:rsidR="00222689" w:rsidRPr="00AB403F" w:rsidRDefault="00222689" w:rsidP="00222689">
            <w:pPr>
              <w:rPr>
                <w:b/>
                <w:bCs/>
              </w:rPr>
            </w:pPr>
            <w:r w:rsidRPr="00AB403F">
              <w:rPr>
                <w:b/>
                <w:bCs/>
              </w:rPr>
              <w:lastRenderedPageBreak/>
              <w:t xml:space="preserve">Maintaining personal and professional boundaries </w:t>
            </w:r>
          </w:p>
        </w:tc>
        <w:tc>
          <w:tcPr>
            <w:tcW w:w="1985" w:type="dxa"/>
            <w:shd w:val="clear" w:color="auto" w:fill="auto"/>
          </w:tcPr>
          <w:p w14:paraId="5E21E323" w14:textId="26DE296C" w:rsidR="00222689" w:rsidRPr="00097F29" w:rsidRDefault="00654E44" w:rsidP="00222689">
            <w:r>
              <w:t xml:space="preserve">General </w:t>
            </w:r>
            <w:r w:rsidR="00C62111">
              <w:t>concern</w:t>
            </w:r>
          </w:p>
        </w:tc>
        <w:tc>
          <w:tcPr>
            <w:tcW w:w="4252" w:type="dxa"/>
            <w:shd w:val="clear" w:color="auto" w:fill="auto"/>
          </w:tcPr>
          <w:p w14:paraId="5513AD4D" w14:textId="086F9B9D" w:rsidR="00222689" w:rsidRPr="00097F29" w:rsidRDefault="00654E44" w:rsidP="00222689">
            <w:r w:rsidRPr="00097F29">
              <w:t>At present th</w:t>
            </w:r>
            <w:r w:rsidR="00E7361F">
              <w:t>is</w:t>
            </w:r>
            <w:r w:rsidRPr="00097F29">
              <w:t xml:space="preserve"> guidance might be read as applying only to </w:t>
            </w:r>
            <w:proofErr w:type="gramStart"/>
            <w:r w:rsidRPr="00097F29">
              <w:t>particular power</w:t>
            </w:r>
            <w:proofErr w:type="gramEnd"/>
            <w:r w:rsidRPr="00097F29">
              <w:t xml:space="preserve"> imbalances </w:t>
            </w:r>
            <w:r w:rsidR="00C62111" w:rsidRPr="00097F29">
              <w:t>e.g.,</w:t>
            </w:r>
            <w:r w:rsidRPr="00097F29">
              <w:t xml:space="preserve"> older more senior male and younger more junior female colleague</w:t>
            </w:r>
            <w:r w:rsidR="00F92E7E">
              <w:t>s.</w:t>
            </w:r>
            <w:r w:rsidRPr="00097F29">
              <w:t xml:space="preserve"> </w:t>
            </w:r>
            <w:r w:rsidR="00222689" w:rsidRPr="00097F29">
              <w:t>Feedback from colleagues that th</w:t>
            </w:r>
            <w:r w:rsidR="00E7361F">
              <w:t>is</w:t>
            </w:r>
            <w:r w:rsidR="00222689" w:rsidRPr="00097F29">
              <w:t xml:space="preserve"> guidance would benefit from a statement that power imbalances and inappropriate behaviours are not predicated on heteronormative stereotypes. 'This will demonstrate positive and affirmative support for ALL victims captured by the spirit of this guidance'. </w:t>
            </w:r>
          </w:p>
        </w:tc>
        <w:tc>
          <w:tcPr>
            <w:tcW w:w="2127" w:type="dxa"/>
            <w:shd w:val="clear" w:color="auto" w:fill="auto"/>
          </w:tcPr>
          <w:p w14:paraId="77504FF5" w14:textId="6C33F97F" w:rsidR="00222689" w:rsidRPr="00097F29" w:rsidRDefault="00654E44" w:rsidP="00222689">
            <w:r>
              <w:t xml:space="preserve">Sex/age/sexuality/gender reassignment </w:t>
            </w:r>
          </w:p>
        </w:tc>
        <w:tc>
          <w:tcPr>
            <w:tcW w:w="5670" w:type="dxa"/>
          </w:tcPr>
          <w:p w14:paraId="35C5352C" w14:textId="4F229F18" w:rsidR="00222689" w:rsidRPr="00097F29" w:rsidRDefault="00222689" w:rsidP="00222689">
            <w:r>
              <w:t>We have considered this feedback carefully and thought through how and where it would be phrased in th</w:t>
            </w:r>
            <w:r w:rsidR="00E7361F">
              <w:t>is</w:t>
            </w:r>
            <w:r>
              <w:t xml:space="preserve"> guidance. On reflection, we have decided to keep th</w:t>
            </w:r>
            <w:r w:rsidR="00E7361F">
              <w:t>is</w:t>
            </w:r>
            <w:r>
              <w:t xml:space="preserve"> guidance very high level and applicable to all, so that we do not run the risk of appearing to single out or differentiate between different groups. </w:t>
            </w:r>
          </w:p>
        </w:tc>
      </w:tr>
      <w:tr w:rsidR="00222689" w:rsidRPr="00097F29" w14:paraId="23ED98F8" w14:textId="6995BB70" w:rsidTr="00CB3C31">
        <w:tc>
          <w:tcPr>
            <w:tcW w:w="1701" w:type="dxa"/>
            <w:tcBorders>
              <w:bottom w:val="single" w:sz="4" w:space="0" w:color="auto"/>
            </w:tcBorders>
            <w:shd w:val="clear" w:color="auto" w:fill="CCFFFF"/>
          </w:tcPr>
          <w:p w14:paraId="444260EF" w14:textId="77777777" w:rsidR="00222689" w:rsidRPr="00AB403F" w:rsidRDefault="00222689" w:rsidP="00222689">
            <w:pPr>
              <w:rPr>
                <w:b/>
                <w:bCs/>
              </w:rPr>
            </w:pPr>
            <w:bookmarkStart w:id="8" w:name="_Hlk151641339"/>
            <w:r w:rsidRPr="00AB403F">
              <w:rPr>
                <w:b/>
                <w:bCs/>
              </w:rPr>
              <w:t xml:space="preserve">Maintaining personal and professional boundaries </w:t>
            </w:r>
          </w:p>
        </w:tc>
        <w:tc>
          <w:tcPr>
            <w:tcW w:w="1985" w:type="dxa"/>
            <w:tcBorders>
              <w:bottom w:val="single" w:sz="4" w:space="0" w:color="auto"/>
            </w:tcBorders>
            <w:shd w:val="clear" w:color="auto" w:fill="auto"/>
          </w:tcPr>
          <w:p w14:paraId="418D98FA" w14:textId="07BEFE1F" w:rsidR="00A11E35" w:rsidRPr="00097F29" w:rsidRDefault="00073B02" w:rsidP="00B4422D">
            <w:r>
              <w:t>General concern</w:t>
            </w:r>
          </w:p>
        </w:tc>
        <w:tc>
          <w:tcPr>
            <w:tcW w:w="4252" w:type="dxa"/>
            <w:tcBorders>
              <w:bottom w:val="single" w:sz="4" w:space="0" w:color="auto"/>
            </w:tcBorders>
            <w:shd w:val="clear" w:color="auto" w:fill="auto"/>
          </w:tcPr>
          <w:p w14:paraId="7124B6EE" w14:textId="39AF7ED3" w:rsidR="00654E44" w:rsidRDefault="00A11E35" w:rsidP="00654E44">
            <w:r w:rsidRPr="00A11E35">
              <w:t xml:space="preserve">Potential risk that the examples of sexual harassment provided in the </w:t>
            </w:r>
            <w:r w:rsidR="00E7361F">
              <w:t xml:space="preserve">new </w:t>
            </w:r>
            <w:r w:rsidRPr="00A11E35">
              <w:t>guidance</w:t>
            </w:r>
            <w:r w:rsidR="00073B02">
              <w:t xml:space="preserve"> (at para 23)</w:t>
            </w:r>
            <w:r w:rsidRPr="00A11E35">
              <w:t xml:space="preserve"> looks like we're summarising sexual harassment as defined by the Equality Act.</w:t>
            </w:r>
            <w:r w:rsidR="00073B02">
              <w:t xml:space="preserve"> The l</w:t>
            </w:r>
            <w:r w:rsidR="00222689" w:rsidRPr="00097F29">
              <w:t xml:space="preserve">ist was taken from Ethical </w:t>
            </w:r>
            <w:r w:rsidR="009754D1">
              <w:t>h</w:t>
            </w:r>
            <w:r w:rsidR="009754D1" w:rsidRPr="00097F29">
              <w:t>ub,</w:t>
            </w:r>
            <w:r w:rsidR="00222689" w:rsidRPr="00097F29">
              <w:t xml:space="preserve"> </w:t>
            </w:r>
            <w:r w:rsidR="00654E44" w:rsidRPr="00097F29">
              <w:t xml:space="preserve">but </w:t>
            </w:r>
            <w:r w:rsidR="00073B02">
              <w:t xml:space="preserve">we </w:t>
            </w:r>
            <w:r w:rsidR="00654E44" w:rsidRPr="00097F29">
              <w:t>need</w:t>
            </w:r>
            <w:r w:rsidR="00073B02">
              <w:t>ed</w:t>
            </w:r>
            <w:r w:rsidR="00654E44" w:rsidRPr="00097F29">
              <w:t xml:space="preserve"> to double check how </w:t>
            </w:r>
            <w:r w:rsidR="00490FDC">
              <w:t xml:space="preserve">(a) </w:t>
            </w:r>
            <w:r w:rsidR="00654E44" w:rsidRPr="00097F29">
              <w:t>this list was developed/sources it drew from, and</w:t>
            </w:r>
            <w:r w:rsidR="00490FDC">
              <w:t xml:space="preserve"> (b) </w:t>
            </w:r>
            <w:r w:rsidR="00490FDC">
              <w:lastRenderedPageBreak/>
              <w:t xml:space="preserve">the impacts of </w:t>
            </w:r>
            <w:r w:rsidR="00654E44" w:rsidRPr="00097F29">
              <w:t>new wording that has been added to speak to specific issues from scoping.</w:t>
            </w:r>
            <w:r w:rsidR="00485118">
              <w:t xml:space="preserve"> </w:t>
            </w:r>
            <w:r w:rsidR="009754D1">
              <w:t>E.g.,</w:t>
            </w:r>
            <w:r w:rsidR="00485118">
              <w:t xml:space="preserve"> </w:t>
            </w:r>
            <w:r w:rsidR="00485118" w:rsidRPr="004B502E">
              <w:t xml:space="preserve">Concerns about possible EDI impacts of some aspects of the list (e.g., the use of the word ‘staring’ </w:t>
            </w:r>
            <w:r w:rsidR="0012627E">
              <w:t xml:space="preserve">- </w:t>
            </w:r>
            <w:r w:rsidR="00485118" w:rsidRPr="004B502E">
              <w:t>potential impacts on individuals with autism) were highlighted</w:t>
            </w:r>
            <w:r w:rsidR="0012627E">
              <w:t>.</w:t>
            </w:r>
          </w:p>
          <w:p w14:paraId="703274BA" w14:textId="288AC0A6" w:rsidR="00222689" w:rsidRPr="00097F29" w:rsidRDefault="00222689" w:rsidP="00654E44"/>
        </w:tc>
        <w:tc>
          <w:tcPr>
            <w:tcW w:w="2127" w:type="dxa"/>
            <w:tcBorders>
              <w:bottom w:val="single" w:sz="4" w:space="0" w:color="auto"/>
            </w:tcBorders>
            <w:shd w:val="clear" w:color="auto" w:fill="auto"/>
          </w:tcPr>
          <w:p w14:paraId="6A5397A6" w14:textId="12DE92C0" w:rsidR="00222689" w:rsidRPr="00097F29" w:rsidRDefault="00485118" w:rsidP="00222689">
            <w:r>
              <w:lastRenderedPageBreak/>
              <w:t>Race, disability</w:t>
            </w:r>
          </w:p>
        </w:tc>
        <w:tc>
          <w:tcPr>
            <w:tcW w:w="5670" w:type="dxa"/>
            <w:tcBorders>
              <w:bottom w:val="single" w:sz="4" w:space="0" w:color="auto"/>
            </w:tcBorders>
          </w:tcPr>
          <w:p w14:paraId="2C73C774" w14:textId="74233383" w:rsidR="004B502E" w:rsidRDefault="004B502E" w:rsidP="004B502E">
            <w:r w:rsidRPr="004B502E">
              <w:t xml:space="preserve">Discussion about </w:t>
            </w:r>
            <w:r w:rsidR="00073B02">
              <w:t>the wording on our ethical hub</w:t>
            </w:r>
            <w:r w:rsidRPr="004B502E">
              <w:t xml:space="preserve"> and the sources it was drawn from was discussed between lead drafter and team</w:t>
            </w:r>
            <w:r w:rsidR="00073B02">
              <w:t xml:space="preserve"> responsible for the hub</w:t>
            </w:r>
            <w:r w:rsidRPr="004B502E">
              <w:t xml:space="preserve">. </w:t>
            </w:r>
            <w:r w:rsidR="00073B02">
              <w:t>It was a</w:t>
            </w:r>
            <w:r w:rsidRPr="004B502E">
              <w:t xml:space="preserve">greed that </w:t>
            </w:r>
            <w:r w:rsidR="00073B02">
              <w:t xml:space="preserve">the </w:t>
            </w:r>
            <w:r w:rsidRPr="004B502E">
              <w:t xml:space="preserve">hub wording would take its lead from </w:t>
            </w:r>
            <w:r w:rsidR="0012627E">
              <w:t>the</w:t>
            </w:r>
            <w:r w:rsidRPr="004B502E">
              <w:t xml:space="preserve"> eventual wording in the updated guidance, so additions to the list could be accommodated. </w:t>
            </w:r>
          </w:p>
          <w:p w14:paraId="4BF4B152" w14:textId="2FE7127C" w:rsidR="004B502E" w:rsidRPr="004B502E" w:rsidRDefault="004B502E" w:rsidP="004B502E">
            <w:r w:rsidRPr="004B502E">
              <w:t xml:space="preserve">Draft wording (including content added in response to scoping work) was tested through external engagement </w:t>
            </w:r>
            <w:r w:rsidRPr="004B502E">
              <w:lastRenderedPageBreak/>
              <w:t xml:space="preserve">and several discussions, including the RO reference </w:t>
            </w:r>
            <w:proofErr w:type="gramStart"/>
            <w:r w:rsidRPr="004B502E">
              <w:t>group</w:t>
            </w:r>
            <w:proofErr w:type="gramEnd"/>
            <w:r w:rsidRPr="004B502E">
              <w:t xml:space="preserve"> and subsequently adapted</w:t>
            </w:r>
            <w:r w:rsidR="0012627E">
              <w:t xml:space="preserve"> (such as the example in the ‘issue’ column about staring)</w:t>
            </w:r>
            <w:r w:rsidRPr="004B502E">
              <w:t xml:space="preserve"> as were aspects of the list that were considered too subjective. </w:t>
            </w:r>
          </w:p>
          <w:p w14:paraId="054362C5" w14:textId="77777777" w:rsidR="004B502E" w:rsidRDefault="004B502E" w:rsidP="004B502E"/>
          <w:p w14:paraId="3044AB74" w14:textId="468459D4" w:rsidR="00222689" w:rsidRPr="00097F29" w:rsidRDefault="00222689" w:rsidP="00222689"/>
        </w:tc>
      </w:tr>
      <w:bookmarkEnd w:id="8"/>
      <w:tr w:rsidR="00222689" w:rsidRPr="00097F29" w14:paraId="3495B07B" w14:textId="55724CF8" w:rsidTr="00CB3C31">
        <w:tc>
          <w:tcPr>
            <w:tcW w:w="1701" w:type="dxa"/>
            <w:shd w:val="clear" w:color="auto" w:fill="FFFFCC"/>
          </w:tcPr>
          <w:p w14:paraId="6D121784" w14:textId="77777777" w:rsidR="00222689" w:rsidRPr="00AB403F" w:rsidRDefault="00222689" w:rsidP="00222689">
            <w:pPr>
              <w:rPr>
                <w:b/>
                <w:bCs/>
              </w:rPr>
            </w:pPr>
            <w:r w:rsidRPr="00AB403F">
              <w:rPr>
                <w:b/>
                <w:bCs/>
              </w:rPr>
              <w:lastRenderedPageBreak/>
              <w:t xml:space="preserve">Intimate examinations and chaperones </w:t>
            </w:r>
          </w:p>
        </w:tc>
        <w:tc>
          <w:tcPr>
            <w:tcW w:w="1985" w:type="dxa"/>
            <w:shd w:val="clear" w:color="auto" w:fill="auto"/>
          </w:tcPr>
          <w:p w14:paraId="6A1D1059" w14:textId="4663BA6A" w:rsidR="00222689" w:rsidRPr="00097F29" w:rsidRDefault="00C00ABE" w:rsidP="00222689">
            <w:r>
              <w:t>Para 8 now para</w:t>
            </w:r>
            <w:r w:rsidR="00F92E7E">
              <w:t>graph</w:t>
            </w:r>
            <w:r>
              <w:t xml:space="preserve"> 21</w:t>
            </w:r>
          </w:p>
        </w:tc>
        <w:tc>
          <w:tcPr>
            <w:tcW w:w="4252" w:type="dxa"/>
            <w:shd w:val="clear" w:color="auto" w:fill="auto"/>
          </w:tcPr>
          <w:p w14:paraId="780907A9" w14:textId="6E6A7264" w:rsidR="00222689" w:rsidRPr="00097F29" w:rsidRDefault="00222689" w:rsidP="00222689">
            <w:r w:rsidRPr="00097F29">
              <w:t>Question of whether to address the issue of patients who request a chaperone of a particular gender (by birth)- currently a placeholder in the</w:t>
            </w:r>
            <w:r w:rsidR="00E7361F">
              <w:t xml:space="preserve"> updated</w:t>
            </w:r>
            <w:r w:rsidRPr="00097F29">
              <w:t xml:space="preserve"> guidance</w:t>
            </w:r>
          </w:p>
        </w:tc>
        <w:tc>
          <w:tcPr>
            <w:tcW w:w="2127" w:type="dxa"/>
            <w:shd w:val="clear" w:color="auto" w:fill="auto"/>
          </w:tcPr>
          <w:p w14:paraId="4A5B88A3" w14:textId="772C56D8" w:rsidR="00222689" w:rsidRPr="00097F29" w:rsidRDefault="00C00ABE" w:rsidP="00222689">
            <w:r>
              <w:t xml:space="preserve">Gender reassignment </w:t>
            </w:r>
          </w:p>
        </w:tc>
        <w:tc>
          <w:tcPr>
            <w:tcW w:w="5670" w:type="dxa"/>
          </w:tcPr>
          <w:p w14:paraId="2741E1BA" w14:textId="645DE3E5" w:rsidR="00222689" w:rsidRDefault="00222689" w:rsidP="00222689">
            <w:r>
              <w:t>The previous/existing para</w:t>
            </w:r>
            <w:r w:rsidR="00F92E7E">
              <w:t>graph</w:t>
            </w:r>
            <w:r>
              <w:t xml:space="preserve"> 8 of th</w:t>
            </w:r>
            <w:r w:rsidR="00E7361F">
              <w:t>is</w:t>
            </w:r>
            <w:r>
              <w:t xml:space="preserve"> guidance has been updated, and the phrase ‘This applies whether or not you are the same gender as the patient’ has been removed. This is because this sentence was intended to remind registrants that they should not assume the patient did not want a chaperone because they were of the same gender.</w:t>
            </w:r>
            <w:r w:rsidR="005E06FF">
              <w:t xml:space="preserve"> We have therefore broadened the paragraph to focus on the importance of not making assumptions</w:t>
            </w:r>
            <w:r>
              <w:t>:</w:t>
            </w:r>
          </w:p>
          <w:p w14:paraId="1CFF990B" w14:textId="1EAEF5F7" w:rsidR="00222689" w:rsidRPr="00097F29" w:rsidRDefault="00222689" w:rsidP="001F133F">
            <w:r>
              <w:t>21</w:t>
            </w:r>
            <w:r>
              <w:tab/>
            </w:r>
            <w:r w:rsidRPr="001F133F">
              <w:rPr>
                <w:i/>
                <w:iCs/>
              </w:rPr>
              <w:t xml:space="preserve">You should not assume that the patient doesn’t want a chaperone. If no suitable chaperone is available, or if either of you is uncomfortable with the choice of </w:t>
            </w:r>
            <w:r w:rsidRPr="001F133F">
              <w:rPr>
                <w:i/>
                <w:iCs/>
              </w:rPr>
              <w:lastRenderedPageBreak/>
              <w:t xml:space="preserve">chaperone, you may offer to delay the examination to a later date when a suitable chaperone will be available, </w:t>
            </w:r>
            <w:proofErr w:type="gramStart"/>
            <w:r w:rsidRPr="001F133F">
              <w:rPr>
                <w:i/>
                <w:iCs/>
              </w:rPr>
              <w:t>as long as</w:t>
            </w:r>
            <w:proofErr w:type="gramEnd"/>
            <w:r w:rsidRPr="001F133F">
              <w:rPr>
                <w:i/>
                <w:iCs/>
              </w:rPr>
              <w:t xml:space="preserve"> the delay would not adversely affect the patient’s health.</w:t>
            </w:r>
            <w:r w:rsidR="001F133F">
              <w:rPr>
                <w:i/>
                <w:iCs/>
              </w:rPr>
              <w:t>’</w:t>
            </w:r>
          </w:p>
        </w:tc>
      </w:tr>
      <w:tr w:rsidR="00222689" w:rsidRPr="00097F29" w14:paraId="2982835E" w14:textId="149EF166" w:rsidTr="00CB3C31">
        <w:tc>
          <w:tcPr>
            <w:tcW w:w="1701" w:type="dxa"/>
            <w:shd w:val="clear" w:color="auto" w:fill="FFFFCC"/>
          </w:tcPr>
          <w:p w14:paraId="6DA01B4C" w14:textId="77777777" w:rsidR="00222689" w:rsidRPr="00AB403F" w:rsidRDefault="00222689" w:rsidP="00222689">
            <w:pPr>
              <w:rPr>
                <w:b/>
                <w:bCs/>
              </w:rPr>
            </w:pPr>
            <w:r w:rsidRPr="00AB403F">
              <w:rPr>
                <w:b/>
                <w:bCs/>
              </w:rPr>
              <w:lastRenderedPageBreak/>
              <w:t xml:space="preserve">Intimate examinations and chaperones </w:t>
            </w:r>
          </w:p>
        </w:tc>
        <w:tc>
          <w:tcPr>
            <w:tcW w:w="1985" w:type="dxa"/>
            <w:shd w:val="clear" w:color="auto" w:fill="auto"/>
          </w:tcPr>
          <w:p w14:paraId="324430CA" w14:textId="6E370188" w:rsidR="00222689" w:rsidRPr="00097F29" w:rsidRDefault="00222689" w:rsidP="00222689">
            <w:r w:rsidRPr="00097F29">
              <w:t>Para</w:t>
            </w:r>
            <w:r w:rsidR="00F92E7E">
              <w:t>graph</w:t>
            </w:r>
            <w:r w:rsidR="00F9144E">
              <w:t>s 14-15</w:t>
            </w:r>
            <w:r w:rsidRPr="00097F29">
              <w:t xml:space="preserve"> in th</w:t>
            </w:r>
            <w:r w:rsidR="00E7361F">
              <w:t xml:space="preserve">is </w:t>
            </w:r>
            <w:r w:rsidRPr="00097F29">
              <w:t>guidance that deals with prior written consent for intimate examinations of anaesthetised patients</w:t>
            </w:r>
            <w:r w:rsidR="00F92E7E">
              <w:t>.</w:t>
            </w:r>
            <w:r w:rsidRPr="00097F29">
              <w:t xml:space="preserve"> </w:t>
            </w:r>
          </w:p>
        </w:tc>
        <w:tc>
          <w:tcPr>
            <w:tcW w:w="4252" w:type="dxa"/>
            <w:shd w:val="clear" w:color="auto" w:fill="auto"/>
          </w:tcPr>
          <w:p w14:paraId="7D108AB9" w14:textId="2BC71E83" w:rsidR="00222689" w:rsidRPr="00097F29" w:rsidRDefault="00222689" w:rsidP="00222689">
            <w:r>
              <w:t>S</w:t>
            </w:r>
            <w:r w:rsidRPr="00097F29">
              <w:t>uggestion to add a caveat re</w:t>
            </w:r>
            <w:r w:rsidR="00F92E7E">
              <w:t>garding</w:t>
            </w:r>
            <w:r w:rsidRPr="00097F29">
              <w:t xml:space="preserve"> patients who may find it difficult or cannot write due to literacy issues or a disability.</w:t>
            </w:r>
          </w:p>
        </w:tc>
        <w:tc>
          <w:tcPr>
            <w:tcW w:w="2127" w:type="dxa"/>
            <w:shd w:val="clear" w:color="auto" w:fill="auto"/>
          </w:tcPr>
          <w:p w14:paraId="61984456" w14:textId="2334D131" w:rsidR="00222689" w:rsidRPr="00097F29" w:rsidRDefault="00C00ABE" w:rsidP="00222689">
            <w:r>
              <w:t>Patients with disability/ race (language barrier)</w:t>
            </w:r>
          </w:p>
        </w:tc>
        <w:tc>
          <w:tcPr>
            <w:tcW w:w="5670" w:type="dxa"/>
          </w:tcPr>
          <w:p w14:paraId="309F8496" w14:textId="1A8E810A" w:rsidR="00222689" w:rsidRPr="00097F29" w:rsidRDefault="00222689" w:rsidP="00222689">
            <w:r w:rsidRPr="00E56518">
              <w:t>This paragraph has been adapted in the second redraft, so that the emphasis is on the patient being fully informed about all possible aspects of the examination, and them having consented to this. A couple of suggestions are provided for how this consent might be recorded.</w:t>
            </w:r>
          </w:p>
        </w:tc>
      </w:tr>
      <w:tr w:rsidR="00222689" w:rsidRPr="00097F29" w14:paraId="01214923" w14:textId="72AE409C" w:rsidTr="00CB3C31">
        <w:tc>
          <w:tcPr>
            <w:tcW w:w="1701" w:type="dxa"/>
            <w:shd w:val="clear" w:color="auto" w:fill="FFFFCC"/>
          </w:tcPr>
          <w:p w14:paraId="0EF664C0" w14:textId="77777777" w:rsidR="00222689" w:rsidRPr="00AB403F" w:rsidRDefault="00222689" w:rsidP="00222689">
            <w:pPr>
              <w:rPr>
                <w:b/>
                <w:bCs/>
              </w:rPr>
            </w:pPr>
            <w:r w:rsidRPr="00AB403F">
              <w:rPr>
                <w:b/>
                <w:bCs/>
              </w:rPr>
              <w:t xml:space="preserve">Intimate examinations and chaperones </w:t>
            </w:r>
          </w:p>
        </w:tc>
        <w:tc>
          <w:tcPr>
            <w:tcW w:w="1985" w:type="dxa"/>
            <w:shd w:val="clear" w:color="auto" w:fill="auto"/>
          </w:tcPr>
          <w:p w14:paraId="1D83C4B0" w14:textId="298CD398" w:rsidR="00222689" w:rsidRPr="00097F29" w:rsidRDefault="00C00ABE" w:rsidP="00222689">
            <w:r>
              <w:t>Para 8b</w:t>
            </w:r>
          </w:p>
        </w:tc>
        <w:tc>
          <w:tcPr>
            <w:tcW w:w="4252" w:type="dxa"/>
            <w:shd w:val="clear" w:color="auto" w:fill="auto"/>
          </w:tcPr>
          <w:p w14:paraId="631D4A7C" w14:textId="2149F428" w:rsidR="00222689" w:rsidRPr="00097F29" w:rsidRDefault="00222689" w:rsidP="00222689">
            <w:r w:rsidRPr="00097F29">
              <w:t xml:space="preserve">Suggestion for the </w:t>
            </w:r>
            <w:r w:rsidR="00041A57">
              <w:t xml:space="preserve">medical </w:t>
            </w:r>
            <w:r w:rsidR="009754D1">
              <w:t xml:space="preserve">professional </w:t>
            </w:r>
            <w:r w:rsidR="009754D1" w:rsidRPr="00097F29">
              <w:t>to</w:t>
            </w:r>
            <w:r w:rsidRPr="00097F29">
              <w:t xml:space="preserve"> have a responsibility to ensure the chaperone is aware of any specific needs the patient may have e.g., if they have a learning disability.</w:t>
            </w:r>
          </w:p>
        </w:tc>
        <w:tc>
          <w:tcPr>
            <w:tcW w:w="2127" w:type="dxa"/>
            <w:shd w:val="clear" w:color="auto" w:fill="auto"/>
          </w:tcPr>
          <w:p w14:paraId="48E7D69E" w14:textId="59DE21F6" w:rsidR="00222689" w:rsidRPr="00097F29" w:rsidRDefault="00C00ABE" w:rsidP="00222689">
            <w:r>
              <w:t>Patients with disability/race (language barrier)</w:t>
            </w:r>
          </w:p>
        </w:tc>
        <w:tc>
          <w:tcPr>
            <w:tcW w:w="5670" w:type="dxa"/>
          </w:tcPr>
          <w:p w14:paraId="3DB8B46C" w14:textId="77777777" w:rsidR="00222689" w:rsidRDefault="00222689" w:rsidP="00222689">
            <w:r>
              <w:t xml:space="preserve">Paragraph 8b (the medical professional’s role before the examination) now reads: </w:t>
            </w:r>
          </w:p>
          <w:p w14:paraId="63BE595B" w14:textId="017245A4" w:rsidR="00222689" w:rsidRDefault="00222689" w:rsidP="00222689">
            <w:r>
              <w:t>‘</w:t>
            </w:r>
            <w:r w:rsidR="009754D1">
              <w:t>Consider</w:t>
            </w:r>
            <w:r>
              <w:t xml:space="preserve"> and address any communication barriers that could impact on the patient’s experience or understanding of an intimate examination’  </w:t>
            </w:r>
          </w:p>
          <w:p w14:paraId="21F1A3E0" w14:textId="2444D4DD" w:rsidR="00222689" w:rsidRPr="00097F29" w:rsidRDefault="00222689" w:rsidP="00222689">
            <w:r>
              <w:t xml:space="preserve">This gives the patient an opportunity to volunteer the amount of information they are comfortable sharing </w:t>
            </w:r>
            <w:r>
              <w:lastRenderedPageBreak/>
              <w:t>with the medical professional and chaperone, without putting a duty on the medical professional to make a judgement on what they should share re communication barriers/disabilities.</w:t>
            </w:r>
          </w:p>
        </w:tc>
      </w:tr>
      <w:tr w:rsidR="00222689" w:rsidRPr="00097F29" w14:paraId="6476B267" w14:textId="4E287DF3" w:rsidTr="00CB3C31">
        <w:tc>
          <w:tcPr>
            <w:tcW w:w="1701" w:type="dxa"/>
            <w:tcBorders>
              <w:bottom w:val="single" w:sz="4" w:space="0" w:color="auto"/>
            </w:tcBorders>
            <w:shd w:val="clear" w:color="auto" w:fill="FFFFCC"/>
          </w:tcPr>
          <w:p w14:paraId="74FF801B" w14:textId="77777777" w:rsidR="00222689" w:rsidRPr="00AB403F" w:rsidRDefault="00222689" w:rsidP="00222689">
            <w:pPr>
              <w:rPr>
                <w:b/>
                <w:bCs/>
              </w:rPr>
            </w:pPr>
            <w:r w:rsidRPr="00AB403F">
              <w:rPr>
                <w:b/>
                <w:bCs/>
              </w:rPr>
              <w:lastRenderedPageBreak/>
              <w:t xml:space="preserve">Intimate examinations and chaperones </w:t>
            </w:r>
          </w:p>
        </w:tc>
        <w:tc>
          <w:tcPr>
            <w:tcW w:w="1985" w:type="dxa"/>
            <w:tcBorders>
              <w:bottom w:val="single" w:sz="4" w:space="0" w:color="auto"/>
            </w:tcBorders>
            <w:shd w:val="clear" w:color="auto" w:fill="auto"/>
          </w:tcPr>
          <w:p w14:paraId="08E27516" w14:textId="1CF3B029" w:rsidR="00222689" w:rsidRPr="00097F29" w:rsidRDefault="00C00ABE" w:rsidP="00222689">
            <w:r>
              <w:t xml:space="preserve">General </w:t>
            </w:r>
            <w:r w:rsidR="00BC2487">
              <w:t>concern</w:t>
            </w:r>
          </w:p>
        </w:tc>
        <w:tc>
          <w:tcPr>
            <w:tcW w:w="4252" w:type="dxa"/>
            <w:tcBorders>
              <w:bottom w:val="single" w:sz="4" w:space="0" w:color="auto"/>
            </w:tcBorders>
            <w:shd w:val="clear" w:color="auto" w:fill="auto"/>
          </w:tcPr>
          <w:p w14:paraId="72B293F2" w14:textId="79942036" w:rsidR="00222689" w:rsidRPr="00097F29" w:rsidRDefault="00222689" w:rsidP="00222689">
            <w:r w:rsidRPr="00097F29">
              <w:t xml:space="preserve">Need to ensure </w:t>
            </w:r>
            <w:r w:rsidR="00E7361F">
              <w:t xml:space="preserve">this </w:t>
            </w:r>
            <w:r w:rsidRPr="00097F29">
              <w:t>guidance adequately addresses the challenges trans patients may experience with intimate examinations</w:t>
            </w:r>
            <w:r>
              <w:t>.</w:t>
            </w:r>
          </w:p>
        </w:tc>
        <w:tc>
          <w:tcPr>
            <w:tcW w:w="2127" w:type="dxa"/>
            <w:tcBorders>
              <w:bottom w:val="single" w:sz="4" w:space="0" w:color="auto"/>
            </w:tcBorders>
            <w:shd w:val="clear" w:color="auto" w:fill="auto"/>
          </w:tcPr>
          <w:p w14:paraId="5DDF8ED0" w14:textId="780DE30D" w:rsidR="00222689" w:rsidRPr="00097F29" w:rsidRDefault="00C00ABE" w:rsidP="00222689">
            <w:r>
              <w:t>Patients – gender reassignment</w:t>
            </w:r>
          </w:p>
        </w:tc>
        <w:tc>
          <w:tcPr>
            <w:tcW w:w="5670" w:type="dxa"/>
            <w:tcBorders>
              <w:bottom w:val="single" w:sz="4" w:space="0" w:color="auto"/>
            </w:tcBorders>
          </w:tcPr>
          <w:p w14:paraId="28DDF4AE" w14:textId="401F49EC" w:rsidR="00222689" w:rsidRDefault="00222689" w:rsidP="00222689">
            <w:r>
              <w:t xml:space="preserve">The </w:t>
            </w:r>
            <w:r w:rsidR="00F92E7E">
              <w:t>updated</w:t>
            </w:r>
            <w:r>
              <w:t xml:space="preserve"> version of th</w:t>
            </w:r>
            <w:r w:rsidR="00E7361F">
              <w:t>is</w:t>
            </w:r>
            <w:r>
              <w:t xml:space="preserve"> guidance places a greater emphasis on the medical professional being sensitive to what the patient may think of as intimate, as well as any discomfort or embarrassment they may feel </w:t>
            </w:r>
            <w:proofErr w:type="gramStart"/>
            <w:r>
              <w:t>as a result of</w:t>
            </w:r>
            <w:proofErr w:type="gramEnd"/>
            <w:r>
              <w:t xml:space="preserve"> having an intimate examination. There is also greater emphasis on the patient being able to ask questions. </w:t>
            </w:r>
          </w:p>
          <w:p w14:paraId="0274A840" w14:textId="2DE043BA" w:rsidR="00222689" w:rsidRPr="00097F29" w:rsidRDefault="00222689" w:rsidP="00222689">
            <w:r>
              <w:t>We have also reached out for the views of various relevant charities and organisations. Although not all of them responded, no concerns were raised that th</w:t>
            </w:r>
            <w:r w:rsidR="00E7361F">
              <w:t>is</w:t>
            </w:r>
            <w:r>
              <w:t xml:space="preserve"> guidance as drafted would differentially impact on trans patients.</w:t>
            </w:r>
          </w:p>
        </w:tc>
      </w:tr>
      <w:tr w:rsidR="00222689" w:rsidRPr="00097F29" w14:paraId="51ADF8C2" w14:textId="506751FA" w:rsidTr="00CB3C31">
        <w:tc>
          <w:tcPr>
            <w:tcW w:w="1701" w:type="dxa"/>
            <w:shd w:val="clear" w:color="auto" w:fill="FF9966"/>
          </w:tcPr>
          <w:p w14:paraId="38A70863" w14:textId="77777777" w:rsidR="00222689" w:rsidRPr="00AB403F" w:rsidRDefault="00222689" w:rsidP="00222689">
            <w:pPr>
              <w:rPr>
                <w:b/>
                <w:bCs/>
              </w:rPr>
            </w:pPr>
            <w:r w:rsidRPr="00AB403F">
              <w:rPr>
                <w:b/>
                <w:bCs/>
              </w:rPr>
              <w:t>Ending Professional Relationships</w:t>
            </w:r>
          </w:p>
        </w:tc>
        <w:tc>
          <w:tcPr>
            <w:tcW w:w="1985" w:type="dxa"/>
            <w:shd w:val="clear" w:color="auto" w:fill="auto"/>
          </w:tcPr>
          <w:p w14:paraId="2489B67E" w14:textId="768BB47A" w:rsidR="00222689" w:rsidRDefault="00BC2487" w:rsidP="00222689">
            <w:r>
              <w:t xml:space="preserve">Interaction of these paragraphs from the </w:t>
            </w:r>
            <w:r w:rsidR="00C00ABE">
              <w:t>E</w:t>
            </w:r>
            <w:r w:rsidR="00222689">
              <w:t xml:space="preserve">ngagement </w:t>
            </w:r>
            <w:r w:rsidR="00222689" w:rsidRPr="00097F29">
              <w:t xml:space="preserve">draft </w:t>
            </w:r>
            <w:r>
              <w:lastRenderedPageBreak/>
              <w:t>(</w:t>
            </w:r>
            <w:r w:rsidR="00222689" w:rsidRPr="00097F29">
              <w:t>para</w:t>
            </w:r>
            <w:r w:rsidR="00F92E7E">
              <w:t>graph</w:t>
            </w:r>
            <w:r>
              <w:t>s</w:t>
            </w:r>
            <w:r w:rsidR="00222689" w:rsidRPr="00097F29">
              <w:t xml:space="preserve"> </w:t>
            </w:r>
            <w:r>
              <w:t xml:space="preserve">5-8 and </w:t>
            </w:r>
            <w:r w:rsidR="00222689" w:rsidRPr="00097F29">
              <w:t>9</w:t>
            </w:r>
            <w:r>
              <w:t xml:space="preserve"> and </w:t>
            </w:r>
            <w:r w:rsidR="00222689" w:rsidRPr="00097F29">
              <w:t>6c</w:t>
            </w:r>
            <w:r w:rsidR="009754D1">
              <w:t xml:space="preserve">) </w:t>
            </w:r>
            <w:r w:rsidR="009754D1" w:rsidRPr="00097F29">
              <w:t>which</w:t>
            </w:r>
            <w:r w:rsidR="00222689" w:rsidRPr="00097F29">
              <w:t xml:space="preserve"> suggests that a </w:t>
            </w:r>
            <w:r w:rsidR="00176653">
              <w:t>medical professional</w:t>
            </w:r>
            <w:r w:rsidR="00176653" w:rsidRPr="00097F29">
              <w:t xml:space="preserve"> </w:t>
            </w:r>
            <w:r w:rsidR="00222689" w:rsidRPr="00097F29">
              <w:t>should explore alternatives (such as shar</w:t>
            </w:r>
            <w:r>
              <w:t xml:space="preserve">ed </w:t>
            </w:r>
            <w:r w:rsidR="00222689" w:rsidRPr="00097F29">
              <w:t xml:space="preserve">care </w:t>
            </w:r>
            <w:r w:rsidR="00176653">
              <w:t xml:space="preserve">for </w:t>
            </w:r>
            <w:r w:rsidR="00176653" w:rsidRPr="00097F29">
              <w:t>an</w:t>
            </w:r>
            <w:r w:rsidR="00222689" w:rsidRPr="00097F29">
              <w:t xml:space="preserve"> abusive patient) rather than ending the relationship</w:t>
            </w:r>
            <w:r>
              <w:t>.</w:t>
            </w:r>
          </w:p>
          <w:p w14:paraId="18F1E526" w14:textId="493AA175" w:rsidR="00222689" w:rsidRPr="00097F29" w:rsidRDefault="00222689" w:rsidP="00222689"/>
        </w:tc>
        <w:tc>
          <w:tcPr>
            <w:tcW w:w="4252" w:type="dxa"/>
            <w:shd w:val="clear" w:color="auto" w:fill="auto"/>
          </w:tcPr>
          <w:p w14:paraId="4DEE901B" w14:textId="459686A2" w:rsidR="00222689" w:rsidRDefault="00222689" w:rsidP="00222689">
            <w:r>
              <w:lastRenderedPageBreak/>
              <w:t>D</w:t>
            </w:r>
            <w:r w:rsidRPr="00097F29">
              <w:t>oes adding in these steps (to consider para</w:t>
            </w:r>
            <w:r w:rsidR="00F92E7E">
              <w:t xml:space="preserve">graphs </w:t>
            </w:r>
            <w:r w:rsidRPr="00097F29">
              <w:t xml:space="preserve">5-8)  mean that a patient could be violent or abusive (this can include the patient using discriminatory </w:t>
            </w:r>
            <w:r w:rsidRPr="00097F29">
              <w:lastRenderedPageBreak/>
              <w:t xml:space="preserve">language across almost all of the </w:t>
            </w:r>
            <w:r w:rsidR="00F92E7E">
              <w:t xml:space="preserve">protected characteristics </w:t>
            </w:r>
            <w:r w:rsidRPr="00097F29">
              <w:t xml:space="preserve">)  or the patient could have made a sexual advance and on a strict reading of the this, there is no automatic way to end the relationship (i.e. there are some situations that are so severe a </w:t>
            </w:r>
            <w:r w:rsidR="00176653">
              <w:t>medical professional</w:t>
            </w:r>
            <w:r w:rsidRPr="00097F29">
              <w:t xml:space="preserve"> should be able to remove him/herself from any further involvement. </w:t>
            </w:r>
            <w:r w:rsidR="008D4386">
              <w:t xml:space="preserve"> </w:t>
            </w:r>
            <w:r>
              <w:t xml:space="preserve">In short - </w:t>
            </w:r>
            <w:r w:rsidRPr="00097F29">
              <w:t xml:space="preserve">Are we doing enough to protect the </w:t>
            </w:r>
            <w:r w:rsidR="00176653">
              <w:t>medical professionals</w:t>
            </w:r>
            <w:r w:rsidR="00176653" w:rsidRPr="00097F29">
              <w:t xml:space="preserve"> </w:t>
            </w:r>
            <w:r w:rsidRPr="00097F29">
              <w:t>who (rarely</w:t>
            </w:r>
            <w:r>
              <w:t xml:space="preserve"> but increasingly</w:t>
            </w:r>
            <w:r w:rsidRPr="00097F29">
              <w:t xml:space="preserve">) suffer extreme violence/sexual assault etc? </w:t>
            </w:r>
            <w:r>
              <w:t xml:space="preserve"> This issue relates to patients who are not impaired due to a medical condition. </w:t>
            </w:r>
            <w:r w:rsidRPr="00097F29">
              <w:t xml:space="preserve">This isn't a huge change in wording, but the impact could be significant. </w:t>
            </w:r>
          </w:p>
          <w:p w14:paraId="0A9F2A12" w14:textId="541B4B3A" w:rsidR="00222689" w:rsidRPr="00097F29" w:rsidRDefault="00222689" w:rsidP="00222689">
            <w:r w:rsidRPr="00097F29">
              <w:t xml:space="preserve">Also, could it apply to </w:t>
            </w:r>
            <w:r>
              <w:t xml:space="preserve">PAs - they could be targeted for verbal abuse - </w:t>
            </w:r>
            <w:r w:rsidRPr="00097F29">
              <w:t>(</w:t>
            </w:r>
            <w:r>
              <w:t>“</w:t>
            </w:r>
            <w:r w:rsidRPr="009F2D48">
              <w:rPr>
                <w:i/>
              </w:rPr>
              <w:t>I demand to see "a proper doctor</w:t>
            </w:r>
            <w:r w:rsidRPr="00097F29">
              <w:t xml:space="preserve">" etc type of abuse? </w:t>
            </w:r>
          </w:p>
        </w:tc>
        <w:tc>
          <w:tcPr>
            <w:tcW w:w="2127" w:type="dxa"/>
            <w:shd w:val="clear" w:color="auto" w:fill="auto"/>
          </w:tcPr>
          <w:p w14:paraId="6A5B7540" w14:textId="3621CDBB" w:rsidR="00222689" w:rsidRPr="00097F29" w:rsidRDefault="00222689" w:rsidP="00222689">
            <w:r w:rsidRPr="00097F29">
              <w:lastRenderedPageBreak/>
              <w:t>Across all PCs</w:t>
            </w:r>
            <w:r>
              <w:t xml:space="preserve"> (but particularly those of sex, religion and belief, and race)</w:t>
            </w:r>
            <w:r w:rsidRPr="00097F29">
              <w:t xml:space="preserve"> </w:t>
            </w:r>
            <w:r w:rsidRPr="00097F29">
              <w:br/>
            </w:r>
            <w:r>
              <w:lastRenderedPageBreak/>
              <w:t xml:space="preserve">and all medical professionals </w:t>
            </w:r>
          </w:p>
        </w:tc>
        <w:tc>
          <w:tcPr>
            <w:tcW w:w="5670" w:type="dxa"/>
          </w:tcPr>
          <w:p w14:paraId="49DE5AB8" w14:textId="22F2C8E3" w:rsidR="00222689" w:rsidRDefault="00222689" w:rsidP="00222689">
            <w:pPr>
              <w:rPr>
                <w:rStyle w:val="normaltextrun"/>
                <w:rFonts w:cs="Calibri"/>
                <w:shd w:val="clear" w:color="auto" w:fill="FFFFFF"/>
              </w:rPr>
            </w:pPr>
            <w:r>
              <w:lastRenderedPageBreak/>
              <w:t xml:space="preserve">Following engagement, we have added a new paragraph 6 which reads </w:t>
            </w:r>
            <w:r w:rsidR="00F92E7E">
              <w:t>‘</w:t>
            </w:r>
            <w:r>
              <w:t>i</w:t>
            </w:r>
            <w:r>
              <w:rPr>
                <w:rStyle w:val="normaltextrun"/>
                <w:rFonts w:cs="Calibri"/>
                <w:shd w:val="clear" w:color="auto" w:fill="FFFFFF"/>
              </w:rPr>
              <w:t xml:space="preserve">t may be reasonable to end a relationship </w:t>
            </w:r>
            <w:r w:rsidRPr="00BC2487">
              <w:rPr>
                <w:rStyle w:val="normaltextrun"/>
                <w:rFonts w:cs="Calibri"/>
                <w:b/>
                <w:bCs/>
                <w:shd w:val="clear" w:color="auto" w:fill="FFFFFF"/>
              </w:rPr>
              <w:t>immediately</w:t>
            </w:r>
            <w:r>
              <w:rPr>
                <w:rStyle w:val="normaltextrun"/>
                <w:rFonts w:cs="Calibri"/>
                <w:shd w:val="clear" w:color="auto" w:fill="FFFFFF"/>
              </w:rPr>
              <w:t xml:space="preserve"> in certain circumstances. For example, primary care regulations and contracts allow </w:t>
            </w:r>
            <w:r>
              <w:rPr>
                <w:rStyle w:val="normaltextrun"/>
                <w:rFonts w:cs="Calibri"/>
                <w:shd w:val="clear" w:color="auto" w:fill="FFFFFF"/>
              </w:rPr>
              <w:lastRenderedPageBreak/>
              <w:t xml:space="preserve">for the immediate removal of patients from practice lists if a patient has been violent or behaved a way that has caused other people to fear for their safety. You must follow local or national guidance and </w:t>
            </w:r>
            <w:proofErr w:type="gramStart"/>
            <w:r>
              <w:rPr>
                <w:rStyle w:val="normaltextrun"/>
                <w:rFonts w:cs="Calibri"/>
                <w:shd w:val="clear" w:color="auto" w:fill="FFFFFF"/>
              </w:rPr>
              <w:t>regulations</w:t>
            </w:r>
            <w:r w:rsidR="00F92E7E">
              <w:rPr>
                <w:rStyle w:val="normaltextrun"/>
                <w:rFonts w:cs="Calibri"/>
                <w:shd w:val="clear" w:color="auto" w:fill="FFFFFF"/>
              </w:rPr>
              <w:t>’</w:t>
            </w:r>
            <w:proofErr w:type="gramEnd"/>
            <w:r>
              <w:rPr>
                <w:rStyle w:val="normaltextrun"/>
                <w:rFonts w:cs="Calibri"/>
                <w:shd w:val="clear" w:color="auto" w:fill="FFFFFF"/>
              </w:rPr>
              <w:t>.</w:t>
            </w:r>
          </w:p>
          <w:p w14:paraId="724B323C" w14:textId="77777777" w:rsidR="00222689" w:rsidRDefault="00222689" w:rsidP="00222689">
            <w:pPr>
              <w:rPr>
                <w:rStyle w:val="normaltextrun"/>
                <w:rFonts w:cs="Calibri"/>
                <w:shd w:val="clear" w:color="auto" w:fill="FFFFFF"/>
              </w:rPr>
            </w:pPr>
            <w:r>
              <w:rPr>
                <w:rStyle w:val="normaltextrun"/>
                <w:rFonts w:cs="Calibri"/>
                <w:shd w:val="clear" w:color="auto" w:fill="FFFFFF"/>
              </w:rPr>
              <w:t xml:space="preserve">How to respond to patients who exhibit sexual behaviour is covered in the </w:t>
            </w:r>
            <w:r w:rsidRPr="00893A08">
              <w:rPr>
                <w:rStyle w:val="normaltextrun"/>
                <w:rFonts w:cs="Calibri"/>
                <w:i/>
                <w:shd w:val="clear" w:color="auto" w:fill="FFFFFF"/>
              </w:rPr>
              <w:t xml:space="preserve">Maintaining professional and personal boundaries </w:t>
            </w:r>
            <w:r>
              <w:rPr>
                <w:rStyle w:val="normaltextrun"/>
                <w:rFonts w:cs="Calibri"/>
                <w:shd w:val="clear" w:color="auto" w:fill="FFFFFF"/>
              </w:rPr>
              <w:t xml:space="preserve">guidance </w:t>
            </w:r>
          </w:p>
          <w:p w14:paraId="26C0BC8A" w14:textId="49D32F7E" w:rsidR="00222689" w:rsidRPr="00097F29" w:rsidRDefault="00222689" w:rsidP="00222689">
            <w:r>
              <w:rPr>
                <w:rStyle w:val="normaltextrun"/>
                <w:rFonts w:cs="Calibri"/>
                <w:shd w:val="clear" w:color="auto" w:fill="FFFFFF"/>
              </w:rPr>
              <w:t xml:space="preserve">References to shared care arrangements were removed after stakeholders fed </w:t>
            </w:r>
            <w:proofErr w:type="gramStart"/>
            <w:r>
              <w:rPr>
                <w:rStyle w:val="normaltextrun"/>
                <w:rFonts w:cs="Calibri"/>
                <w:shd w:val="clear" w:color="auto" w:fill="FFFFFF"/>
              </w:rPr>
              <w:t>back</w:t>
            </w:r>
            <w:proofErr w:type="gramEnd"/>
            <w:r>
              <w:rPr>
                <w:rStyle w:val="normaltextrun"/>
                <w:rFonts w:cs="Calibri"/>
                <w:shd w:val="clear" w:color="auto" w:fill="FFFFFF"/>
              </w:rPr>
              <w:t xml:space="preserve"> they were impractical. </w:t>
            </w:r>
          </w:p>
        </w:tc>
      </w:tr>
      <w:tr w:rsidR="00222689" w:rsidRPr="00097F29" w14:paraId="5EAC2A3D" w14:textId="4B0DC702" w:rsidTr="00CB3C31">
        <w:tc>
          <w:tcPr>
            <w:tcW w:w="1701" w:type="dxa"/>
            <w:shd w:val="clear" w:color="auto" w:fill="FF9966"/>
          </w:tcPr>
          <w:p w14:paraId="1A2D0285" w14:textId="77777777" w:rsidR="00222689" w:rsidRPr="00AB403F" w:rsidRDefault="00222689" w:rsidP="00222689">
            <w:pPr>
              <w:rPr>
                <w:b/>
                <w:bCs/>
              </w:rPr>
            </w:pPr>
            <w:r w:rsidRPr="00AB403F">
              <w:rPr>
                <w:b/>
                <w:bCs/>
              </w:rPr>
              <w:lastRenderedPageBreak/>
              <w:t>Ending Professional Relationships</w:t>
            </w:r>
          </w:p>
        </w:tc>
        <w:tc>
          <w:tcPr>
            <w:tcW w:w="1985" w:type="dxa"/>
            <w:shd w:val="clear" w:color="auto" w:fill="auto"/>
          </w:tcPr>
          <w:p w14:paraId="4BC66C33" w14:textId="1EFE7834" w:rsidR="00222689" w:rsidRPr="00097F29" w:rsidRDefault="00222689" w:rsidP="00222689">
            <w:r>
              <w:t>P</w:t>
            </w:r>
            <w:r w:rsidRPr="00097F29">
              <w:t>ara</w:t>
            </w:r>
            <w:r w:rsidR="00A0687A">
              <w:t>graph</w:t>
            </w:r>
            <w:r>
              <w:t xml:space="preserve"> 7 of the engagement draft</w:t>
            </w:r>
            <w:r w:rsidRPr="00097F29">
              <w:t xml:space="preserve"> </w:t>
            </w:r>
            <w:r>
              <w:t>contained a</w:t>
            </w:r>
            <w:r w:rsidRPr="00097F29">
              <w:t xml:space="preserve"> duty to consider children and vulnerable adults who are cared for by a patient</w:t>
            </w:r>
            <w:r>
              <w:t xml:space="preserve"> with whom a relationship might be terminated</w:t>
            </w:r>
          </w:p>
        </w:tc>
        <w:tc>
          <w:tcPr>
            <w:tcW w:w="4252" w:type="dxa"/>
            <w:shd w:val="clear" w:color="auto" w:fill="auto"/>
          </w:tcPr>
          <w:p w14:paraId="08E1AC01" w14:textId="3860E1C5" w:rsidR="00222689" w:rsidRDefault="00222689" w:rsidP="00222689">
            <w:r>
              <w:t xml:space="preserve">The 2013 guidance </w:t>
            </w:r>
            <w:r w:rsidR="00A0687A">
              <w:t xml:space="preserve">doesn’t include specific references </w:t>
            </w:r>
            <w:r w:rsidR="00B608FC">
              <w:t>to safeguarding</w:t>
            </w:r>
            <w:r>
              <w:t xml:space="preserve">, so we have added in these considerations in line with </w:t>
            </w:r>
            <w:r w:rsidR="00CB37EA" w:rsidRPr="002F10C6">
              <w:rPr>
                <w:rFonts w:asciiTheme="minorHAnsi" w:eastAsiaTheme="minorHAnsi" w:hAnsiTheme="minorHAnsi" w:cstheme="minorHAnsi"/>
                <w:i/>
                <w:iCs/>
              </w:rPr>
              <w:t>Good medical practice</w:t>
            </w:r>
            <w:r w:rsidR="00CB37EA">
              <w:rPr>
                <w:rFonts w:asciiTheme="minorHAnsi" w:eastAsiaTheme="minorHAnsi" w:hAnsiTheme="minorHAnsi" w:cstheme="minorHAnsi"/>
              </w:rPr>
              <w:t xml:space="preserve"> </w:t>
            </w:r>
            <w:r>
              <w:t>2024, paragraphs 41 and 42.</w:t>
            </w:r>
          </w:p>
          <w:p w14:paraId="1631D019" w14:textId="20DE63B7" w:rsidR="00222689" w:rsidRPr="00097F29" w:rsidRDefault="00222689" w:rsidP="00222689">
            <w:r>
              <w:t xml:space="preserve">However, </w:t>
            </w:r>
            <w:proofErr w:type="gramStart"/>
            <w:r>
              <w:t>s</w:t>
            </w:r>
            <w:r w:rsidRPr="00097F29">
              <w:t>imilar to</w:t>
            </w:r>
            <w:proofErr w:type="gramEnd"/>
            <w:r w:rsidRPr="00097F29">
              <w:t xml:space="preserve"> the above, does the new 'must' duty at para</w:t>
            </w:r>
            <w:r w:rsidR="00A0687A">
              <w:t>graph</w:t>
            </w:r>
            <w:r w:rsidRPr="00097F29">
              <w:t xml:space="preserve"> 7 mean that </w:t>
            </w:r>
            <w:r w:rsidR="00176653">
              <w:t>medical professional</w:t>
            </w:r>
            <w:r w:rsidRPr="00097F29">
              <w:t>s have to continue to care for the children of patients who have been violent etc?</w:t>
            </w:r>
          </w:p>
        </w:tc>
        <w:tc>
          <w:tcPr>
            <w:tcW w:w="2127" w:type="dxa"/>
            <w:shd w:val="clear" w:color="auto" w:fill="auto"/>
          </w:tcPr>
          <w:p w14:paraId="408D4707" w14:textId="71F1A1BD" w:rsidR="00222689" w:rsidRDefault="00222689" w:rsidP="00222689">
            <w:r w:rsidRPr="00097F29">
              <w:t xml:space="preserve">Across all PCs for </w:t>
            </w:r>
            <w:r w:rsidR="00176653">
              <w:t>medical professional</w:t>
            </w:r>
            <w:r w:rsidRPr="00097F29">
              <w:t>s involved</w:t>
            </w:r>
            <w:r>
              <w:t>.</w:t>
            </w:r>
          </w:p>
          <w:p w14:paraId="475D3AF9" w14:textId="06EAAC84" w:rsidR="00222689" w:rsidRPr="00097F29" w:rsidRDefault="00222689" w:rsidP="00222689">
            <w:r>
              <w:t xml:space="preserve">If we don’t include this – consider impacts on </w:t>
            </w:r>
            <w:r w:rsidRPr="00097F29">
              <w:t xml:space="preserve">children (age) </w:t>
            </w:r>
            <w:r>
              <w:t xml:space="preserve">and </w:t>
            </w:r>
            <w:r w:rsidRPr="00097F29">
              <w:t xml:space="preserve">vulnerable adults (disability) </w:t>
            </w:r>
          </w:p>
        </w:tc>
        <w:tc>
          <w:tcPr>
            <w:tcW w:w="5670" w:type="dxa"/>
          </w:tcPr>
          <w:p w14:paraId="6A987F80" w14:textId="1F6C2C4E" w:rsidR="00222689" w:rsidRPr="00097F29" w:rsidRDefault="00222689" w:rsidP="00222689">
            <w:r>
              <w:t xml:space="preserve">We have retained the expectation that medical professionals should consider safeguarding issues and take appropriate advice, but this is not a barrier to ending a relationship with a patient. We also say at paragraph 12 </w:t>
            </w:r>
            <w:r w:rsidR="00A0687A">
              <w:t>‘</w:t>
            </w:r>
            <w:r>
              <w:rPr>
                <w:rStyle w:val="normaltextrun"/>
                <w:rFonts w:cs="Calibri"/>
                <w:shd w:val="clear" w:color="auto" w:fill="FFFFFF"/>
              </w:rPr>
              <w:t>If it is necessary to end the relationship with other patients (for example, because of risks to staff arising from ongoing contact with the former patient), you must make sure that arrangements are made for the continuing care of children and young people or any dependent adults who are unable to make arrangements for themselves.</w:t>
            </w:r>
            <w:r w:rsidR="00A0687A">
              <w:rPr>
                <w:rStyle w:val="normaltextrun"/>
                <w:rFonts w:cs="Calibri"/>
                <w:shd w:val="clear" w:color="auto" w:fill="FFFFFF"/>
              </w:rPr>
              <w:t>’</w:t>
            </w:r>
          </w:p>
        </w:tc>
      </w:tr>
      <w:tr w:rsidR="00222689" w:rsidRPr="00097F29" w14:paraId="0CD55251" w14:textId="7760414A" w:rsidTr="00CB3C31">
        <w:tc>
          <w:tcPr>
            <w:tcW w:w="1701" w:type="dxa"/>
            <w:shd w:val="clear" w:color="auto" w:fill="FF9966"/>
          </w:tcPr>
          <w:p w14:paraId="0DDD4074" w14:textId="77777777" w:rsidR="00222689" w:rsidRPr="00AB403F" w:rsidRDefault="00222689" w:rsidP="00222689">
            <w:pPr>
              <w:rPr>
                <w:b/>
                <w:bCs/>
              </w:rPr>
            </w:pPr>
            <w:r w:rsidRPr="00AB403F">
              <w:rPr>
                <w:b/>
                <w:bCs/>
              </w:rPr>
              <w:t>Ending Professional Relationships</w:t>
            </w:r>
          </w:p>
        </w:tc>
        <w:tc>
          <w:tcPr>
            <w:tcW w:w="1985" w:type="dxa"/>
            <w:shd w:val="clear" w:color="auto" w:fill="auto"/>
          </w:tcPr>
          <w:p w14:paraId="7BFE50E4" w14:textId="1B5D9010" w:rsidR="00222689" w:rsidRPr="00097F29" w:rsidRDefault="00222689" w:rsidP="00222689">
            <w:r w:rsidRPr="00520F82">
              <w:t>Para</w:t>
            </w:r>
            <w:r w:rsidR="00A0687A">
              <w:t>graph</w:t>
            </w:r>
            <w:r w:rsidRPr="00520F82">
              <w:t xml:space="preserve"> that describes patient behaviour – (</w:t>
            </w:r>
            <w:r w:rsidR="00387FC3" w:rsidRPr="00520F82">
              <w:t>e.g.,</w:t>
            </w:r>
            <w:r w:rsidRPr="00520F82">
              <w:t xml:space="preserve"> acting unreasonably?)</w:t>
            </w:r>
          </w:p>
        </w:tc>
        <w:tc>
          <w:tcPr>
            <w:tcW w:w="4252" w:type="dxa"/>
            <w:shd w:val="clear" w:color="auto" w:fill="auto"/>
          </w:tcPr>
          <w:p w14:paraId="66724837" w14:textId="0A420B7E" w:rsidR="00222689" w:rsidRPr="00097F29" w:rsidRDefault="00222689" w:rsidP="00222689">
            <w:r w:rsidRPr="00520F82">
              <w:t xml:space="preserve">Could patients who demand to see a </w:t>
            </w:r>
            <w:r w:rsidR="00FD2796">
              <w:t xml:space="preserve">medical professional </w:t>
            </w:r>
            <w:r w:rsidRPr="00520F82">
              <w:t xml:space="preserve">who is (for example) female </w:t>
            </w:r>
            <w:r w:rsidR="00FD2796">
              <w:t xml:space="preserve">by birth </w:t>
            </w:r>
            <w:r w:rsidRPr="00520F82">
              <w:t xml:space="preserve">find themselves on the wrong side of this policy? </w:t>
            </w:r>
            <w:r w:rsidR="00FD2796">
              <w:t>C</w:t>
            </w:r>
            <w:r w:rsidRPr="00520F82">
              <w:t xml:space="preserve">ould that amount to acting unreasonably?  This seems unlikely but there are reports that patients who have tried to make these requests have been classed as transphobic. The medical </w:t>
            </w:r>
            <w:r w:rsidRPr="00520F82">
              <w:lastRenderedPageBreak/>
              <w:t xml:space="preserve">workplace </w:t>
            </w:r>
            <w:proofErr w:type="gramStart"/>
            <w:r w:rsidRPr="00520F82">
              <w:t>has to</w:t>
            </w:r>
            <w:proofErr w:type="gramEnd"/>
            <w:r w:rsidRPr="00520F82">
              <w:t xml:space="preserve"> balance a patient's right to same sex care (sometimes requested for religious reasons) and the rights of a trans </w:t>
            </w:r>
            <w:r w:rsidR="00FD2796">
              <w:t>medical professionals t</w:t>
            </w:r>
            <w:r w:rsidRPr="00520F82">
              <w:t xml:space="preserve">o have their gender reassignment status protected and confidential. </w:t>
            </w:r>
          </w:p>
        </w:tc>
        <w:tc>
          <w:tcPr>
            <w:tcW w:w="2127" w:type="dxa"/>
            <w:shd w:val="clear" w:color="auto" w:fill="auto"/>
          </w:tcPr>
          <w:p w14:paraId="3178015E" w14:textId="31C1977F" w:rsidR="00FD2796" w:rsidRDefault="00FD2796" w:rsidP="00FD2796">
            <w:r>
              <w:lastRenderedPageBreak/>
              <w:t>1.</w:t>
            </w:r>
            <w:r w:rsidR="00222689" w:rsidRPr="00520F82">
              <w:t>Patients on the grounds of religion/</w:t>
            </w:r>
            <w:r w:rsidR="00387FC3" w:rsidRPr="00520F82">
              <w:t>belief.</w:t>
            </w:r>
            <w:r w:rsidR="00222689" w:rsidRPr="00520F82">
              <w:t xml:space="preserve"> </w:t>
            </w:r>
          </w:p>
          <w:p w14:paraId="7037195F" w14:textId="4712B280" w:rsidR="00222689" w:rsidRPr="00097F29" w:rsidRDefault="00FD2796" w:rsidP="00FD2796">
            <w:r>
              <w:t xml:space="preserve">2. </w:t>
            </w:r>
            <w:r w:rsidR="00222689" w:rsidRPr="00520F82">
              <w:t xml:space="preserve">medical practitioners who have had/are undergoing gender </w:t>
            </w:r>
            <w:r w:rsidRPr="00520F82">
              <w:t>reassignment or</w:t>
            </w:r>
            <w:r w:rsidR="00222689" w:rsidRPr="00520F82">
              <w:t xml:space="preserve"> </w:t>
            </w:r>
            <w:r>
              <w:t xml:space="preserve">who </w:t>
            </w:r>
            <w:r w:rsidR="00222689" w:rsidRPr="00520F82">
              <w:t xml:space="preserve">identify as </w:t>
            </w:r>
            <w:r>
              <w:t xml:space="preserve">a </w:t>
            </w:r>
            <w:r>
              <w:lastRenderedPageBreak/>
              <w:t xml:space="preserve">sex different </w:t>
            </w:r>
            <w:r w:rsidR="00387FC3">
              <w:t xml:space="preserve">to </w:t>
            </w:r>
            <w:r w:rsidR="00387FC3" w:rsidRPr="00520F82">
              <w:t>that</w:t>
            </w:r>
            <w:r w:rsidR="00222689" w:rsidRPr="00520F82">
              <w:t xml:space="preserve"> assigned at birth.</w:t>
            </w:r>
          </w:p>
        </w:tc>
        <w:tc>
          <w:tcPr>
            <w:tcW w:w="5670" w:type="dxa"/>
          </w:tcPr>
          <w:p w14:paraId="42B5B463" w14:textId="6CF6F013" w:rsidR="00222689" w:rsidRPr="00097F29" w:rsidRDefault="00222689" w:rsidP="00222689">
            <w:r w:rsidRPr="00520F82">
              <w:lastRenderedPageBreak/>
              <w:t>We have not defined what ‘acting persistently unreasonably’ means in th</w:t>
            </w:r>
            <w:r w:rsidR="00E7361F">
              <w:t>is</w:t>
            </w:r>
            <w:r w:rsidRPr="00520F82">
              <w:t xml:space="preserve"> guidance, but the threshold is where the patient’s behaviour has led to a breakdown in trust.  We have made clear that merely making a complaint is not sufficient reason for ending a </w:t>
            </w:r>
            <w:r w:rsidR="00FD2796" w:rsidRPr="00520F82">
              <w:t>relationship and</w:t>
            </w:r>
            <w:r w:rsidRPr="00520F82">
              <w:t xml:space="preserve"> have added (at paragraph 5) that complaints or concerns raised by the patient must be responded to promptly, </w:t>
            </w:r>
            <w:proofErr w:type="gramStart"/>
            <w:r w:rsidRPr="00520F82">
              <w:t>fully</w:t>
            </w:r>
            <w:proofErr w:type="gramEnd"/>
            <w:r w:rsidRPr="00520F82">
              <w:t xml:space="preserve"> and honestly.</w:t>
            </w:r>
          </w:p>
        </w:tc>
      </w:tr>
      <w:tr w:rsidR="00222689" w:rsidRPr="00097F29" w14:paraId="7A4BC607" w14:textId="4FD60139" w:rsidTr="00CB3C31">
        <w:tc>
          <w:tcPr>
            <w:tcW w:w="1701" w:type="dxa"/>
            <w:shd w:val="clear" w:color="auto" w:fill="FF9966"/>
          </w:tcPr>
          <w:p w14:paraId="6EC3AA31" w14:textId="77777777" w:rsidR="00222689" w:rsidRPr="00AB403F" w:rsidRDefault="00222689" w:rsidP="00222689">
            <w:pPr>
              <w:rPr>
                <w:b/>
                <w:bCs/>
              </w:rPr>
            </w:pPr>
            <w:r w:rsidRPr="00AB403F">
              <w:rPr>
                <w:b/>
                <w:bCs/>
              </w:rPr>
              <w:t>Ending Professional Relationships</w:t>
            </w:r>
          </w:p>
        </w:tc>
        <w:tc>
          <w:tcPr>
            <w:tcW w:w="1985" w:type="dxa"/>
            <w:shd w:val="clear" w:color="auto" w:fill="auto"/>
          </w:tcPr>
          <w:p w14:paraId="78028A5A" w14:textId="0BB36CCF" w:rsidR="00222689" w:rsidRDefault="00222689" w:rsidP="00222689">
            <w:r>
              <w:t>Para</w:t>
            </w:r>
            <w:r w:rsidR="00A0687A">
              <w:t>graph</w:t>
            </w:r>
            <w:r>
              <w:t xml:space="preserve"> that describes patient behaviour (</w:t>
            </w:r>
            <w:r w:rsidR="003132C6">
              <w:t>e.g.,</w:t>
            </w:r>
            <w:r>
              <w:t xml:space="preserve"> </w:t>
            </w:r>
            <w:r w:rsidRPr="009F2D48">
              <w:rPr>
                <w:i/>
              </w:rPr>
              <w:t>violence/sexual behaviour</w:t>
            </w:r>
            <w:r>
              <w:t>/</w:t>
            </w:r>
            <w:r w:rsidRPr="009F2D48">
              <w:rPr>
                <w:i/>
              </w:rPr>
              <w:t>acting unreasonably</w:t>
            </w:r>
            <w:r>
              <w:t xml:space="preserve"> etc)</w:t>
            </w:r>
          </w:p>
          <w:p w14:paraId="6364FF8D" w14:textId="11012BFC" w:rsidR="00222689" w:rsidRPr="00097F29" w:rsidRDefault="00222689" w:rsidP="00222689"/>
        </w:tc>
        <w:tc>
          <w:tcPr>
            <w:tcW w:w="4252" w:type="dxa"/>
            <w:shd w:val="clear" w:color="auto" w:fill="auto"/>
          </w:tcPr>
          <w:p w14:paraId="148299F5" w14:textId="6977A79D" w:rsidR="00222689" w:rsidRDefault="00222689" w:rsidP="00222689">
            <w:r>
              <w:t>C</w:t>
            </w:r>
            <w:r w:rsidRPr="00097F29">
              <w:t>oncern about patients with disabilities (esp. neurodegenerative conditions</w:t>
            </w:r>
            <w:r>
              <w:t>/ head injuries/</w:t>
            </w:r>
            <w:r w:rsidRPr="00097F29">
              <w:t>addictions etc</w:t>
            </w:r>
            <w:r>
              <w:t>*</w:t>
            </w:r>
            <w:r w:rsidRPr="00097F29">
              <w:t xml:space="preserve">) being possibly discriminated against if they show aggression/rudeness/inappropriate sexual behaviour </w:t>
            </w:r>
            <w:r w:rsidR="003132C6" w:rsidRPr="00097F29">
              <w:t>because of</w:t>
            </w:r>
            <w:r w:rsidRPr="009F2D48">
              <w:rPr>
                <w:u w:val="single"/>
              </w:rPr>
              <w:t xml:space="preserve"> their condition</w:t>
            </w:r>
            <w:r>
              <w:t xml:space="preserve">. </w:t>
            </w:r>
          </w:p>
          <w:p w14:paraId="7158F7D6" w14:textId="0E545D56" w:rsidR="00222689" w:rsidRDefault="00222689" w:rsidP="00222689">
            <w:r>
              <w:t xml:space="preserve">If they are </w:t>
            </w:r>
            <w:r w:rsidRPr="00097F29">
              <w:t xml:space="preserve">then asked to leave the practice etc </w:t>
            </w:r>
            <w:r>
              <w:t>this could be disability discrimination? Has this bee</w:t>
            </w:r>
            <w:r w:rsidRPr="00097F29">
              <w:t>n satisfactorily addressed by the anti-discrimination para</w:t>
            </w:r>
            <w:r w:rsidR="00A0687A">
              <w:t>graph</w:t>
            </w:r>
            <w:r w:rsidRPr="00097F29">
              <w:t xml:space="preserve"> and the reminder about reasonable adjustments?</w:t>
            </w:r>
          </w:p>
          <w:p w14:paraId="7D28B08B" w14:textId="77777777" w:rsidR="00222689" w:rsidRDefault="00222689" w:rsidP="00222689">
            <w:r>
              <w:lastRenderedPageBreak/>
              <w:t>* W</w:t>
            </w:r>
            <w:r w:rsidRPr="00097F29">
              <w:t xml:space="preserve">hat about conditions like neurodiversity which may be undiagnosed? </w:t>
            </w:r>
          </w:p>
          <w:p w14:paraId="534DACF1" w14:textId="092CADEB" w:rsidR="00222689" w:rsidRPr="00097F29" w:rsidRDefault="00222689" w:rsidP="00222689">
            <w:r>
              <w:t>Patients with (for example) dementia who cannot communicate but act inappropriately to</w:t>
            </w:r>
            <w:r w:rsidR="00A44AF0">
              <w:t>wards</w:t>
            </w:r>
            <w:r>
              <w:t xml:space="preserve"> medical professionals.</w:t>
            </w:r>
          </w:p>
        </w:tc>
        <w:tc>
          <w:tcPr>
            <w:tcW w:w="2127" w:type="dxa"/>
            <w:shd w:val="clear" w:color="auto" w:fill="auto"/>
          </w:tcPr>
          <w:p w14:paraId="545C76F0" w14:textId="5BCC32EF" w:rsidR="00222689" w:rsidRPr="00097F29" w:rsidRDefault="00C00ABE" w:rsidP="00222689">
            <w:r>
              <w:lastRenderedPageBreak/>
              <w:t>P</w:t>
            </w:r>
            <w:r w:rsidR="00222689">
              <w:t>atients</w:t>
            </w:r>
            <w:r>
              <w:t xml:space="preserve"> – disability </w:t>
            </w:r>
          </w:p>
        </w:tc>
        <w:tc>
          <w:tcPr>
            <w:tcW w:w="5670" w:type="dxa"/>
          </w:tcPr>
          <w:p w14:paraId="5FF9B794" w14:textId="73C70DE9" w:rsidR="00222689" w:rsidRDefault="00222689" w:rsidP="00222689">
            <w:r>
              <w:t>We have addressed this by increasing the emphasis in th</w:t>
            </w:r>
            <w:r w:rsidR="00E7361F">
              <w:t>is</w:t>
            </w:r>
            <w:r>
              <w:t xml:space="preserve"> guidance on the importance of taking steps to restore the relationship (para 7b); making sure complaints and concerns are considered appropriately (para 5a); adding a requirement to consider safeguarding issues (para 8 ); making the paragraph on acting fairly and not discriminating freestanding rather than a sub-paragraph (para 9); and  by saying medical professionals must </w:t>
            </w:r>
            <w:r>
              <w:rPr>
                <w:rStyle w:val="normaltextrun"/>
                <w:rFonts w:cs="Calibri"/>
                <w:shd w:val="clear" w:color="auto" w:fill="FFFFFF"/>
              </w:rPr>
              <w:t>make sure arrangements are in place for the continuing care of the patient if they are unable to make arrangements for themselves</w:t>
            </w:r>
            <w:r>
              <w:rPr>
                <w:rStyle w:val="eop"/>
                <w:rFonts w:cs="Calibri"/>
                <w:shd w:val="clear" w:color="auto" w:fill="FFFFFF"/>
              </w:rPr>
              <w:t> (10c).</w:t>
            </w:r>
          </w:p>
        </w:tc>
      </w:tr>
      <w:tr w:rsidR="00222689" w:rsidRPr="00097F29" w14:paraId="32DCC7FF" w14:textId="3501B85E" w:rsidTr="00CB3C31">
        <w:tc>
          <w:tcPr>
            <w:tcW w:w="1701" w:type="dxa"/>
            <w:tcBorders>
              <w:bottom w:val="single" w:sz="4" w:space="0" w:color="auto"/>
            </w:tcBorders>
            <w:shd w:val="clear" w:color="auto" w:fill="FF9966"/>
          </w:tcPr>
          <w:p w14:paraId="7F06D62B" w14:textId="77777777" w:rsidR="00222689" w:rsidRPr="00AB403F" w:rsidRDefault="00222689" w:rsidP="00222689">
            <w:pPr>
              <w:rPr>
                <w:b/>
                <w:bCs/>
              </w:rPr>
            </w:pPr>
            <w:r w:rsidRPr="00AB403F">
              <w:rPr>
                <w:b/>
                <w:bCs/>
              </w:rPr>
              <w:t>Ending Professional Relationships</w:t>
            </w:r>
          </w:p>
        </w:tc>
        <w:tc>
          <w:tcPr>
            <w:tcW w:w="1985" w:type="dxa"/>
            <w:shd w:val="clear" w:color="auto" w:fill="auto"/>
          </w:tcPr>
          <w:p w14:paraId="44532EC6" w14:textId="22D604D2" w:rsidR="00222689" w:rsidRPr="00097F29" w:rsidRDefault="00222689" w:rsidP="00222689">
            <w:r>
              <w:t>P</w:t>
            </w:r>
            <w:r w:rsidRPr="00097F29">
              <w:t>ara</w:t>
            </w:r>
            <w:r w:rsidR="00A0687A">
              <w:t>graph</w:t>
            </w:r>
            <w:r w:rsidRPr="00097F29">
              <w:t xml:space="preserve"> about not ending relationships due to </w:t>
            </w:r>
            <w:r w:rsidRPr="00C567C2">
              <w:rPr>
                <w:u w:val="single"/>
              </w:rPr>
              <w:t xml:space="preserve">'resource implications </w:t>
            </w:r>
            <w:r w:rsidRPr="00097F29">
              <w:t>of the patient's care or treatment</w:t>
            </w:r>
            <w:r w:rsidR="00387FC3" w:rsidRPr="00097F29">
              <w:t>’.</w:t>
            </w:r>
          </w:p>
        </w:tc>
        <w:tc>
          <w:tcPr>
            <w:tcW w:w="4252" w:type="dxa"/>
            <w:shd w:val="clear" w:color="auto" w:fill="auto"/>
          </w:tcPr>
          <w:p w14:paraId="61A01A3E" w14:textId="4F07DE75" w:rsidR="00222689" w:rsidRDefault="00222689" w:rsidP="00222689">
            <w:r>
              <w:t>Does th</w:t>
            </w:r>
            <w:r w:rsidR="00E7361F">
              <w:t>is</w:t>
            </w:r>
            <w:r>
              <w:t xml:space="preserve"> guidance </w:t>
            </w:r>
            <w:r w:rsidRPr="00097F29">
              <w:t>offer enough protection to those patients who suffer have severe disability/multiple morbidities/addiction and/or patients whose care is costly both in terms of money and manpower? It is only a 'should' duty.</w:t>
            </w:r>
          </w:p>
          <w:p w14:paraId="46364536" w14:textId="3413408C" w:rsidR="00222689" w:rsidRPr="00097F29" w:rsidRDefault="00222689" w:rsidP="00222689">
            <w:r w:rsidRPr="00097F29">
              <w:t>To what extent does this type of thing exist?  E.g. - do GPs for example, end professional relationships with patients because their care is too draining on resource</w:t>
            </w:r>
            <w:r>
              <w:t>s</w:t>
            </w:r>
            <w:r w:rsidRPr="00097F29">
              <w:t xml:space="preserve">? </w:t>
            </w:r>
          </w:p>
        </w:tc>
        <w:tc>
          <w:tcPr>
            <w:tcW w:w="2127" w:type="dxa"/>
            <w:shd w:val="clear" w:color="auto" w:fill="auto"/>
          </w:tcPr>
          <w:p w14:paraId="382D09C6" w14:textId="42510D34" w:rsidR="00222689" w:rsidRPr="00097F29" w:rsidRDefault="00966897" w:rsidP="00222689">
            <w:r>
              <w:t>P</w:t>
            </w:r>
            <w:r w:rsidR="00222689" w:rsidRPr="00097F29">
              <w:t>atients</w:t>
            </w:r>
            <w:r>
              <w:t xml:space="preserve"> - disability</w:t>
            </w:r>
          </w:p>
        </w:tc>
        <w:tc>
          <w:tcPr>
            <w:tcW w:w="5670" w:type="dxa"/>
          </w:tcPr>
          <w:p w14:paraId="1E0AC1FF" w14:textId="1DA41BF4" w:rsidR="00222689" w:rsidRPr="00097F29" w:rsidRDefault="00222689" w:rsidP="00222689">
            <w:r w:rsidRPr="008E0356">
              <w:t xml:space="preserve">We tested in engagement whether the word ‘solely’ is effective in making clear that resource reasons should not (on their own) be sufficient for ending a relationship and the general view was that it was, </w:t>
            </w:r>
            <w:proofErr w:type="gramStart"/>
            <w:r w:rsidRPr="008E0356">
              <w:t>a</w:t>
            </w:r>
            <w:r w:rsidR="00966897">
              <w:t xml:space="preserve">s </w:t>
            </w:r>
            <w:r w:rsidRPr="008E0356">
              <w:t>long as</w:t>
            </w:r>
            <w:proofErr w:type="gramEnd"/>
            <w:r w:rsidRPr="008E0356">
              <w:t xml:space="preserve"> the care or treatment is within the contract for services (this is covered at paragraph 4).</w:t>
            </w:r>
          </w:p>
        </w:tc>
      </w:tr>
    </w:tbl>
    <w:p w14:paraId="5BAFE903" w14:textId="77777777" w:rsidR="00AB654C" w:rsidRDefault="00AB654C" w:rsidP="00E67A05">
      <w:pPr>
        <w:sectPr w:rsidR="00AB654C" w:rsidSect="00285A0E">
          <w:footnotePr>
            <w:numFmt w:val="chicago"/>
            <w:numRestart w:val="eachPage"/>
          </w:footnotePr>
          <w:endnotePr>
            <w:numFmt w:val="decimal"/>
          </w:endnotePr>
          <w:pgSz w:w="16840" w:h="11907" w:orient="landscape" w:code="9"/>
          <w:pgMar w:top="1191" w:right="1985" w:bottom="1191" w:left="1418" w:header="284" w:footer="403" w:gutter="0"/>
          <w:pgNumType w:start="1"/>
          <w:cols w:space="708"/>
          <w:titlePg/>
          <w:docGrid w:linePitch="360"/>
        </w:sectPr>
      </w:pPr>
    </w:p>
    <w:p w14:paraId="3E8970D3" w14:textId="77777777" w:rsidR="004458C0" w:rsidRPr="00C91128" w:rsidRDefault="004458C0" w:rsidP="00884E66">
      <w:pPr>
        <w:pStyle w:val="Heading1"/>
      </w:pPr>
      <w:r w:rsidRPr="00C91128">
        <w:lastRenderedPageBreak/>
        <w:t>Sign off</w:t>
      </w:r>
    </w:p>
    <w:p w14:paraId="39BA1D1A" w14:textId="77777777" w:rsidR="004458C0" w:rsidRPr="00C91128" w:rsidRDefault="004458C0" w:rsidP="004458C0">
      <w:pPr>
        <w:rPr>
          <w:rFonts w:asciiTheme="minorHAnsi" w:hAnsiTheme="minorHAnsi" w:cstheme="minorHAnsi"/>
          <w:sz w:val="28"/>
          <w:szCs w:val="28"/>
        </w:rPr>
      </w:pPr>
    </w:p>
    <w:tbl>
      <w:tblPr>
        <w:tblStyle w:val="TableGrid"/>
        <w:tblW w:w="0" w:type="auto"/>
        <w:tblInd w:w="534" w:type="dxa"/>
        <w:tblLook w:val="04A0" w:firstRow="1" w:lastRow="0" w:firstColumn="1" w:lastColumn="0" w:noHBand="0" w:noVBand="1"/>
      </w:tblPr>
      <w:tblGrid>
        <w:gridCol w:w="2140"/>
        <w:gridCol w:w="6841"/>
      </w:tblGrid>
      <w:tr w:rsidR="004458C0" w:rsidRPr="00C91128" w14:paraId="38FCD73E" w14:textId="77777777" w:rsidTr="00194A33">
        <w:tc>
          <w:tcPr>
            <w:tcW w:w="2693" w:type="dxa"/>
          </w:tcPr>
          <w:p w14:paraId="33FB4F1B" w14:textId="77777777" w:rsidR="004458C0" w:rsidRPr="00C91128" w:rsidRDefault="004458C0" w:rsidP="00194A33">
            <w:pPr>
              <w:rPr>
                <w:rFonts w:asciiTheme="minorHAnsi" w:hAnsiTheme="minorHAnsi" w:cstheme="minorHAnsi"/>
                <w:sz w:val="28"/>
                <w:szCs w:val="28"/>
              </w:rPr>
            </w:pPr>
            <w:r w:rsidRPr="00C91128">
              <w:rPr>
                <w:rFonts w:asciiTheme="minorHAnsi" w:hAnsiTheme="minorHAnsi" w:cstheme="minorHAnsi"/>
                <w:sz w:val="28"/>
                <w:szCs w:val="28"/>
              </w:rPr>
              <w:t xml:space="preserve">EA </w:t>
            </w:r>
            <w:proofErr w:type="gramStart"/>
            <w:r w:rsidRPr="00C91128">
              <w:rPr>
                <w:rFonts w:asciiTheme="minorHAnsi" w:hAnsiTheme="minorHAnsi" w:cstheme="minorHAnsi"/>
                <w:sz w:val="28"/>
                <w:szCs w:val="28"/>
              </w:rPr>
              <w:t>lead</w:t>
            </w:r>
            <w:proofErr w:type="gramEnd"/>
            <w:r w:rsidRPr="00C91128">
              <w:rPr>
                <w:rFonts w:asciiTheme="minorHAnsi" w:hAnsiTheme="minorHAnsi" w:cstheme="minorHAnsi"/>
                <w:sz w:val="28"/>
                <w:szCs w:val="28"/>
              </w:rPr>
              <w:t>(s)</w:t>
            </w:r>
          </w:p>
        </w:tc>
        <w:tc>
          <w:tcPr>
            <w:tcW w:w="11702" w:type="dxa"/>
          </w:tcPr>
          <w:p w14:paraId="4B167E6C" w14:textId="3D886173" w:rsidR="004458C0" w:rsidRPr="00C91128" w:rsidRDefault="004930F6" w:rsidP="00194A33">
            <w:pPr>
              <w:rPr>
                <w:rFonts w:asciiTheme="minorHAnsi" w:hAnsiTheme="minorHAnsi" w:cstheme="minorHAnsi"/>
                <w:sz w:val="28"/>
                <w:szCs w:val="28"/>
              </w:rPr>
            </w:pPr>
            <w:r>
              <w:rPr>
                <w:rFonts w:asciiTheme="minorHAnsi" w:hAnsiTheme="minorHAnsi" w:cstheme="minorHAnsi"/>
                <w:sz w:val="28"/>
                <w:szCs w:val="28"/>
              </w:rPr>
              <w:t>Sharon Burto</w:t>
            </w:r>
            <w:r w:rsidR="00FD02B5">
              <w:rPr>
                <w:rFonts w:asciiTheme="minorHAnsi" w:hAnsiTheme="minorHAnsi" w:cstheme="minorHAnsi"/>
                <w:sz w:val="28"/>
                <w:szCs w:val="28"/>
              </w:rPr>
              <w:t>n, Angela Breingan</w:t>
            </w:r>
          </w:p>
        </w:tc>
      </w:tr>
      <w:tr w:rsidR="004458C0" w:rsidRPr="00C91128" w14:paraId="6D0B4512" w14:textId="77777777" w:rsidTr="00194A33">
        <w:tc>
          <w:tcPr>
            <w:tcW w:w="2693" w:type="dxa"/>
          </w:tcPr>
          <w:p w14:paraId="56DA2F7A" w14:textId="77777777" w:rsidR="004458C0" w:rsidRPr="00C91128" w:rsidRDefault="004458C0" w:rsidP="00194A33">
            <w:pPr>
              <w:rPr>
                <w:rFonts w:asciiTheme="minorHAnsi" w:hAnsiTheme="minorHAnsi" w:cstheme="minorHAnsi"/>
                <w:sz w:val="28"/>
                <w:szCs w:val="28"/>
              </w:rPr>
            </w:pPr>
            <w:r w:rsidRPr="00C91128">
              <w:rPr>
                <w:rFonts w:asciiTheme="minorHAnsi" w:hAnsiTheme="minorHAnsi" w:cstheme="minorHAnsi"/>
                <w:sz w:val="28"/>
                <w:szCs w:val="28"/>
              </w:rPr>
              <w:t>Directorate</w:t>
            </w:r>
          </w:p>
        </w:tc>
        <w:tc>
          <w:tcPr>
            <w:tcW w:w="11702" w:type="dxa"/>
          </w:tcPr>
          <w:p w14:paraId="0B5C3FE1" w14:textId="7E568759" w:rsidR="004458C0" w:rsidRPr="00C91128" w:rsidRDefault="004930F6" w:rsidP="00194A33">
            <w:pPr>
              <w:rPr>
                <w:rFonts w:asciiTheme="minorHAnsi" w:hAnsiTheme="minorHAnsi" w:cstheme="minorHAnsi"/>
                <w:sz w:val="28"/>
                <w:szCs w:val="28"/>
              </w:rPr>
            </w:pPr>
            <w:r>
              <w:rPr>
                <w:rFonts w:asciiTheme="minorHAnsi" w:hAnsiTheme="minorHAnsi" w:cstheme="minorHAnsi"/>
                <w:sz w:val="28"/>
                <w:szCs w:val="28"/>
              </w:rPr>
              <w:t>Education and Standards</w:t>
            </w:r>
          </w:p>
        </w:tc>
      </w:tr>
      <w:tr w:rsidR="004458C0" w:rsidRPr="00C91128" w14:paraId="457781F0" w14:textId="77777777" w:rsidTr="00194A33">
        <w:tc>
          <w:tcPr>
            <w:tcW w:w="2693" w:type="dxa"/>
          </w:tcPr>
          <w:p w14:paraId="6465B56E" w14:textId="480EEDD1" w:rsidR="004458C0" w:rsidRPr="00C91128" w:rsidRDefault="004458C0" w:rsidP="00194A33">
            <w:pPr>
              <w:rPr>
                <w:rFonts w:asciiTheme="minorHAnsi" w:hAnsiTheme="minorHAnsi" w:cstheme="minorHAnsi"/>
                <w:sz w:val="28"/>
                <w:szCs w:val="28"/>
              </w:rPr>
            </w:pPr>
            <w:r w:rsidRPr="00C91128">
              <w:rPr>
                <w:rFonts w:asciiTheme="minorHAnsi" w:hAnsiTheme="minorHAnsi" w:cstheme="minorHAnsi"/>
                <w:sz w:val="28"/>
                <w:szCs w:val="28"/>
              </w:rPr>
              <w:t xml:space="preserve">Assistant Director </w:t>
            </w:r>
          </w:p>
        </w:tc>
        <w:tc>
          <w:tcPr>
            <w:tcW w:w="11702" w:type="dxa"/>
          </w:tcPr>
          <w:p w14:paraId="2CEE1A66" w14:textId="6E9B05E0" w:rsidR="004458C0" w:rsidRPr="00C91128" w:rsidRDefault="004930F6" w:rsidP="00194A33">
            <w:pPr>
              <w:rPr>
                <w:rFonts w:asciiTheme="minorHAnsi" w:hAnsiTheme="minorHAnsi" w:cstheme="minorHAnsi"/>
                <w:sz w:val="28"/>
                <w:szCs w:val="28"/>
              </w:rPr>
            </w:pPr>
            <w:r>
              <w:rPr>
                <w:rFonts w:asciiTheme="minorHAnsi" w:hAnsiTheme="minorHAnsi" w:cstheme="minorHAnsi"/>
                <w:sz w:val="28"/>
                <w:szCs w:val="28"/>
              </w:rPr>
              <w:t>Mark Swindells</w:t>
            </w:r>
          </w:p>
        </w:tc>
      </w:tr>
      <w:tr w:rsidR="004458C0" w:rsidRPr="00C91128" w14:paraId="5029C8C6" w14:textId="77777777" w:rsidTr="00194A33">
        <w:tc>
          <w:tcPr>
            <w:tcW w:w="2693" w:type="dxa"/>
          </w:tcPr>
          <w:p w14:paraId="14C0A796" w14:textId="77777777" w:rsidR="004458C0" w:rsidRPr="00C91128" w:rsidRDefault="004458C0" w:rsidP="00194A33">
            <w:pPr>
              <w:rPr>
                <w:rFonts w:asciiTheme="minorHAnsi" w:hAnsiTheme="minorHAnsi" w:cstheme="minorHAnsi"/>
                <w:sz w:val="28"/>
                <w:szCs w:val="28"/>
              </w:rPr>
            </w:pPr>
            <w:r w:rsidRPr="00C91128">
              <w:rPr>
                <w:rFonts w:asciiTheme="minorHAnsi" w:hAnsiTheme="minorHAnsi" w:cstheme="minorHAnsi"/>
                <w:sz w:val="28"/>
                <w:szCs w:val="28"/>
              </w:rPr>
              <w:t>E&amp;D Team Member</w:t>
            </w:r>
          </w:p>
        </w:tc>
        <w:tc>
          <w:tcPr>
            <w:tcW w:w="11702" w:type="dxa"/>
          </w:tcPr>
          <w:p w14:paraId="3DE9DF56" w14:textId="275453AA" w:rsidR="004458C0" w:rsidRPr="00C91128" w:rsidRDefault="004930F6" w:rsidP="00194A33">
            <w:pPr>
              <w:rPr>
                <w:rFonts w:asciiTheme="minorHAnsi" w:hAnsiTheme="minorHAnsi" w:cstheme="minorHAnsi"/>
                <w:sz w:val="28"/>
                <w:szCs w:val="28"/>
              </w:rPr>
            </w:pPr>
            <w:r>
              <w:rPr>
                <w:rFonts w:asciiTheme="minorHAnsi" w:hAnsiTheme="minorHAnsi" w:cstheme="minorHAnsi"/>
                <w:sz w:val="28"/>
                <w:szCs w:val="28"/>
              </w:rPr>
              <w:t>Angela Breingan</w:t>
            </w:r>
          </w:p>
        </w:tc>
      </w:tr>
    </w:tbl>
    <w:p w14:paraId="6E08284C" w14:textId="77777777" w:rsidR="004458C0" w:rsidRPr="00C91128" w:rsidRDefault="004458C0" w:rsidP="004458C0">
      <w:pPr>
        <w:rPr>
          <w:rFonts w:asciiTheme="minorHAnsi" w:hAnsiTheme="minorHAnsi" w:cstheme="minorHAnsi"/>
          <w:bCs/>
          <w:iCs/>
          <w:color w:val="00377B"/>
          <w:kern w:val="32"/>
          <w:sz w:val="28"/>
          <w:szCs w:val="28"/>
        </w:rPr>
      </w:pPr>
    </w:p>
    <w:sectPr w:rsidR="004458C0" w:rsidRPr="00C91128" w:rsidSect="00285A0E">
      <w:footnotePr>
        <w:numFmt w:val="chicago"/>
        <w:numRestart w:val="eachPage"/>
      </w:footnotePr>
      <w:endnotePr>
        <w:numFmt w:val="decimal"/>
      </w:endnotePr>
      <w:pgSz w:w="11907" w:h="16840" w:code="9"/>
      <w:pgMar w:top="1985" w:right="1191" w:bottom="1418" w:left="1191" w:header="284" w:footer="40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9B34F" w14:textId="77777777" w:rsidR="00D648DC" w:rsidRDefault="00D648DC">
      <w:pPr>
        <w:spacing w:after="0" w:line="240" w:lineRule="auto"/>
      </w:pPr>
      <w:r>
        <w:separator/>
      </w:r>
    </w:p>
  </w:endnote>
  <w:endnote w:type="continuationSeparator" w:id="0">
    <w:p w14:paraId="03657C4E" w14:textId="77777777" w:rsidR="00D648DC" w:rsidRDefault="00D6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AFC44" w14:textId="77777777" w:rsidR="004E22E0" w:rsidRDefault="00737CE7">
    <w:pPr>
      <w:framePr w:wrap="around" w:vAnchor="text" w:hAnchor="margin" w:xAlign="right" w:y="1"/>
    </w:pPr>
    <w:r>
      <w:fldChar w:fldCharType="begin"/>
    </w:r>
    <w:r>
      <w:instrText xml:space="preserve">PAGE  </w:instrText>
    </w:r>
    <w:r>
      <w:fldChar w:fldCharType="end"/>
    </w:r>
  </w:p>
  <w:p w14:paraId="640C96EA" w14:textId="77777777" w:rsidR="004E22E0" w:rsidRDefault="004E22E0">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634293307"/>
      <w:docPartObj>
        <w:docPartGallery w:val="Page Numbers (Bottom of Page)"/>
        <w:docPartUnique/>
      </w:docPartObj>
    </w:sdtPr>
    <w:sdtEndPr>
      <w:rPr>
        <w:noProof/>
        <w:sz w:val="24"/>
        <w:szCs w:val="24"/>
      </w:rPr>
    </w:sdtEndPr>
    <w:sdtContent>
      <w:p w14:paraId="5EF07076" w14:textId="77777777" w:rsidR="003660C2" w:rsidRPr="009D52E4" w:rsidRDefault="003660C2" w:rsidP="00655B88">
        <w:pPr>
          <w:spacing w:line="240" w:lineRule="auto"/>
          <w:rPr>
            <w:rFonts w:asciiTheme="minorHAnsi" w:hAnsiTheme="minorHAnsi" w:cstheme="minorHAnsi"/>
          </w:rPr>
        </w:pPr>
        <w:r w:rsidRPr="00EA50A7">
          <w:rPr>
            <w:rFonts w:asciiTheme="minorHAnsi" w:hAnsiTheme="minorHAnsi" w:cstheme="minorHAnsi"/>
            <w:noProof/>
            <w:color w:val="0F265D"/>
            <w:sz w:val="20"/>
            <w:szCs w:val="20"/>
            <w:lang w:eastAsia="en-GB"/>
          </w:rPr>
          <mc:AlternateContent>
            <mc:Choice Requires="wps">
              <w:drawing>
                <wp:anchor distT="0" distB="0" distL="114300" distR="114300" simplePos="0" relativeHeight="251663360" behindDoc="0" locked="0" layoutInCell="1" allowOverlap="1" wp14:anchorId="6F142C6B" wp14:editId="73F8FBC8">
                  <wp:simplePos x="0" y="0"/>
                  <wp:positionH relativeFrom="column">
                    <wp:posOffset>0</wp:posOffset>
                  </wp:positionH>
                  <wp:positionV relativeFrom="paragraph">
                    <wp:posOffset>-29432</wp:posOffset>
                  </wp:positionV>
                  <wp:extent cx="604393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439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B4B9E5" id="Straight Connector 3"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3pt" to="475.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" strokecolor="#f39200 [3204]" strokeweight=".5pt">
                  <v:stroke joinstyle="miter"/>
                </v:line>
              </w:pict>
            </mc:Fallback>
          </mc:AlternateContent>
        </w:r>
        <w:r w:rsidRPr="00EA50A7">
          <w:rPr>
            <w:rFonts w:asciiTheme="minorHAnsi" w:hAnsiTheme="minorHAnsi" w:cstheme="minorHAnsi"/>
            <w:sz w:val="20"/>
            <w:szCs w:val="20"/>
          </w:rPr>
          <w:t xml:space="preserve">gmc-uk.org </w:t>
        </w:r>
        <w:r w:rsidRPr="00EA50A7">
          <w:rPr>
            <w:rFonts w:asciiTheme="minorHAnsi" w:hAnsiTheme="minorHAnsi" w:cstheme="minorHAnsi"/>
            <w:sz w:val="20"/>
            <w:szCs w:val="20"/>
          </w:rPr>
          <w:tab/>
        </w:r>
        <w:r w:rsidRPr="00EA50A7">
          <w:rPr>
            <w:rFonts w:asciiTheme="minorHAnsi" w:hAnsiTheme="minorHAnsi" w:cstheme="minorHAnsi"/>
            <w:sz w:val="20"/>
            <w:szCs w:val="20"/>
          </w:rPr>
          <w:tab/>
        </w:r>
        <w:r w:rsidRPr="00EA50A7">
          <w:rPr>
            <w:rFonts w:asciiTheme="minorHAnsi" w:hAnsiTheme="minorHAnsi" w:cstheme="minorHAnsi"/>
            <w:sz w:val="20"/>
            <w:szCs w:val="20"/>
          </w:rPr>
          <w:tab/>
        </w:r>
        <w:r w:rsidR="00445C56" w:rsidRPr="00EA50A7">
          <w:rPr>
            <w:rFonts w:asciiTheme="minorHAnsi" w:hAnsiTheme="minorHAnsi" w:cstheme="minorHAnsi"/>
            <w:sz w:val="20"/>
            <w:szCs w:val="20"/>
          </w:rPr>
          <w:ptab w:relativeTo="margin" w:alignment="right" w:leader="none"/>
        </w:r>
        <w:r w:rsidRPr="00EA50A7">
          <w:rPr>
            <w:rFonts w:asciiTheme="minorHAnsi" w:hAnsiTheme="minorHAnsi" w:cstheme="minorHAnsi"/>
            <w:sz w:val="20"/>
            <w:szCs w:val="20"/>
          </w:rPr>
          <w:fldChar w:fldCharType="begin"/>
        </w:r>
        <w:r w:rsidRPr="00EA50A7">
          <w:rPr>
            <w:rFonts w:asciiTheme="minorHAnsi" w:hAnsiTheme="minorHAnsi" w:cstheme="minorHAnsi"/>
            <w:sz w:val="20"/>
            <w:szCs w:val="20"/>
          </w:rPr>
          <w:instrText xml:space="preserve"> PAGE   \* MERGEFORMAT </w:instrText>
        </w:r>
        <w:r w:rsidRPr="00EA50A7">
          <w:rPr>
            <w:rFonts w:asciiTheme="minorHAnsi" w:hAnsiTheme="minorHAnsi" w:cstheme="minorHAnsi"/>
            <w:sz w:val="20"/>
            <w:szCs w:val="20"/>
          </w:rPr>
          <w:fldChar w:fldCharType="separate"/>
        </w:r>
        <w:r w:rsidRPr="00EA50A7">
          <w:rPr>
            <w:rFonts w:asciiTheme="minorHAnsi" w:hAnsiTheme="minorHAnsi" w:cstheme="minorHAnsi"/>
            <w:noProof/>
            <w:sz w:val="20"/>
            <w:szCs w:val="20"/>
          </w:rPr>
          <w:t>2</w:t>
        </w:r>
        <w:r w:rsidRPr="00EA50A7">
          <w:rPr>
            <w:rFonts w:asciiTheme="minorHAnsi" w:hAnsiTheme="minorHAnsi" w:cstheme="minorHAnsi"/>
            <w:noProof/>
            <w:sz w:val="20"/>
            <w:szCs w:val="20"/>
          </w:rPr>
          <w:fldChar w:fldCharType="end"/>
        </w:r>
      </w:p>
    </w:sdtContent>
  </w:sdt>
  <w:p w14:paraId="49175554" w14:textId="77777777" w:rsidR="003660C2" w:rsidRPr="009D52E4" w:rsidRDefault="003660C2" w:rsidP="003660C2">
    <w:pPr>
      <w:autoSpaceDE w:val="0"/>
      <w:autoSpaceDN w:val="0"/>
      <w:adjustRightInd w:val="0"/>
      <w:spacing w:after="0" w:line="240" w:lineRule="auto"/>
      <w:rPr>
        <w:rFonts w:asciiTheme="minorHAnsi" w:hAnsiTheme="minorHAnsi" w:cstheme="minorHAnsi"/>
        <w:color w:val="0F265D"/>
        <w:lang w:eastAsia="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206910417"/>
      <w:docPartObj>
        <w:docPartGallery w:val="Page Numbers (Bottom of Page)"/>
        <w:docPartUnique/>
      </w:docPartObj>
    </w:sdtPr>
    <w:sdtEndPr>
      <w:rPr>
        <w:noProof/>
      </w:rPr>
    </w:sdtEndPr>
    <w:sdtContent>
      <w:p w14:paraId="713BCC6C" w14:textId="77777777" w:rsidR="009E2CD2" w:rsidRPr="00EA50A7" w:rsidRDefault="009E2CD2" w:rsidP="00655B88">
        <w:pPr>
          <w:spacing w:after="0" w:line="276" w:lineRule="auto"/>
          <w:rPr>
            <w:rFonts w:asciiTheme="minorHAnsi" w:hAnsiTheme="minorHAnsi" w:cstheme="minorHAnsi"/>
            <w:sz w:val="20"/>
            <w:szCs w:val="20"/>
          </w:rPr>
        </w:pPr>
        <w:r w:rsidRPr="00EA50A7">
          <w:rPr>
            <w:rFonts w:asciiTheme="minorHAnsi" w:hAnsiTheme="minorHAnsi" w:cstheme="minorHAnsi"/>
            <w:noProof/>
            <w:color w:val="0F265D"/>
            <w:sz w:val="20"/>
            <w:szCs w:val="20"/>
            <w:lang w:eastAsia="en-GB"/>
          </w:rPr>
          <mc:AlternateContent>
            <mc:Choice Requires="wps">
              <w:drawing>
                <wp:anchor distT="0" distB="0" distL="114300" distR="114300" simplePos="0" relativeHeight="251675648" behindDoc="0" locked="0" layoutInCell="1" allowOverlap="1" wp14:anchorId="0DFC9D98" wp14:editId="2F3680B3">
                  <wp:simplePos x="0" y="0"/>
                  <wp:positionH relativeFrom="column">
                    <wp:posOffset>0</wp:posOffset>
                  </wp:positionH>
                  <wp:positionV relativeFrom="paragraph">
                    <wp:posOffset>-21158</wp:posOffset>
                  </wp:positionV>
                  <wp:extent cx="604393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439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ABD40B" id="Straight Connector 54" o:spid="_x0000_s1026" alt="&quot;&quot;"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65pt" to="475.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" strokecolor="#f39200 [3204]" strokeweight=".5pt">
                  <v:stroke joinstyle="miter"/>
                </v:line>
              </w:pict>
            </mc:Fallback>
          </mc:AlternateContent>
        </w:r>
        <w:r w:rsidRPr="00EA50A7">
          <w:rPr>
            <w:rFonts w:asciiTheme="minorHAnsi" w:hAnsiTheme="minorHAnsi" w:cstheme="minorHAnsi"/>
            <w:sz w:val="20"/>
            <w:szCs w:val="20"/>
          </w:rPr>
          <w:t xml:space="preserve">gmc-uk.org </w:t>
        </w:r>
        <w:r w:rsidRPr="00EA50A7">
          <w:rPr>
            <w:rFonts w:asciiTheme="minorHAnsi" w:hAnsiTheme="minorHAnsi" w:cstheme="minorHAnsi"/>
            <w:sz w:val="20"/>
            <w:szCs w:val="20"/>
          </w:rPr>
          <w:tab/>
        </w:r>
        <w:r w:rsidRPr="00EA50A7">
          <w:rPr>
            <w:rFonts w:asciiTheme="minorHAnsi" w:hAnsiTheme="minorHAnsi" w:cstheme="minorHAnsi"/>
            <w:sz w:val="20"/>
            <w:szCs w:val="20"/>
          </w:rPr>
          <w:tab/>
        </w:r>
        <w:r w:rsidRPr="00EA50A7">
          <w:rPr>
            <w:rFonts w:asciiTheme="minorHAnsi" w:hAnsiTheme="minorHAnsi" w:cstheme="minorHAnsi"/>
            <w:sz w:val="20"/>
            <w:szCs w:val="20"/>
          </w:rPr>
          <w:tab/>
        </w:r>
        <w:r w:rsidRPr="00EA50A7">
          <w:rPr>
            <w:rFonts w:asciiTheme="minorHAnsi" w:hAnsiTheme="minorHAnsi" w:cstheme="minorHAnsi"/>
            <w:sz w:val="20"/>
            <w:szCs w:val="20"/>
          </w:rPr>
          <w:ptab w:relativeTo="margin" w:alignment="right" w:leader="none"/>
        </w:r>
        <w:r w:rsidRPr="00EA50A7">
          <w:rPr>
            <w:rFonts w:asciiTheme="minorHAnsi" w:hAnsiTheme="minorHAnsi" w:cstheme="minorHAnsi"/>
            <w:sz w:val="20"/>
            <w:szCs w:val="20"/>
          </w:rPr>
          <w:fldChar w:fldCharType="begin"/>
        </w:r>
        <w:r w:rsidRPr="00EA50A7">
          <w:rPr>
            <w:rFonts w:asciiTheme="minorHAnsi" w:hAnsiTheme="minorHAnsi" w:cstheme="minorHAnsi"/>
            <w:sz w:val="20"/>
            <w:szCs w:val="20"/>
          </w:rPr>
          <w:instrText xml:space="preserve"> PAGE   \* MERGEFORMAT </w:instrText>
        </w:r>
        <w:r w:rsidRPr="00EA50A7">
          <w:rPr>
            <w:rFonts w:asciiTheme="minorHAnsi" w:hAnsiTheme="minorHAnsi" w:cstheme="minorHAnsi"/>
            <w:sz w:val="20"/>
            <w:szCs w:val="20"/>
          </w:rPr>
          <w:fldChar w:fldCharType="separate"/>
        </w:r>
        <w:r w:rsidRPr="00EA50A7">
          <w:rPr>
            <w:rFonts w:asciiTheme="minorHAnsi" w:hAnsiTheme="minorHAnsi" w:cstheme="minorHAnsi"/>
            <w:sz w:val="20"/>
            <w:szCs w:val="20"/>
          </w:rPr>
          <w:t>2</w:t>
        </w:r>
        <w:r w:rsidRPr="00EA50A7">
          <w:rPr>
            <w:rFonts w:asciiTheme="minorHAnsi" w:hAnsiTheme="minorHAnsi" w:cstheme="minorHAnsi"/>
            <w:noProof/>
            <w:sz w:val="20"/>
            <w:szCs w:val="20"/>
          </w:rPr>
          <w:fldChar w:fldCharType="end"/>
        </w:r>
      </w:p>
    </w:sdtContent>
  </w:sdt>
  <w:p w14:paraId="1E1E36D5" w14:textId="77777777" w:rsidR="002E7C56" w:rsidRPr="00EA50A7" w:rsidRDefault="002E7C56" w:rsidP="00E04959">
    <w:pPr>
      <w:spacing w:after="0"/>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C231F" w14:textId="77777777" w:rsidR="00D648DC" w:rsidRDefault="00D648DC">
      <w:pPr>
        <w:spacing w:after="0" w:line="240" w:lineRule="auto"/>
      </w:pPr>
      <w:r>
        <w:separator/>
      </w:r>
    </w:p>
  </w:footnote>
  <w:footnote w:type="continuationSeparator" w:id="0">
    <w:p w14:paraId="54B2066E" w14:textId="77777777" w:rsidR="00D648DC" w:rsidRDefault="00D64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402A" w14:textId="563EDD12" w:rsidR="004E22E0" w:rsidRPr="00E04959" w:rsidRDefault="004E22E0" w:rsidP="00655B88">
    <w:pPr>
      <w:spacing w:after="0" w:line="220" w:lineRule="exact"/>
      <w:rPr>
        <w:sz w:val="20"/>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AB638" w14:textId="77777777" w:rsidR="004E22E0" w:rsidRDefault="00737CE7">
    <w:pPr>
      <w:spacing w:line="80" w:lineRule="exact"/>
    </w:pPr>
    <w:r>
      <w:rPr>
        <w:noProof/>
        <w:lang w:eastAsia="en-GB"/>
      </w:rPr>
      <w:drawing>
        <wp:anchor distT="0" distB="0" distL="114300" distR="114300" simplePos="0" relativeHeight="251661312" behindDoc="0" locked="0" layoutInCell="1" allowOverlap="1" wp14:anchorId="31E00BB0" wp14:editId="7B2D254B">
          <wp:simplePos x="0" y="0"/>
          <wp:positionH relativeFrom="column">
            <wp:posOffset>5069115</wp:posOffset>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D06"/>
    <w:multiLevelType w:val="hybridMultilevel"/>
    <w:tmpl w:val="1AEC12CA"/>
    <w:lvl w:ilvl="0" w:tplc="0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7416698"/>
    <w:multiLevelType w:val="hybridMultilevel"/>
    <w:tmpl w:val="26004B5A"/>
    <w:lvl w:ilvl="0" w:tplc="FFFFFFFF">
      <w:start w:val="2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852FA"/>
    <w:multiLevelType w:val="hybridMultilevel"/>
    <w:tmpl w:val="BFC22C2A"/>
    <w:lvl w:ilvl="0" w:tplc="FFFFFFFF">
      <w:start w:val="28"/>
      <w:numFmt w:val="decimal"/>
      <w:lvlText w:val="%1."/>
      <w:lvlJc w:val="left"/>
      <w:pPr>
        <w:ind w:left="720" w:hanging="360"/>
      </w:pPr>
      <w:rPr>
        <w:rFonts w:hint="default"/>
      </w:rPr>
    </w:lvl>
    <w:lvl w:ilvl="1" w:tplc="FFFFFFFF">
      <w:start w:val="1"/>
      <w:numFmt w:val="bullet"/>
      <w:lvlText w:val=""/>
      <w:lvlJc w:val="left"/>
      <w:pPr>
        <w:ind w:left="720" w:hanging="360"/>
      </w:pPr>
      <w:rPr>
        <w:rFonts w:ascii="Wingdings" w:hAnsi="Wingdings" w:hint="default"/>
        <w:color w:val="F39200"/>
        <w:sz w:val="2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B73450"/>
    <w:multiLevelType w:val="hybridMultilevel"/>
    <w:tmpl w:val="73866E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5D5F17"/>
    <w:multiLevelType w:val="hybridMultilevel"/>
    <w:tmpl w:val="8A4AA41C"/>
    <w:lvl w:ilvl="0" w:tplc="29CA7B0A">
      <w:start w:val="1"/>
      <w:numFmt w:val="bullet"/>
      <w:lvlText w:val=""/>
      <w:lvlJc w:val="left"/>
      <w:pPr>
        <w:ind w:left="1080" w:hanging="360"/>
      </w:pPr>
      <w:rPr>
        <w:rFonts w:ascii="Wingdings" w:hAnsi="Wingdings" w:hint="default"/>
        <w:color w:val="F39200"/>
        <w:sz w:val="20"/>
      </w:rPr>
    </w:lvl>
    <w:lvl w:ilvl="1" w:tplc="FFFFFFFF">
      <w:start w:val="1"/>
      <w:numFmt w:val="bullet"/>
      <w:lvlText w:val=""/>
      <w:lvlJc w:val="left"/>
      <w:pPr>
        <w:ind w:left="1800" w:hanging="360"/>
      </w:pPr>
      <w:rPr>
        <w:rFonts w:ascii="Wingdings" w:hAnsi="Wingdings" w:hint="default"/>
        <w:color w:val="F39200"/>
        <w:sz w:val="20"/>
      </w:rPr>
    </w:lvl>
    <w:lvl w:ilvl="2" w:tplc="FFFFFFFF">
      <w:start w:val="1"/>
      <w:numFmt w:val="lowerLetter"/>
      <w:lvlText w:val="(%3)"/>
      <w:lvlJc w:val="left"/>
      <w:pPr>
        <w:ind w:left="2700" w:hanging="360"/>
      </w:pPr>
      <w:rPr>
        <w:rFonts w:hint="default"/>
      </w:rPr>
    </w:lvl>
    <w:lvl w:ilvl="3" w:tplc="FFFFFFFF">
      <w:start w:val="1"/>
      <w:numFmt w:val="lowerLetter"/>
      <w:lvlText w:val="%4."/>
      <w:lvlJc w:val="left"/>
      <w:pPr>
        <w:ind w:left="3600" w:hanging="720"/>
      </w:pPr>
      <w:rPr>
        <w:rFonts w:hint="default"/>
      </w:rPr>
    </w:lvl>
    <w:lvl w:ilvl="4" w:tplc="FFFFFFFF">
      <w:start w:val="4"/>
      <w:numFmt w:val="bullet"/>
      <w:lvlText w:val="-"/>
      <w:lvlJc w:val="left"/>
      <w:pPr>
        <w:ind w:left="5952" w:hanging="2352"/>
      </w:pPr>
      <w:rPr>
        <w:rFonts w:ascii="Calibri" w:eastAsia="Times New Roman" w:hAnsi="Calibri" w:cs="Calibri"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1867ED"/>
    <w:multiLevelType w:val="hybridMultilevel"/>
    <w:tmpl w:val="5E266590"/>
    <w:lvl w:ilvl="0" w:tplc="3594C104">
      <w:start w:val="33"/>
      <w:numFmt w:val="decimal"/>
      <w:lvlText w:val="%1."/>
      <w:lvlJc w:val="left"/>
      <w:pPr>
        <w:ind w:left="43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061305"/>
    <w:multiLevelType w:val="hybridMultilevel"/>
    <w:tmpl w:val="16507A40"/>
    <w:lvl w:ilvl="0" w:tplc="0809000F">
      <w:start w:val="1"/>
      <w:numFmt w:val="decimal"/>
      <w:lvlText w:val="%1."/>
      <w:lvlJc w:val="left"/>
      <w:pPr>
        <w:ind w:left="1440" w:hanging="360"/>
      </w:pPr>
      <w:rPr>
        <w:rFonts w:hint="default"/>
        <w:b/>
        <w:bCs/>
      </w:rPr>
    </w:lvl>
    <w:lvl w:ilvl="1" w:tplc="8A36BCB2">
      <w:start w:val="1"/>
      <w:numFmt w:val="lowerLetter"/>
      <w:pStyle w:val="BulletLetterLower"/>
      <w:lvlText w:val="%2"/>
      <w:lvlJc w:val="left"/>
      <w:pPr>
        <w:ind w:left="2160" w:hanging="360"/>
      </w:pPr>
      <w:rPr>
        <w:rFonts w:hint="default"/>
        <w:b/>
        <w:i w:val="0"/>
      </w:rPr>
    </w:lvl>
    <w:lvl w:ilvl="2" w:tplc="F2E272AA">
      <w:start w:val="1"/>
      <w:numFmt w:val="lowerLetter"/>
      <w:pStyle w:val="BulletLetterLowerIndent"/>
      <w:lvlText w:val="%3"/>
      <w:lvlJc w:val="left"/>
      <w:pPr>
        <w:ind w:left="2880" w:hanging="180"/>
      </w:pPr>
      <w:rPr>
        <w:rFonts w:hint="default"/>
        <w:b/>
        <w:i w:val="0"/>
      </w:r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304422B"/>
    <w:multiLevelType w:val="hybridMultilevel"/>
    <w:tmpl w:val="B2B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C33BCA"/>
    <w:multiLevelType w:val="hybridMultilevel"/>
    <w:tmpl w:val="FF12E8A0"/>
    <w:lvl w:ilvl="0" w:tplc="08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252D5"/>
    <w:multiLevelType w:val="hybridMultilevel"/>
    <w:tmpl w:val="F552ECDC"/>
    <w:lvl w:ilvl="0" w:tplc="6C345E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273F58"/>
    <w:multiLevelType w:val="hybridMultilevel"/>
    <w:tmpl w:val="21EEF4D4"/>
    <w:lvl w:ilvl="0" w:tplc="0450BCD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E64CDE"/>
    <w:multiLevelType w:val="hybridMultilevel"/>
    <w:tmpl w:val="B46E4D8A"/>
    <w:lvl w:ilvl="0" w:tplc="B1FA6B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A025AC7"/>
    <w:multiLevelType w:val="hybridMultilevel"/>
    <w:tmpl w:val="75D011A8"/>
    <w:lvl w:ilvl="0" w:tplc="A34044FA">
      <w:start w:val="1"/>
      <w:numFmt w:val="bullet"/>
      <w:lvlText w:val=""/>
      <w:lvlJc w:val="left"/>
      <w:pPr>
        <w:ind w:left="1800" w:hanging="360"/>
      </w:pPr>
      <w:rPr>
        <w:rFonts w:ascii="Wingdings" w:hAnsi="Wingdings" w:hint="default"/>
        <w:color w:val="F39200"/>
        <w:sz w:val="2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2FFF1154"/>
    <w:multiLevelType w:val="hybridMultilevel"/>
    <w:tmpl w:val="9014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8E6AC8"/>
    <w:multiLevelType w:val="hybridMultilevel"/>
    <w:tmpl w:val="020A8136"/>
    <w:lvl w:ilvl="0" w:tplc="62442BE6">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A91C1D"/>
    <w:multiLevelType w:val="hybridMultilevel"/>
    <w:tmpl w:val="B70E21C2"/>
    <w:lvl w:ilvl="0" w:tplc="FFFFFFFF">
      <w:start w:val="1"/>
      <w:numFmt w:val="bullet"/>
      <w:lvlText w:val=""/>
      <w:lvlJc w:val="left"/>
      <w:pPr>
        <w:ind w:left="720" w:hanging="360"/>
      </w:pPr>
      <w:rPr>
        <w:rFonts w:ascii="Wingdings" w:hAnsi="Wingdings" w:hint="default"/>
        <w:color w:val="F39200"/>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color w:val="F39200"/>
        <w:sz w:val="20"/>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8A72A41"/>
    <w:multiLevelType w:val="hybridMultilevel"/>
    <w:tmpl w:val="E5081F0C"/>
    <w:lvl w:ilvl="0" w:tplc="0809000F">
      <w:start w:val="1"/>
      <w:numFmt w:val="decimal"/>
      <w:lvlText w:val="%1."/>
      <w:lvlJc w:val="left"/>
      <w:pPr>
        <w:ind w:left="360" w:hanging="360"/>
      </w:pPr>
      <w:rPr>
        <w:b w:val="0"/>
        <w:bCs w:val="0"/>
      </w:r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C3C1474"/>
    <w:multiLevelType w:val="hybridMultilevel"/>
    <w:tmpl w:val="DD966360"/>
    <w:lvl w:ilvl="0" w:tplc="0C2EC198">
      <w:start w:val="1"/>
      <w:numFmt w:val="lowerRoman"/>
      <w:pStyle w:val="BulletLetterRoman"/>
      <w:lvlText w:val="%1"/>
      <w:lvlJc w:val="left"/>
      <w:pPr>
        <w:ind w:left="720" w:hanging="360"/>
      </w:pPr>
      <w:rPr>
        <w:rFonts w:hint="default"/>
        <w:b/>
        <w:bCs/>
      </w:rPr>
    </w:lvl>
    <w:lvl w:ilvl="1" w:tplc="EEB65C18">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8456D1"/>
    <w:multiLevelType w:val="hybridMultilevel"/>
    <w:tmpl w:val="95904870"/>
    <w:lvl w:ilvl="0" w:tplc="D382DE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407BE"/>
    <w:multiLevelType w:val="hybridMultilevel"/>
    <w:tmpl w:val="6F42B978"/>
    <w:lvl w:ilvl="0" w:tplc="B1FA6B4C">
      <w:start w:val="1"/>
      <w:numFmt w:val="decimal"/>
      <w:lvlText w:val="%1."/>
      <w:lvlJc w:val="left"/>
      <w:pPr>
        <w:ind w:left="720" w:hanging="360"/>
      </w:pPr>
      <w:rPr>
        <w:rFonts w:hint="default"/>
      </w:rPr>
    </w:lvl>
    <w:lvl w:ilvl="1" w:tplc="A34044FA">
      <w:start w:val="1"/>
      <w:numFmt w:val="bullet"/>
      <w:lvlText w:val=""/>
      <w:lvlJc w:val="left"/>
      <w:pPr>
        <w:ind w:left="1440" w:hanging="360"/>
      </w:pPr>
      <w:rPr>
        <w:rFonts w:ascii="Wingdings" w:hAnsi="Wingdings" w:hint="default"/>
        <w:color w:val="F39200"/>
        <w:sz w:val="20"/>
      </w:rPr>
    </w:lvl>
    <w:lvl w:ilvl="2" w:tplc="D0C48266">
      <w:start w:val="1"/>
      <w:numFmt w:val="lowerLetter"/>
      <w:lvlText w:val="(%3)"/>
      <w:lvlJc w:val="left"/>
      <w:pPr>
        <w:ind w:left="2340" w:hanging="360"/>
      </w:pPr>
      <w:rPr>
        <w:rFonts w:hint="default"/>
      </w:rPr>
    </w:lvl>
    <w:lvl w:ilvl="3" w:tplc="62303C3A">
      <w:start w:val="1"/>
      <w:numFmt w:val="lowerLetter"/>
      <w:lvlText w:val="%4."/>
      <w:lvlJc w:val="left"/>
      <w:pPr>
        <w:ind w:left="3240" w:hanging="720"/>
      </w:pPr>
      <w:rPr>
        <w:rFonts w:hint="default"/>
      </w:rPr>
    </w:lvl>
    <w:lvl w:ilvl="4" w:tplc="B1EEA6EE">
      <w:start w:val="4"/>
      <w:numFmt w:val="bullet"/>
      <w:lvlText w:val="-"/>
      <w:lvlJc w:val="left"/>
      <w:pPr>
        <w:ind w:left="5592" w:hanging="2352"/>
      </w:pPr>
      <w:rPr>
        <w:rFonts w:ascii="Calibri" w:eastAsia="Times New Roman" w:hAnsi="Calibri" w:cs="Calibri" w:hint="default"/>
      </w:rPr>
    </w:lvl>
    <w:lvl w:ilvl="5" w:tplc="196C84E0">
      <w:numFmt w:val="bullet"/>
      <w:lvlText w:val="•"/>
      <w:lvlJc w:val="left"/>
      <w:pPr>
        <w:ind w:left="4860" w:hanging="720"/>
      </w:pPr>
      <w:rPr>
        <w:rFonts w:ascii="Calibri" w:eastAsiaTheme="minorHAnsi" w:hAnsi="Calibri" w:cs="Calibri"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7F582C"/>
    <w:multiLevelType w:val="multilevel"/>
    <w:tmpl w:val="A3988FFA"/>
    <w:lvl w:ilvl="0">
      <w:start w:val="6"/>
      <w:numFmt w:val="decimal"/>
      <w:pStyle w:val="GMCNumbertext"/>
      <w:lvlText w:val="%1"/>
      <w:lvlJc w:val="left"/>
      <w:pPr>
        <w:tabs>
          <w:tab w:val="num" w:pos="510"/>
        </w:tabs>
        <w:ind w:left="510" w:hanging="510"/>
      </w:pPr>
      <w:rPr>
        <w:rFonts w:ascii="Tahoma" w:hAnsi="Tahoma" w:hint="default"/>
        <w:b/>
        <w:i w:val="0"/>
        <w:sz w:val="24"/>
      </w:rPr>
    </w:lvl>
    <w:lvl w:ilvl="1">
      <w:start w:val="1"/>
      <w:numFmt w:val="bullet"/>
      <w:lvlText w:val=""/>
      <w:lvlJc w:val="left"/>
      <w:pPr>
        <w:ind w:left="720" w:hanging="360"/>
      </w:pPr>
      <w:rPr>
        <w:rFonts w:ascii="Wingdings" w:hAnsi="Wingdings" w:hint="default"/>
        <w:color w:val="F39200"/>
        <w:sz w:val="20"/>
      </w:rPr>
    </w:lvl>
    <w:lvl w:ilvl="2">
      <w:start w:val="1"/>
      <w:numFmt w:val="decimal"/>
      <w:lvlText w:val="%1.%2.%3"/>
      <w:lvlJc w:val="left"/>
      <w:pPr>
        <w:tabs>
          <w:tab w:val="num" w:pos="1440"/>
        </w:tabs>
        <w:ind w:left="1224" w:hanging="504"/>
      </w:pPr>
      <w:rPr>
        <w:rFonts w:ascii="Tahoma" w:hAnsi="Tahoma" w:hint="default"/>
        <w:b/>
        <w:i w:val="0"/>
        <w:sz w:val="24"/>
      </w:rPr>
    </w:lvl>
    <w:lvl w:ilvl="3">
      <w:start w:val="1"/>
      <w:numFmt w:val="decimal"/>
      <w:lvlText w:val="%1.%2.%3.%4"/>
      <w:lvlJc w:val="left"/>
      <w:pPr>
        <w:tabs>
          <w:tab w:val="num" w:pos="2520"/>
        </w:tabs>
        <w:ind w:left="1728" w:hanging="648"/>
      </w:pPr>
      <w:rPr>
        <w:rFonts w:ascii="Tahoma" w:hAnsi="Tahoma" w:hint="default"/>
        <w:b/>
        <w:i w:val="0"/>
        <w:sz w:val="24"/>
      </w:rPr>
    </w:lvl>
    <w:lvl w:ilvl="4">
      <w:start w:val="1"/>
      <w:numFmt w:val="decimal"/>
      <w:lvlText w:val="%1.%2.%3.%4.%5"/>
      <w:lvlJc w:val="left"/>
      <w:pPr>
        <w:tabs>
          <w:tab w:val="num" w:pos="3240"/>
        </w:tabs>
        <w:ind w:left="2232" w:hanging="792"/>
      </w:pPr>
      <w:rPr>
        <w:rFonts w:ascii="Tahoma" w:hAnsi="Tahoma" w:hint="default"/>
        <w:b/>
        <w:i w:val="0"/>
        <w:sz w:val="24"/>
      </w:rPr>
    </w:lvl>
    <w:lvl w:ilvl="5">
      <w:start w:val="1"/>
      <w:numFmt w:val="decimal"/>
      <w:lvlText w:val="%1.%2.%3.%4.%5.%6"/>
      <w:lvlJc w:val="left"/>
      <w:pPr>
        <w:tabs>
          <w:tab w:val="num" w:pos="3960"/>
        </w:tabs>
        <w:ind w:left="2736" w:hanging="936"/>
      </w:pPr>
      <w:rPr>
        <w:rFonts w:ascii="Tahoma" w:hAnsi="Tahoma" w:hint="default"/>
        <w:b/>
        <w:i w:val="0"/>
        <w:sz w:val="24"/>
      </w:rPr>
    </w:lvl>
    <w:lvl w:ilvl="6">
      <w:start w:val="1"/>
      <w:numFmt w:val="decimal"/>
      <w:lvlText w:val="%1.%2.%3.%4.%5.%6.%7"/>
      <w:lvlJc w:val="left"/>
      <w:pPr>
        <w:tabs>
          <w:tab w:val="num" w:pos="4680"/>
        </w:tabs>
        <w:ind w:left="3240" w:hanging="1080"/>
      </w:pPr>
      <w:rPr>
        <w:rFonts w:ascii="Tahoma" w:hAnsi="Tahoma" w:hint="default"/>
        <w:b/>
        <w:i w:val="0"/>
        <w:sz w:val="24"/>
      </w:rPr>
    </w:lvl>
    <w:lvl w:ilvl="7">
      <w:start w:val="1"/>
      <w:numFmt w:val="decimal"/>
      <w:lvlText w:val="%1.%2.%3.%4.%5.%6.%7.%8"/>
      <w:lvlJc w:val="left"/>
      <w:pPr>
        <w:tabs>
          <w:tab w:val="num" w:pos="5400"/>
        </w:tabs>
        <w:ind w:left="3744" w:hanging="1224"/>
      </w:pPr>
      <w:rPr>
        <w:rFonts w:ascii="Tahoma" w:hAnsi="Tahoma" w:hint="default"/>
        <w:b/>
        <w:i w:val="0"/>
        <w:sz w:val="24"/>
      </w:rPr>
    </w:lvl>
    <w:lvl w:ilvl="8">
      <w:start w:val="1"/>
      <w:numFmt w:val="decimal"/>
      <w:lvlText w:val="%1.%2.%3.%4.%5.%6.%7.%8.%9"/>
      <w:lvlJc w:val="left"/>
      <w:pPr>
        <w:tabs>
          <w:tab w:val="num" w:pos="6120"/>
        </w:tabs>
        <w:ind w:left="4320" w:hanging="1440"/>
      </w:pPr>
      <w:rPr>
        <w:rFonts w:ascii="Tahoma" w:hAnsi="Tahoma" w:hint="default"/>
        <w:b/>
        <w:i w:val="0"/>
        <w:sz w:val="24"/>
      </w:rPr>
    </w:lvl>
  </w:abstractNum>
  <w:abstractNum w:abstractNumId="21" w15:restartNumberingAfterBreak="0">
    <w:nsid w:val="4F0F32F9"/>
    <w:multiLevelType w:val="multilevel"/>
    <w:tmpl w:val="44166C74"/>
    <w:lvl w:ilvl="0">
      <w:start w:val="1"/>
      <w:numFmt w:val="bullet"/>
      <w:pStyle w:val="ListBullet"/>
      <w:lvlText w:val=""/>
      <w:lvlJc w:val="left"/>
      <w:pPr>
        <w:ind w:left="851" w:hanging="341"/>
      </w:pPr>
      <w:rPr>
        <w:rFonts w:ascii="Wingdings" w:hAnsi="Wingdings" w:hint="default"/>
        <w:b/>
        <w:i w:val="0"/>
        <w:color w:val="30A5BE"/>
        <w:sz w:val="18"/>
      </w:rPr>
    </w:lvl>
    <w:lvl w:ilvl="1">
      <w:start w:val="1"/>
      <w:numFmt w:val="bullet"/>
      <w:pStyle w:val="ListBullet2"/>
      <w:lvlText w:val=""/>
      <w:lvlJc w:val="left"/>
      <w:pPr>
        <w:ind w:left="1304" w:hanging="453"/>
      </w:pPr>
      <w:rPr>
        <w:rFonts w:ascii="Wingdings" w:hAnsi="Wingdings" w:hint="default"/>
        <w:b/>
        <w:i w:val="0"/>
        <w:color w:val="00377B"/>
        <w:sz w:val="18"/>
      </w:rPr>
    </w:lvl>
    <w:lvl w:ilvl="2">
      <w:start w:val="1"/>
      <w:numFmt w:val="bullet"/>
      <w:pStyle w:val="ListBullet3"/>
      <w:lvlText w:val=""/>
      <w:lvlJc w:val="left"/>
      <w:pPr>
        <w:ind w:left="1985" w:hanging="681"/>
      </w:pPr>
      <w:rPr>
        <w:rFonts w:ascii="Wingdings" w:hAnsi="Wingdings" w:hint="default"/>
        <w:b/>
        <w:i w:val="0"/>
        <w:color w:val="00377B"/>
        <w:sz w:val="18"/>
      </w:rPr>
    </w:lvl>
    <w:lvl w:ilvl="3">
      <w:start w:val="1"/>
      <w:numFmt w:val="bullet"/>
      <w:pStyle w:val="ListBullet4"/>
      <w:lvlText w:val=""/>
      <w:lvlJc w:val="left"/>
      <w:pPr>
        <w:ind w:left="2552" w:hanging="567"/>
      </w:pPr>
      <w:rPr>
        <w:rFonts w:ascii="Wingdings" w:hAnsi="Wingdings" w:hint="default"/>
        <w:b/>
        <w:i w:val="0"/>
        <w:color w:val="00377B"/>
        <w:sz w:val="18"/>
      </w:rPr>
    </w:lvl>
    <w:lvl w:ilvl="4">
      <w:start w:val="1"/>
      <w:numFmt w:val="bullet"/>
      <w:pStyle w:val="ListBullet5"/>
      <w:lvlText w:val=""/>
      <w:lvlJc w:val="left"/>
      <w:pPr>
        <w:ind w:left="3119" w:hanging="567"/>
      </w:pPr>
      <w:rPr>
        <w:rFonts w:ascii="Wingdings" w:hAnsi="Wingdings" w:hint="default"/>
        <w:b/>
        <w:i w:val="0"/>
        <w:color w:val="00377B"/>
        <w:sz w:val="18"/>
      </w:rPr>
    </w:lvl>
    <w:lvl w:ilvl="5">
      <w:start w:val="1"/>
      <w:numFmt w:val="none"/>
      <w:lvlText w:val="%1.%2.%3.%4.%5.%6."/>
      <w:lvlJc w:val="left"/>
      <w:pPr>
        <w:tabs>
          <w:tab w:val="num" w:pos="5895"/>
        </w:tabs>
        <w:ind w:left="5895" w:hanging="510"/>
      </w:pPr>
      <w:rPr>
        <w:rFonts w:hint="default"/>
      </w:rPr>
    </w:lvl>
    <w:lvl w:ilvl="6">
      <w:start w:val="1"/>
      <w:numFmt w:val="none"/>
      <w:lvlText w:val="%1.%2.%3.%4.%5.%6.%7."/>
      <w:lvlJc w:val="left"/>
      <w:pPr>
        <w:tabs>
          <w:tab w:val="num" w:pos="6972"/>
        </w:tabs>
        <w:ind w:left="6972" w:hanging="510"/>
      </w:pPr>
      <w:rPr>
        <w:rFonts w:hint="default"/>
      </w:rPr>
    </w:lvl>
    <w:lvl w:ilvl="7">
      <w:start w:val="1"/>
      <w:numFmt w:val="none"/>
      <w:lvlText w:val="%1.%2.%3.%4.%5.%6.%7.%8."/>
      <w:lvlJc w:val="left"/>
      <w:pPr>
        <w:tabs>
          <w:tab w:val="num" w:pos="8049"/>
        </w:tabs>
        <w:ind w:left="8049" w:hanging="510"/>
      </w:pPr>
      <w:rPr>
        <w:rFonts w:hint="default"/>
      </w:rPr>
    </w:lvl>
    <w:lvl w:ilvl="8">
      <w:start w:val="1"/>
      <w:numFmt w:val="none"/>
      <w:lvlText w:val="%1.%2.%3.%4.%5.%6.%7.%8.%9."/>
      <w:lvlJc w:val="left"/>
      <w:pPr>
        <w:tabs>
          <w:tab w:val="num" w:pos="9126"/>
        </w:tabs>
        <w:ind w:left="9126" w:hanging="510"/>
      </w:pPr>
      <w:rPr>
        <w:rFonts w:hint="default"/>
      </w:rPr>
    </w:lvl>
  </w:abstractNum>
  <w:abstractNum w:abstractNumId="22" w15:restartNumberingAfterBreak="0">
    <w:nsid w:val="52BA6DDE"/>
    <w:multiLevelType w:val="hybridMultilevel"/>
    <w:tmpl w:val="3D4AA5A0"/>
    <w:lvl w:ilvl="0" w:tplc="29CA7B0A">
      <w:start w:val="1"/>
      <w:numFmt w:val="bullet"/>
      <w:lvlText w:val=""/>
      <w:lvlJc w:val="left"/>
      <w:pPr>
        <w:ind w:left="1080" w:hanging="360"/>
      </w:pPr>
      <w:rPr>
        <w:rFonts w:ascii="Wingdings" w:hAnsi="Wingdings" w:hint="default"/>
        <w:color w:val="F39200"/>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295B5D"/>
    <w:multiLevelType w:val="multilevel"/>
    <w:tmpl w:val="3F10A84A"/>
    <w:lvl w:ilvl="0">
      <w:start w:val="1"/>
      <w:numFmt w:val="decimal"/>
      <w:lvlText w:val="%1"/>
      <w:lvlJc w:val="left"/>
      <w:pPr>
        <w:tabs>
          <w:tab w:val="num" w:pos="510"/>
        </w:tabs>
        <w:ind w:left="510" w:hanging="510"/>
      </w:pPr>
      <w:rPr>
        <w:rFonts w:ascii="Tahoma" w:hAnsi="Tahoma" w:hint="default"/>
        <w:b/>
        <w:i w:val="0"/>
        <w:sz w:val="24"/>
      </w:rPr>
    </w:lvl>
    <w:lvl w:ilvl="1">
      <w:start w:val="1"/>
      <w:numFmt w:val="lowerLetter"/>
      <w:pStyle w:val="ListNumber2"/>
      <w:lvlText w:val="%2"/>
      <w:lvlJc w:val="left"/>
      <w:pPr>
        <w:tabs>
          <w:tab w:val="num" w:pos="850"/>
        </w:tabs>
        <w:ind w:left="850" w:hanging="340"/>
      </w:pPr>
      <w:rPr>
        <w:rFonts w:ascii="Tahoma" w:hAnsi="Tahoma" w:hint="default"/>
        <w:b/>
        <w:i w:val="0"/>
        <w:color w:val="009DC2"/>
        <w:sz w:val="24"/>
      </w:rPr>
    </w:lvl>
    <w:lvl w:ilvl="2">
      <w:start w:val="1"/>
      <w:numFmt w:val="lowerRoman"/>
      <w:pStyle w:val="ListNumber3"/>
      <w:lvlText w:val="%3"/>
      <w:lvlJc w:val="left"/>
      <w:pPr>
        <w:tabs>
          <w:tab w:val="num" w:pos="1304"/>
        </w:tabs>
        <w:ind w:left="1304" w:hanging="454"/>
      </w:pPr>
      <w:rPr>
        <w:rFonts w:ascii="Tahoma" w:hAnsi="Tahoma" w:hint="default"/>
        <w:b/>
        <w:i w:val="0"/>
        <w:sz w:val="24"/>
      </w:rPr>
    </w:lvl>
    <w:lvl w:ilvl="3">
      <w:start w:val="1"/>
      <w:numFmt w:val="decimal"/>
      <w:lvlText w:val="%4."/>
      <w:lvlJc w:val="left"/>
      <w:pPr>
        <w:tabs>
          <w:tab w:val="num" w:pos="1721"/>
        </w:tabs>
        <w:ind w:left="1361" w:firstLine="0"/>
      </w:pPr>
      <w:rPr>
        <w:rFonts w:hint="default"/>
      </w:rPr>
    </w:lvl>
    <w:lvl w:ilvl="4">
      <w:start w:val="1"/>
      <w:numFmt w:val="lowerLetter"/>
      <w:lvlText w:val="%5."/>
      <w:lvlJc w:val="left"/>
      <w:pPr>
        <w:tabs>
          <w:tab w:val="num" w:pos="1721"/>
        </w:tabs>
        <w:ind w:left="1361" w:firstLine="0"/>
      </w:pPr>
      <w:rPr>
        <w:rFonts w:hint="default"/>
      </w:rPr>
    </w:lvl>
    <w:lvl w:ilvl="5">
      <w:start w:val="1"/>
      <w:numFmt w:val="lowerRoman"/>
      <w:lvlText w:val="%6."/>
      <w:lvlJc w:val="left"/>
      <w:pPr>
        <w:tabs>
          <w:tab w:val="num" w:pos="2081"/>
        </w:tabs>
        <w:ind w:left="1361" w:firstLine="0"/>
      </w:pPr>
      <w:rPr>
        <w:rFonts w:hint="default"/>
      </w:rPr>
    </w:lvl>
    <w:lvl w:ilvl="6">
      <w:start w:val="1"/>
      <w:numFmt w:val="decimal"/>
      <w:lvlText w:val="%7."/>
      <w:lvlJc w:val="left"/>
      <w:pPr>
        <w:tabs>
          <w:tab w:val="num" w:pos="1721"/>
        </w:tabs>
        <w:ind w:left="1361" w:firstLine="0"/>
      </w:pPr>
      <w:rPr>
        <w:rFonts w:hint="default"/>
      </w:rPr>
    </w:lvl>
    <w:lvl w:ilvl="7">
      <w:start w:val="1"/>
      <w:numFmt w:val="lowerLetter"/>
      <w:lvlText w:val="%8."/>
      <w:lvlJc w:val="left"/>
      <w:pPr>
        <w:tabs>
          <w:tab w:val="num" w:pos="1721"/>
        </w:tabs>
        <w:ind w:left="1361" w:firstLine="0"/>
      </w:pPr>
      <w:rPr>
        <w:rFonts w:hint="default"/>
      </w:rPr>
    </w:lvl>
    <w:lvl w:ilvl="8">
      <w:start w:val="1"/>
      <w:numFmt w:val="lowerRoman"/>
      <w:lvlText w:val="%9."/>
      <w:lvlJc w:val="left"/>
      <w:pPr>
        <w:tabs>
          <w:tab w:val="num" w:pos="2081"/>
        </w:tabs>
        <w:ind w:left="1361" w:firstLine="0"/>
      </w:pPr>
      <w:rPr>
        <w:rFonts w:hint="default"/>
      </w:rPr>
    </w:lvl>
  </w:abstractNum>
  <w:abstractNum w:abstractNumId="24" w15:restartNumberingAfterBreak="0">
    <w:nsid w:val="56F52BB1"/>
    <w:multiLevelType w:val="hybridMultilevel"/>
    <w:tmpl w:val="06FC4500"/>
    <w:lvl w:ilvl="0" w:tplc="8982DF28">
      <w:start w:val="1"/>
      <w:numFmt w:val="decimal"/>
      <w:lvlText w:val="%1."/>
      <w:lvlJc w:val="left"/>
      <w:pPr>
        <w:ind w:left="360" w:hanging="360"/>
      </w:pPr>
      <w:rPr>
        <w:b w:val="0"/>
        <w:bCs w:val="0"/>
        <w:i w:val="0"/>
        <w:i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4F54C95"/>
    <w:multiLevelType w:val="hybridMultilevel"/>
    <w:tmpl w:val="BFC22C2A"/>
    <w:lvl w:ilvl="0" w:tplc="B22A7C74">
      <w:start w:val="28"/>
      <w:numFmt w:val="decimal"/>
      <w:lvlText w:val="%1."/>
      <w:lvlJc w:val="left"/>
      <w:pPr>
        <w:ind w:left="720" w:hanging="360"/>
      </w:pPr>
      <w:rPr>
        <w:rFonts w:hint="default"/>
      </w:rPr>
    </w:lvl>
    <w:lvl w:ilvl="1" w:tplc="29CA7B0A">
      <w:start w:val="1"/>
      <w:numFmt w:val="bullet"/>
      <w:lvlText w:val=""/>
      <w:lvlJc w:val="left"/>
      <w:pPr>
        <w:ind w:left="720" w:hanging="360"/>
      </w:pPr>
      <w:rPr>
        <w:rFonts w:ascii="Wingdings" w:hAnsi="Wingdings" w:hint="default"/>
        <w:color w:val="F39200"/>
        <w:sz w:val="2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10DBA"/>
    <w:multiLevelType w:val="hybridMultilevel"/>
    <w:tmpl w:val="7CC6203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6AC142C"/>
    <w:multiLevelType w:val="hybridMultilevel"/>
    <w:tmpl w:val="16BC9718"/>
    <w:lvl w:ilvl="0" w:tplc="08090019">
      <w:start w:val="1"/>
      <w:numFmt w:val="lowerLetter"/>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7270310"/>
    <w:multiLevelType w:val="hybridMultilevel"/>
    <w:tmpl w:val="841A3A8C"/>
    <w:lvl w:ilvl="0" w:tplc="848084EA">
      <w:start w:val="1"/>
      <w:numFmt w:val="bullet"/>
      <w:pStyle w:val="BulletPointList"/>
      <w:lvlText w:val=""/>
      <w:lvlJc w:val="left"/>
      <w:pPr>
        <w:ind w:left="720" w:hanging="360"/>
      </w:pPr>
      <w:rPr>
        <w:rFonts w:ascii="Wingdings" w:hAnsi="Wingdings" w:hint="default"/>
        <w:color w:val="F39200"/>
        <w:sz w:val="20"/>
      </w:rPr>
    </w:lvl>
    <w:lvl w:ilvl="1" w:tplc="3836FE54">
      <w:start w:val="1"/>
      <w:numFmt w:val="bullet"/>
      <w:pStyle w:val="BulletPointListIndent"/>
      <w:lvlText w:val=""/>
      <w:lvlJc w:val="left"/>
      <w:pPr>
        <w:ind w:left="1440" w:hanging="360"/>
      </w:pPr>
      <w:rPr>
        <w:rFonts w:ascii="Wingdings" w:hAnsi="Wingdings" w:hint="default"/>
        <w:color w:val="F39200"/>
        <w:sz w:val="20"/>
      </w:rPr>
    </w:lvl>
    <w:lvl w:ilvl="2" w:tplc="34BED54A">
      <w:start w:val="1"/>
      <w:numFmt w:val="bullet"/>
      <w:pStyle w:val="BulletPointListIndent3"/>
      <w:lvlText w:val=""/>
      <w:lvlJc w:val="left"/>
      <w:pPr>
        <w:ind w:left="2160" w:hanging="360"/>
      </w:pPr>
      <w:rPr>
        <w:rFonts w:ascii="Wingdings" w:hAnsi="Wingdings" w:hint="default"/>
        <w:color w:val="F39200"/>
        <w:sz w:val="20"/>
      </w:rPr>
    </w:lvl>
    <w:lvl w:ilvl="3" w:tplc="99D8955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E10C60"/>
    <w:multiLevelType w:val="hybridMultilevel"/>
    <w:tmpl w:val="40EADC80"/>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color w:val="F39200"/>
        <w:sz w:val="20"/>
      </w:rPr>
    </w:lvl>
    <w:lvl w:ilvl="2" w:tplc="FFFFFFFF">
      <w:start w:val="1"/>
      <w:numFmt w:val="lowerLetter"/>
      <w:lvlText w:val="(%3)"/>
      <w:lvlJc w:val="left"/>
      <w:pPr>
        <w:ind w:left="2340" w:hanging="360"/>
      </w:pPr>
      <w:rPr>
        <w:rFonts w:hint="default"/>
      </w:rPr>
    </w:lvl>
    <w:lvl w:ilvl="3" w:tplc="FFFFFFFF">
      <w:start w:val="1"/>
      <w:numFmt w:val="lowerLetter"/>
      <w:lvlText w:val="%4."/>
      <w:lvlJc w:val="left"/>
      <w:pPr>
        <w:ind w:left="3240" w:hanging="720"/>
      </w:pPr>
      <w:rPr>
        <w:rFonts w:hint="default"/>
      </w:rPr>
    </w:lvl>
    <w:lvl w:ilvl="4" w:tplc="FFFFFFFF">
      <w:start w:val="4"/>
      <w:numFmt w:val="bullet"/>
      <w:lvlText w:val="-"/>
      <w:lvlJc w:val="left"/>
      <w:pPr>
        <w:ind w:left="5592" w:hanging="2352"/>
      </w:pPr>
      <w:rPr>
        <w:rFonts w:ascii="Calibri" w:eastAsia="Times New Roman" w:hAnsi="Calibri" w:cs="Calibri"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81233"/>
    <w:multiLevelType w:val="hybridMultilevel"/>
    <w:tmpl w:val="CE2025B8"/>
    <w:lvl w:ilvl="0" w:tplc="A550795C">
      <w:start w:val="3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1F6F9C"/>
    <w:multiLevelType w:val="hybridMultilevel"/>
    <w:tmpl w:val="354ADA62"/>
    <w:lvl w:ilvl="0" w:tplc="CC7EAB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2118D8"/>
    <w:multiLevelType w:val="multilevel"/>
    <w:tmpl w:val="F4E8ED5A"/>
    <w:lvl w:ilvl="0">
      <w:start w:val="1"/>
      <w:numFmt w:val="lowerRoman"/>
      <w:lvlRestart w:val="0"/>
      <w:pStyle w:val="GMCRomantext"/>
      <w:lvlText w:val="%1"/>
      <w:lvlJc w:val="left"/>
      <w:pPr>
        <w:tabs>
          <w:tab w:val="num" w:pos="1304"/>
        </w:tabs>
        <w:ind w:left="1304" w:hanging="454"/>
      </w:pPr>
      <w:rPr>
        <w:rFonts w:ascii="Tahoma" w:hAnsi="Tahoma" w:cs="Tahoma"/>
        <w:b/>
        <w:color w:val="000000"/>
        <w:sz w:val="24"/>
        <w:u w:val="none"/>
      </w:rPr>
    </w:lvl>
    <w:lvl w:ilvl="1">
      <w:start w:val="1"/>
      <w:numFmt w:val="lowerRoman"/>
      <w:lvlText w:val="%1.%2"/>
      <w:lvlJc w:val="left"/>
      <w:pPr>
        <w:tabs>
          <w:tab w:val="num" w:pos="1077"/>
        </w:tabs>
        <w:ind w:left="1077" w:hanging="431"/>
      </w:pPr>
      <w:rPr>
        <w:rFonts w:ascii="Tahoma" w:hAnsi="Tahoma" w:cs="Tahoma"/>
        <w:b/>
        <w:sz w:val="24"/>
      </w:rPr>
    </w:lvl>
    <w:lvl w:ilvl="2">
      <w:start w:val="1"/>
      <w:numFmt w:val="lowerRoman"/>
      <w:lvlText w:val="%1.%2.%3"/>
      <w:lvlJc w:val="left"/>
      <w:pPr>
        <w:tabs>
          <w:tab w:val="num" w:pos="1723"/>
        </w:tabs>
        <w:ind w:left="1508" w:hanging="505"/>
      </w:pPr>
      <w:rPr>
        <w:rFonts w:ascii="Tahoma" w:hAnsi="Tahoma" w:cs="Tahoma"/>
        <w:b/>
        <w:sz w:val="24"/>
      </w:rPr>
    </w:lvl>
    <w:lvl w:ilvl="3">
      <w:start w:val="1"/>
      <w:numFmt w:val="lowerRoman"/>
      <w:lvlText w:val="%1.%2.%3.%4"/>
      <w:lvlJc w:val="left"/>
      <w:pPr>
        <w:tabs>
          <w:tab w:val="num" w:pos="2806"/>
        </w:tabs>
        <w:ind w:left="2013" w:hanging="647"/>
      </w:pPr>
      <w:rPr>
        <w:rFonts w:ascii="Tahoma" w:hAnsi="Tahoma" w:cs="Tahoma"/>
        <w:b/>
        <w:sz w:val="24"/>
      </w:rPr>
    </w:lvl>
    <w:lvl w:ilvl="4">
      <w:start w:val="1"/>
      <w:numFmt w:val="lowerRoman"/>
      <w:lvlText w:val="%1.%2.%3.%4.%5"/>
      <w:lvlJc w:val="left"/>
      <w:pPr>
        <w:tabs>
          <w:tab w:val="num" w:pos="3526"/>
        </w:tabs>
        <w:ind w:left="2517" w:hanging="794"/>
      </w:pPr>
      <w:rPr>
        <w:rFonts w:ascii="Tahoma" w:hAnsi="Tahoma" w:cs="Tahoma"/>
        <w:b/>
        <w:sz w:val="24"/>
      </w:rPr>
    </w:lvl>
    <w:lvl w:ilvl="5">
      <w:start w:val="1"/>
      <w:numFmt w:val="lowerRoman"/>
      <w:lvlText w:val="%1.%2.%3.%4.%5.%6"/>
      <w:lvlJc w:val="left"/>
      <w:pPr>
        <w:tabs>
          <w:tab w:val="num" w:pos="4241"/>
        </w:tabs>
        <w:ind w:left="3022" w:hanging="936"/>
      </w:pPr>
      <w:rPr>
        <w:rFonts w:ascii="Tahoma" w:hAnsi="Tahoma" w:cs="Tahoma"/>
        <w:b/>
        <w:sz w:val="24"/>
      </w:rPr>
    </w:lvl>
    <w:lvl w:ilvl="6">
      <w:start w:val="1"/>
      <w:numFmt w:val="lowerRoman"/>
      <w:lvlText w:val="%1.%2.%3.%4.%5.%6.%7"/>
      <w:lvlJc w:val="left"/>
      <w:pPr>
        <w:tabs>
          <w:tab w:val="num" w:pos="4961"/>
        </w:tabs>
        <w:ind w:left="3526" w:hanging="1083"/>
      </w:pPr>
      <w:rPr>
        <w:rFonts w:ascii="Tahoma" w:hAnsi="Tahoma" w:cs="Tahoma"/>
        <w:b/>
        <w:sz w:val="24"/>
      </w:rPr>
    </w:lvl>
    <w:lvl w:ilvl="7">
      <w:start w:val="1"/>
      <w:numFmt w:val="lowerRoman"/>
      <w:lvlText w:val="%1.%2.%3.%4.%5.%6.%7.%8"/>
      <w:lvlJc w:val="left"/>
      <w:pPr>
        <w:tabs>
          <w:tab w:val="num" w:pos="5681"/>
        </w:tabs>
        <w:ind w:left="4025" w:hanging="1219"/>
      </w:pPr>
      <w:rPr>
        <w:rFonts w:ascii="Tahoma" w:hAnsi="Tahoma" w:cs="Tahoma"/>
        <w:b/>
        <w:sz w:val="24"/>
      </w:rPr>
    </w:lvl>
    <w:lvl w:ilvl="8">
      <w:start w:val="1"/>
      <w:numFmt w:val="lowerRoman"/>
      <w:lvlText w:val="%1.%2.%3.%4.%5.%6.%7.%8.%9"/>
      <w:lvlJc w:val="left"/>
      <w:pPr>
        <w:tabs>
          <w:tab w:val="num" w:pos="6401"/>
        </w:tabs>
        <w:ind w:left="4603" w:hanging="1440"/>
      </w:pPr>
      <w:rPr>
        <w:rFonts w:ascii="Tahoma" w:hAnsi="Tahoma" w:cs="Tahoma"/>
        <w:b/>
        <w:sz w:val="24"/>
      </w:rPr>
    </w:lvl>
  </w:abstractNum>
  <w:abstractNum w:abstractNumId="33" w15:restartNumberingAfterBreak="0">
    <w:nsid w:val="7E205E8A"/>
    <w:multiLevelType w:val="hybridMultilevel"/>
    <w:tmpl w:val="0AD613CA"/>
    <w:lvl w:ilvl="0" w:tplc="08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FEA0426"/>
    <w:multiLevelType w:val="hybridMultilevel"/>
    <w:tmpl w:val="DEE6B7FC"/>
    <w:lvl w:ilvl="0" w:tplc="5850748C">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6276600">
    <w:abstractNumId w:val="28"/>
  </w:num>
  <w:num w:numId="2" w16cid:durableId="694697042">
    <w:abstractNumId w:val="6"/>
  </w:num>
  <w:num w:numId="3" w16cid:durableId="167716776">
    <w:abstractNumId w:val="14"/>
  </w:num>
  <w:num w:numId="4" w16cid:durableId="1524896659">
    <w:abstractNumId w:val="17"/>
  </w:num>
  <w:num w:numId="5" w16cid:durableId="317927729">
    <w:abstractNumId w:val="17"/>
  </w:num>
  <w:num w:numId="6" w16cid:durableId="1012680865">
    <w:abstractNumId w:val="6"/>
  </w:num>
  <w:num w:numId="7" w16cid:durableId="1929849319">
    <w:abstractNumId w:val="19"/>
  </w:num>
  <w:num w:numId="8" w16cid:durableId="1151827180">
    <w:abstractNumId w:val="21"/>
  </w:num>
  <w:num w:numId="9" w16cid:durableId="1870872888">
    <w:abstractNumId w:val="20"/>
  </w:num>
  <w:num w:numId="10" w16cid:durableId="1368483917">
    <w:abstractNumId w:val="32"/>
  </w:num>
  <w:num w:numId="11" w16cid:durableId="2061127048">
    <w:abstractNumId w:val="23"/>
  </w:num>
  <w:num w:numId="12" w16cid:durableId="267544454">
    <w:abstractNumId w:val="22"/>
  </w:num>
  <w:num w:numId="13" w16cid:durableId="880360050">
    <w:abstractNumId w:val="25"/>
  </w:num>
  <w:num w:numId="14" w16cid:durableId="1833837932">
    <w:abstractNumId w:val="29"/>
  </w:num>
  <w:num w:numId="15" w16cid:durableId="1204516673">
    <w:abstractNumId w:val="4"/>
  </w:num>
  <w:num w:numId="16" w16cid:durableId="1308784676">
    <w:abstractNumId w:val="15"/>
  </w:num>
  <w:num w:numId="17" w16cid:durableId="2076776015">
    <w:abstractNumId w:val="34"/>
  </w:num>
  <w:num w:numId="18" w16cid:durableId="553351535">
    <w:abstractNumId w:val="26"/>
  </w:num>
  <w:num w:numId="19" w16cid:durableId="1692216613">
    <w:abstractNumId w:val="9"/>
  </w:num>
  <w:num w:numId="20" w16cid:durableId="600919792">
    <w:abstractNumId w:val="0"/>
  </w:num>
  <w:num w:numId="21" w16cid:durableId="258370940">
    <w:abstractNumId w:val="33"/>
  </w:num>
  <w:num w:numId="22" w16cid:durableId="549343787">
    <w:abstractNumId w:val="3"/>
  </w:num>
  <w:num w:numId="23" w16cid:durableId="1981612477">
    <w:abstractNumId w:val="18"/>
  </w:num>
  <w:num w:numId="24" w16cid:durableId="170729092">
    <w:abstractNumId w:val="27"/>
  </w:num>
  <w:num w:numId="25" w16cid:durableId="890534083">
    <w:abstractNumId w:val="8"/>
  </w:num>
  <w:num w:numId="26" w16cid:durableId="450132955">
    <w:abstractNumId w:val="13"/>
  </w:num>
  <w:num w:numId="27" w16cid:durableId="653265230">
    <w:abstractNumId w:val="16"/>
  </w:num>
  <w:num w:numId="28" w16cid:durableId="1845971389">
    <w:abstractNumId w:val="12"/>
  </w:num>
  <w:num w:numId="29" w16cid:durableId="252706888">
    <w:abstractNumId w:val="2"/>
  </w:num>
  <w:num w:numId="30" w16cid:durableId="463741667">
    <w:abstractNumId w:val="1"/>
  </w:num>
  <w:num w:numId="31" w16cid:durableId="940843747">
    <w:abstractNumId w:val="5"/>
  </w:num>
  <w:num w:numId="32" w16cid:durableId="190799276">
    <w:abstractNumId w:val="11"/>
  </w:num>
  <w:num w:numId="33" w16cid:durableId="704259667">
    <w:abstractNumId w:val="30"/>
  </w:num>
  <w:num w:numId="34" w16cid:durableId="535705572">
    <w:abstractNumId w:val="24"/>
  </w:num>
  <w:num w:numId="35" w16cid:durableId="87626145">
    <w:abstractNumId w:val="10"/>
  </w:num>
  <w:num w:numId="36" w16cid:durableId="2066833373">
    <w:abstractNumId w:val="7"/>
  </w:num>
  <w:num w:numId="37" w16cid:durableId="1511137481">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E75"/>
    <w:rsid w:val="00000EA6"/>
    <w:rsid w:val="00002FF5"/>
    <w:rsid w:val="00003AA5"/>
    <w:rsid w:val="00007078"/>
    <w:rsid w:val="0001001A"/>
    <w:rsid w:val="000106FF"/>
    <w:rsid w:val="00011012"/>
    <w:rsid w:val="000114FF"/>
    <w:rsid w:val="000126AD"/>
    <w:rsid w:val="000133BA"/>
    <w:rsid w:val="00013C85"/>
    <w:rsid w:val="0001681F"/>
    <w:rsid w:val="00016A8E"/>
    <w:rsid w:val="000175C7"/>
    <w:rsid w:val="00030506"/>
    <w:rsid w:val="00030540"/>
    <w:rsid w:val="00032331"/>
    <w:rsid w:val="00035809"/>
    <w:rsid w:val="000376BB"/>
    <w:rsid w:val="00040104"/>
    <w:rsid w:val="00041A57"/>
    <w:rsid w:val="00041E6D"/>
    <w:rsid w:val="000425C2"/>
    <w:rsid w:val="00042AE1"/>
    <w:rsid w:val="00042B2D"/>
    <w:rsid w:val="00044D23"/>
    <w:rsid w:val="00047188"/>
    <w:rsid w:val="00053E2D"/>
    <w:rsid w:val="000576F5"/>
    <w:rsid w:val="00062D9A"/>
    <w:rsid w:val="00064BE6"/>
    <w:rsid w:val="00073B02"/>
    <w:rsid w:val="00073D3F"/>
    <w:rsid w:val="0007528E"/>
    <w:rsid w:val="000773DA"/>
    <w:rsid w:val="00077BB1"/>
    <w:rsid w:val="00080036"/>
    <w:rsid w:val="0008242A"/>
    <w:rsid w:val="00085140"/>
    <w:rsid w:val="00086B38"/>
    <w:rsid w:val="00090BBE"/>
    <w:rsid w:val="0009110A"/>
    <w:rsid w:val="00093169"/>
    <w:rsid w:val="00093A13"/>
    <w:rsid w:val="00093B59"/>
    <w:rsid w:val="00096006"/>
    <w:rsid w:val="000A04DC"/>
    <w:rsid w:val="000A23AA"/>
    <w:rsid w:val="000A2A3E"/>
    <w:rsid w:val="000A3B17"/>
    <w:rsid w:val="000A64C3"/>
    <w:rsid w:val="000A6A2F"/>
    <w:rsid w:val="000B0B29"/>
    <w:rsid w:val="000B1C27"/>
    <w:rsid w:val="000B2140"/>
    <w:rsid w:val="000B2E01"/>
    <w:rsid w:val="000B2E0C"/>
    <w:rsid w:val="000B2FDC"/>
    <w:rsid w:val="000B3671"/>
    <w:rsid w:val="000B4474"/>
    <w:rsid w:val="000B4D9D"/>
    <w:rsid w:val="000B50A1"/>
    <w:rsid w:val="000B6B8C"/>
    <w:rsid w:val="000C51FD"/>
    <w:rsid w:val="000C545C"/>
    <w:rsid w:val="000C548E"/>
    <w:rsid w:val="000C55AE"/>
    <w:rsid w:val="000D2E61"/>
    <w:rsid w:val="000D32A8"/>
    <w:rsid w:val="000D5D49"/>
    <w:rsid w:val="000E0F5F"/>
    <w:rsid w:val="000E1CC5"/>
    <w:rsid w:val="000E29AD"/>
    <w:rsid w:val="000E360E"/>
    <w:rsid w:val="000E5466"/>
    <w:rsid w:val="000E5579"/>
    <w:rsid w:val="000E57F1"/>
    <w:rsid w:val="000E5F4C"/>
    <w:rsid w:val="000E6517"/>
    <w:rsid w:val="000F0D65"/>
    <w:rsid w:val="000F33E5"/>
    <w:rsid w:val="000F3EAF"/>
    <w:rsid w:val="000F4142"/>
    <w:rsid w:val="000F4280"/>
    <w:rsid w:val="000F5334"/>
    <w:rsid w:val="000F710D"/>
    <w:rsid w:val="00100E2D"/>
    <w:rsid w:val="00101898"/>
    <w:rsid w:val="001029A9"/>
    <w:rsid w:val="001034A2"/>
    <w:rsid w:val="00104133"/>
    <w:rsid w:val="0010668F"/>
    <w:rsid w:val="00110193"/>
    <w:rsid w:val="00114D2E"/>
    <w:rsid w:val="001156B6"/>
    <w:rsid w:val="00115922"/>
    <w:rsid w:val="00116602"/>
    <w:rsid w:val="001167AE"/>
    <w:rsid w:val="001169B5"/>
    <w:rsid w:val="00121C2A"/>
    <w:rsid w:val="001226CC"/>
    <w:rsid w:val="00122BD8"/>
    <w:rsid w:val="001238FC"/>
    <w:rsid w:val="0012627E"/>
    <w:rsid w:val="00126B24"/>
    <w:rsid w:val="00131C89"/>
    <w:rsid w:val="001367CB"/>
    <w:rsid w:val="00143ED7"/>
    <w:rsid w:val="00147B9A"/>
    <w:rsid w:val="00152542"/>
    <w:rsid w:val="00153268"/>
    <w:rsid w:val="001538D2"/>
    <w:rsid w:val="00157C9E"/>
    <w:rsid w:val="001613F7"/>
    <w:rsid w:val="0016212B"/>
    <w:rsid w:val="0017007A"/>
    <w:rsid w:val="00176653"/>
    <w:rsid w:val="00176D1F"/>
    <w:rsid w:val="00176F19"/>
    <w:rsid w:val="00181F89"/>
    <w:rsid w:val="001823A7"/>
    <w:rsid w:val="00183ECF"/>
    <w:rsid w:val="00186789"/>
    <w:rsid w:val="00193989"/>
    <w:rsid w:val="00194954"/>
    <w:rsid w:val="00194E75"/>
    <w:rsid w:val="00197AAA"/>
    <w:rsid w:val="001A0231"/>
    <w:rsid w:val="001A0D4D"/>
    <w:rsid w:val="001A251F"/>
    <w:rsid w:val="001A31F8"/>
    <w:rsid w:val="001A41A3"/>
    <w:rsid w:val="001B0155"/>
    <w:rsid w:val="001B4171"/>
    <w:rsid w:val="001B539F"/>
    <w:rsid w:val="001C0BD9"/>
    <w:rsid w:val="001C0D43"/>
    <w:rsid w:val="001D049F"/>
    <w:rsid w:val="001D1138"/>
    <w:rsid w:val="001D1B05"/>
    <w:rsid w:val="001D3E7F"/>
    <w:rsid w:val="001D5592"/>
    <w:rsid w:val="001E2B3C"/>
    <w:rsid w:val="001E4834"/>
    <w:rsid w:val="001E5BD9"/>
    <w:rsid w:val="001E6710"/>
    <w:rsid w:val="001E7FB0"/>
    <w:rsid w:val="001F0A71"/>
    <w:rsid w:val="001F133F"/>
    <w:rsid w:val="001F251B"/>
    <w:rsid w:val="001F3507"/>
    <w:rsid w:val="001F43DE"/>
    <w:rsid w:val="001F4D66"/>
    <w:rsid w:val="001F4F87"/>
    <w:rsid w:val="001F6DB3"/>
    <w:rsid w:val="00202944"/>
    <w:rsid w:val="00202CB5"/>
    <w:rsid w:val="00204789"/>
    <w:rsid w:val="002051B4"/>
    <w:rsid w:val="002065DE"/>
    <w:rsid w:val="00212DB7"/>
    <w:rsid w:val="00215C79"/>
    <w:rsid w:val="0021730F"/>
    <w:rsid w:val="00222689"/>
    <w:rsid w:val="002310FC"/>
    <w:rsid w:val="002337C1"/>
    <w:rsid w:val="00236A38"/>
    <w:rsid w:val="00237BAB"/>
    <w:rsid w:val="00255D43"/>
    <w:rsid w:val="00264F82"/>
    <w:rsid w:val="00273BF2"/>
    <w:rsid w:val="00280065"/>
    <w:rsid w:val="00280C04"/>
    <w:rsid w:val="00281510"/>
    <w:rsid w:val="00284445"/>
    <w:rsid w:val="00285A0E"/>
    <w:rsid w:val="00290AB7"/>
    <w:rsid w:val="00296E51"/>
    <w:rsid w:val="002978AD"/>
    <w:rsid w:val="002A000E"/>
    <w:rsid w:val="002A3867"/>
    <w:rsid w:val="002A5E0F"/>
    <w:rsid w:val="002A6DA6"/>
    <w:rsid w:val="002B201E"/>
    <w:rsid w:val="002B3C1A"/>
    <w:rsid w:val="002B5E03"/>
    <w:rsid w:val="002C1862"/>
    <w:rsid w:val="002C1C3F"/>
    <w:rsid w:val="002C266E"/>
    <w:rsid w:val="002C2683"/>
    <w:rsid w:val="002C6748"/>
    <w:rsid w:val="002C78A4"/>
    <w:rsid w:val="002D315E"/>
    <w:rsid w:val="002D48D3"/>
    <w:rsid w:val="002D5E4C"/>
    <w:rsid w:val="002D64F5"/>
    <w:rsid w:val="002D6F3C"/>
    <w:rsid w:val="002E3AD4"/>
    <w:rsid w:val="002E7C56"/>
    <w:rsid w:val="002F2DB4"/>
    <w:rsid w:val="002F49DA"/>
    <w:rsid w:val="002F65A0"/>
    <w:rsid w:val="002F680C"/>
    <w:rsid w:val="002F6CC0"/>
    <w:rsid w:val="002F742B"/>
    <w:rsid w:val="00305BC9"/>
    <w:rsid w:val="00307DAD"/>
    <w:rsid w:val="0031028B"/>
    <w:rsid w:val="00310E70"/>
    <w:rsid w:val="00311177"/>
    <w:rsid w:val="003132C6"/>
    <w:rsid w:val="00316F56"/>
    <w:rsid w:val="0032006D"/>
    <w:rsid w:val="00321613"/>
    <w:rsid w:val="003220D8"/>
    <w:rsid w:val="00324E7B"/>
    <w:rsid w:val="00327C18"/>
    <w:rsid w:val="0033659C"/>
    <w:rsid w:val="00337AE1"/>
    <w:rsid w:val="00341642"/>
    <w:rsid w:val="00343BB2"/>
    <w:rsid w:val="003509F2"/>
    <w:rsid w:val="00351C0C"/>
    <w:rsid w:val="003549F7"/>
    <w:rsid w:val="00354E68"/>
    <w:rsid w:val="00361A58"/>
    <w:rsid w:val="00365623"/>
    <w:rsid w:val="003660C2"/>
    <w:rsid w:val="00366C80"/>
    <w:rsid w:val="00367936"/>
    <w:rsid w:val="00367C7C"/>
    <w:rsid w:val="00370E7A"/>
    <w:rsid w:val="00372309"/>
    <w:rsid w:val="0037233C"/>
    <w:rsid w:val="00372D32"/>
    <w:rsid w:val="00375926"/>
    <w:rsid w:val="003804D1"/>
    <w:rsid w:val="00387FC3"/>
    <w:rsid w:val="00390AB7"/>
    <w:rsid w:val="00390CAB"/>
    <w:rsid w:val="0039438A"/>
    <w:rsid w:val="00396243"/>
    <w:rsid w:val="003971AC"/>
    <w:rsid w:val="00397524"/>
    <w:rsid w:val="003A1392"/>
    <w:rsid w:val="003A4E0A"/>
    <w:rsid w:val="003B12AE"/>
    <w:rsid w:val="003B1826"/>
    <w:rsid w:val="003B6FBB"/>
    <w:rsid w:val="003C31C9"/>
    <w:rsid w:val="003C3A74"/>
    <w:rsid w:val="003C5B9F"/>
    <w:rsid w:val="003D16A5"/>
    <w:rsid w:val="003D63AD"/>
    <w:rsid w:val="003D6DFD"/>
    <w:rsid w:val="003E00FD"/>
    <w:rsid w:val="003E32C5"/>
    <w:rsid w:val="003E3E43"/>
    <w:rsid w:val="003F6093"/>
    <w:rsid w:val="00400938"/>
    <w:rsid w:val="004063B1"/>
    <w:rsid w:val="00410072"/>
    <w:rsid w:val="0041012A"/>
    <w:rsid w:val="00410650"/>
    <w:rsid w:val="00411DF7"/>
    <w:rsid w:val="00413087"/>
    <w:rsid w:val="00414593"/>
    <w:rsid w:val="00414977"/>
    <w:rsid w:val="00415EC9"/>
    <w:rsid w:val="00416B79"/>
    <w:rsid w:val="00417CFE"/>
    <w:rsid w:val="0042146C"/>
    <w:rsid w:val="00422B53"/>
    <w:rsid w:val="004232BA"/>
    <w:rsid w:val="0042455B"/>
    <w:rsid w:val="004308CC"/>
    <w:rsid w:val="004323C6"/>
    <w:rsid w:val="00434CD3"/>
    <w:rsid w:val="00436408"/>
    <w:rsid w:val="00436501"/>
    <w:rsid w:val="00437471"/>
    <w:rsid w:val="004405FA"/>
    <w:rsid w:val="004458C0"/>
    <w:rsid w:val="00445C56"/>
    <w:rsid w:val="004500BD"/>
    <w:rsid w:val="0045363E"/>
    <w:rsid w:val="00454AF9"/>
    <w:rsid w:val="00455056"/>
    <w:rsid w:val="004553AF"/>
    <w:rsid w:val="00457559"/>
    <w:rsid w:val="0046249F"/>
    <w:rsid w:val="00462590"/>
    <w:rsid w:val="0046673A"/>
    <w:rsid w:val="00467023"/>
    <w:rsid w:val="004671BE"/>
    <w:rsid w:val="0046791E"/>
    <w:rsid w:val="00470AC1"/>
    <w:rsid w:val="0048074F"/>
    <w:rsid w:val="00480A8C"/>
    <w:rsid w:val="00481433"/>
    <w:rsid w:val="0048170C"/>
    <w:rsid w:val="00481C03"/>
    <w:rsid w:val="00482386"/>
    <w:rsid w:val="004823BE"/>
    <w:rsid w:val="00482A4A"/>
    <w:rsid w:val="00484724"/>
    <w:rsid w:val="00484ED1"/>
    <w:rsid w:val="00485118"/>
    <w:rsid w:val="00490FDC"/>
    <w:rsid w:val="004930F6"/>
    <w:rsid w:val="00494270"/>
    <w:rsid w:val="0049629D"/>
    <w:rsid w:val="0049648A"/>
    <w:rsid w:val="004A44D6"/>
    <w:rsid w:val="004B0AD4"/>
    <w:rsid w:val="004B187B"/>
    <w:rsid w:val="004B2051"/>
    <w:rsid w:val="004B2F88"/>
    <w:rsid w:val="004B3570"/>
    <w:rsid w:val="004B502E"/>
    <w:rsid w:val="004B561E"/>
    <w:rsid w:val="004B6507"/>
    <w:rsid w:val="004C09C0"/>
    <w:rsid w:val="004C3FD1"/>
    <w:rsid w:val="004C44F8"/>
    <w:rsid w:val="004D01EA"/>
    <w:rsid w:val="004D0762"/>
    <w:rsid w:val="004D25D6"/>
    <w:rsid w:val="004D68C5"/>
    <w:rsid w:val="004E00FA"/>
    <w:rsid w:val="004E2054"/>
    <w:rsid w:val="004E22E0"/>
    <w:rsid w:val="004E263B"/>
    <w:rsid w:val="004E411A"/>
    <w:rsid w:val="004E4D2D"/>
    <w:rsid w:val="004F0E2A"/>
    <w:rsid w:val="004F6148"/>
    <w:rsid w:val="005000A4"/>
    <w:rsid w:val="00501415"/>
    <w:rsid w:val="005039A1"/>
    <w:rsid w:val="00503BB2"/>
    <w:rsid w:val="005054CA"/>
    <w:rsid w:val="00505821"/>
    <w:rsid w:val="00511D6F"/>
    <w:rsid w:val="00512248"/>
    <w:rsid w:val="0051545B"/>
    <w:rsid w:val="00523FC3"/>
    <w:rsid w:val="0052667C"/>
    <w:rsid w:val="00530CAC"/>
    <w:rsid w:val="00532820"/>
    <w:rsid w:val="00532D1C"/>
    <w:rsid w:val="00533ED7"/>
    <w:rsid w:val="00534D34"/>
    <w:rsid w:val="005353A3"/>
    <w:rsid w:val="00535DE4"/>
    <w:rsid w:val="00536F22"/>
    <w:rsid w:val="00540923"/>
    <w:rsid w:val="00540B83"/>
    <w:rsid w:val="00545FAC"/>
    <w:rsid w:val="00552987"/>
    <w:rsid w:val="00553B22"/>
    <w:rsid w:val="005548E2"/>
    <w:rsid w:val="00555E49"/>
    <w:rsid w:val="00556DA1"/>
    <w:rsid w:val="005575F6"/>
    <w:rsid w:val="00557E08"/>
    <w:rsid w:val="00566AF4"/>
    <w:rsid w:val="0057313E"/>
    <w:rsid w:val="0057771A"/>
    <w:rsid w:val="00577F83"/>
    <w:rsid w:val="00590F8A"/>
    <w:rsid w:val="00592386"/>
    <w:rsid w:val="00596F17"/>
    <w:rsid w:val="005A30EF"/>
    <w:rsid w:val="005A4197"/>
    <w:rsid w:val="005A428E"/>
    <w:rsid w:val="005A4901"/>
    <w:rsid w:val="005A5860"/>
    <w:rsid w:val="005A6FA1"/>
    <w:rsid w:val="005B0A04"/>
    <w:rsid w:val="005B1A39"/>
    <w:rsid w:val="005C2553"/>
    <w:rsid w:val="005C3E31"/>
    <w:rsid w:val="005C4EEC"/>
    <w:rsid w:val="005D0994"/>
    <w:rsid w:val="005D109F"/>
    <w:rsid w:val="005D14D1"/>
    <w:rsid w:val="005D1679"/>
    <w:rsid w:val="005D185B"/>
    <w:rsid w:val="005D4147"/>
    <w:rsid w:val="005D50BF"/>
    <w:rsid w:val="005D568F"/>
    <w:rsid w:val="005E0091"/>
    <w:rsid w:val="005E06FF"/>
    <w:rsid w:val="005E0C50"/>
    <w:rsid w:val="005E14F2"/>
    <w:rsid w:val="005E2F5F"/>
    <w:rsid w:val="005E650F"/>
    <w:rsid w:val="005F3B57"/>
    <w:rsid w:val="00601404"/>
    <w:rsid w:val="00601C35"/>
    <w:rsid w:val="006047E9"/>
    <w:rsid w:val="0060512C"/>
    <w:rsid w:val="0060682A"/>
    <w:rsid w:val="006110B4"/>
    <w:rsid w:val="00611E13"/>
    <w:rsid w:val="00612D6C"/>
    <w:rsid w:val="00614A06"/>
    <w:rsid w:val="00616CA5"/>
    <w:rsid w:val="0062360F"/>
    <w:rsid w:val="0062533E"/>
    <w:rsid w:val="006263D2"/>
    <w:rsid w:val="0063272B"/>
    <w:rsid w:val="006341C5"/>
    <w:rsid w:val="006364D7"/>
    <w:rsid w:val="00637E8D"/>
    <w:rsid w:val="00641A46"/>
    <w:rsid w:val="00641D5A"/>
    <w:rsid w:val="006433F5"/>
    <w:rsid w:val="006435A9"/>
    <w:rsid w:val="00651579"/>
    <w:rsid w:val="00651F71"/>
    <w:rsid w:val="006529DD"/>
    <w:rsid w:val="00653903"/>
    <w:rsid w:val="00654E44"/>
    <w:rsid w:val="00655B88"/>
    <w:rsid w:val="00657555"/>
    <w:rsid w:val="00664584"/>
    <w:rsid w:val="00665EA0"/>
    <w:rsid w:val="006673E9"/>
    <w:rsid w:val="00677881"/>
    <w:rsid w:val="0068138C"/>
    <w:rsid w:val="00693F21"/>
    <w:rsid w:val="0069650F"/>
    <w:rsid w:val="006A4A64"/>
    <w:rsid w:val="006B1BA4"/>
    <w:rsid w:val="006B448B"/>
    <w:rsid w:val="006B477A"/>
    <w:rsid w:val="006B5CB7"/>
    <w:rsid w:val="006C037D"/>
    <w:rsid w:val="006C0BB3"/>
    <w:rsid w:val="006C10B0"/>
    <w:rsid w:val="006C3022"/>
    <w:rsid w:val="006C52A8"/>
    <w:rsid w:val="006C6552"/>
    <w:rsid w:val="006C65E9"/>
    <w:rsid w:val="006C79D0"/>
    <w:rsid w:val="006D1BB8"/>
    <w:rsid w:val="006D2242"/>
    <w:rsid w:val="006D323B"/>
    <w:rsid w:val="006E01ED"/>
    <w:rsid w:val="006E0F7E"/>
    <w:rsid w:val="006E2C30"/>
    <w:rsid w:val="006E388F"/>
    <w:rsid w:val="006E6279"/>
    <w:rsid w:val="006F3258"/>
    <w:rsid w:val="006F3524"/>
    <w:rsid w:val="006F56FB"/>
    <w:rsid w:val="006F7D1F"/>
    <w:rsid w:val="00700B5D"/>
    <w:rsid w:val="007025DB"/>
    <w:rsid w:val="007066E3"/>
    <w:rsid w:val="007123B4"/>
    <w:rsid w:val="00714E78"/>
    <w:rsid w:val="00714F77"/>
    <w:rsid w:val="0071618E"/>
    <w:rsid w:val="00727426"/>
    <w:rsid w:val="00730AAC"/>
    <w:rsid w:val="00730DD0"/>
    <w:rsid w:val="007348DA"/>
    <w:rsid w:val="00737CE7"/>
    <w:rsid w:val="0074024B"/>
    <w:rsid w:val="00740EF0"/>
    <w:rsid w:val="0074151C"/>
    <w:rsid w:val="007422A3"/>
    <w:rsid w:val="00743254"/>
    <w:rsid w:val="007432AF"/>
    <w:rsid w:val="007474EA"/>
    <w:rsid w:val="007501B0"/>
    <w:rsid w:val="00755404"/>
    <w:rsid w:val="0076045F"/>
    <w:rsid w:val="0076166F"/>
    <w:rsid w:val="0076208B"/>
    <w:rsid w:val="00763F88"/>
    <w:rsid w:val="0076553A"/>
    <w:rsid w:val="00766F00"/>
    <w:rsid w:val="007719C1"/>
    <w:rsid w:val="00771FEF"/>
    <w:rsid w:val="00773566"/>
    <w:rsid w:val="00774396"/>
    <w:rsid w:val="00774613"/>
    <w:rsid w:val="007752D1"/>
    <w:rsid w:val="00775BC9"/>
    <w:rsid w:val="00777D09"/>
    <w:rsid w:val="00780CE3"/>
    <w:rsid w:val="00783E6B"/>
    <w:rsid w:val="00783FAA"/>
    <w:rsid w:val="0078677B"/>
    <w:rsid w:val="00787630"/>
    <w:rsid w:val="007906CE"/>
    <w:rsid w:val="00794214"/>
    <w:rsid w:val="00794AA6"/>
    <w:rsid w:val="00795069"/>
    <w:rsid w:val="007957FE"/>
    <w:rsid w:val="007A11F4"/>
    <w:rsid w:val="007A1455"/>
    <w:rsid w:val="007A31CC"/>
    <w:rsid w:val="007A523F"/>
    <w:rsid w:val="007A5D44"/>
    <w:rsid w:val="007A66E3"/>
    <w:rsid w:val="007A68FB"/>
    <w:rsid w:val="007B1C1C"/>
    <w:rsid w:val="007B43A4"/>
    <w:rsid w:val="007B4437"/>
    <w:rsid w:val="007B4EF3"/>
    <w:rsid w:val="007B6EC8"/>
    <w:rsid w:val="007C7409"/>
    <w:rsid w:val="007C7DE9"/>
    <w:rsid w:val="007D132F"/>
    <w:rsid w:val="007D1A46"/>
    <w:rsid w:val="007D1D3E"/>
    <w:rsid w:val="007D45C9"/>
    <w:rsid w:val="007E455B"/>
    <w:rsid w:val="007E510D"/>
    <w:rsid w:val="007E62A5"/>
    <w:rsid w:val="007E65FD"/>
    <w:rsid w:val="007E6FA9"/>
    <w:rsid w:val="007F18D5"/>
    <w:rsid w:val="007F269A"/>
    <w:rsid w:val="007F2AFD"/>
    <w:rsid w:val="007F34AC"/>
    <w:rsid w:val="007F44B5"/>
    <w:rsid w:val="007F51FC"/>
    <w:rsid w:val="007F75C1"/>
    <w:rsid w:val="007F7ED5"/>
    <w:rsid w:val="008049C4"/>
    <w:rsid w:val="0081478F"/>
    <w:rsid w:val="008152BD"/>
    <w:rsid w:val="00816A15"/>
    <w:rsid w:val="00821331"/>
    <w:rsid w:val="0082181C"/>
    <w:rsid w:val="008225BE"/>
    <w:rsid w:val="0082442C"/>
    <w:rsid w:val="00826410"/>
    <w:rsid w:val="00835D8F"/>
    <w:rsid w:val="00840DAE"/>
    <w:rsid w:val="008429DF"/>
    <w:rsid w:val="00842CB6"/>
    <w:rsid w:val="008443EA"/>
    <w:rsid w:val="00846657"/>
    <w:rsid w:val="00847A88"/>
    <w:rsid w:val="00850007"/>
    <w:rsid w:val="00850520"/>
    <w:rsid w:val="008547C5"/>
    <w:rsid w:val="00856A99"/>
    <w:rsid w:val="00861DF4"/>
    <w:rsid w:val="008647E2"/>
    <w:rsid w:val="00873163"/>
    <w:rsid w:val="00875961"/>
    <w:rsid w:val="0087652C"/>
    <w:rsid w:val="008803B9"/>
    <w:rsid w:val="00884A60"/>
    <w:rsid w:val="00884E66"/>
    <w:rsid w:val="008851B5"/>
    <w:rsid w:val="0089153D"/>
    <w:rsid w:val="00895A82"/>
    <w:rsid w:val="008B0844"/>
    <w:rsid w:val="008B1715"/>
    <w:rsid w:val="008B208E"/>
    <w:rsid w:val="008B417F"/>
    <w:rsid w:val="008C3C82"/>
    <w:rsid w:val="008C50E9"/>
    <w:rsid w:val="008C5519"/>
    <w:rsid w:val="008D2969"/>
    <w:rsid w:val="008D386F"/>
    <w:rsid w:val="008D4386"/>
    <w:rsid w:val="008E0356"/>
    <w:rsid w:val="008E0D6D"/>
    <w:rsid w:val="008E1FBF"/>
    <w:rsid w:val="008E4C28"/>
    <w:rsid w:val="008E5C12"/>
    <w:rsid w:val="008E7C4C"/>
    <w:rsid w:val="008F3351"/>
    <w:rsid w:val="00903FC0"/>
    <w:rsid w:val="00904264"/>
    <w:rsid w:val="009049DE"/>
    <w:rsid w:val="0090506D"/>
    <w:rsid w:val="009051D0"/>
    <w:rsid w:val="00905EEB"/>
    <w:rsid w:val="009071EE"/>
    <w:rsid w:val="00913EA6"/>
    <w:rsid w:val="00913FED"/>
    <w:rsid w:val="00915041"/>
    <w:rsid w:val="009157AF"/>
    <w:rsid w:val="009157F2"/>
    <w:rsid w:val="00921ECC"/>
    <w:rsid w:val="00923BEA"/>
    <w:rsid w:val="009260C0"/>
    <w:rsid w:val="0093109C"/>
    <w:rsid w:val="00931122"/>
    <w:rsid w:val="00932BF3"/>
    <w:rsid w:val="00934FC9"/>
    <w:rsid w:val="00937A7E"/>
    <w:rsid w:val="009404EF"/>
    <w:rsid w:val="00940ECD"/>
    <w:rsid w:val="00945234"/>
    <w:rsid w:val="00952DC3"/>
    <w:rsid w:val="00953026"/>
    <w:rsid w:val="009532F7"/>
    <w:rsid w:val="009556D1"/>
    <w:rsid w:val="00955E66"/>
    <w:rsid w:val="00956C5C"/>
    <w:rsid w:val="0095754A"/>
    <w:rsid w:val="00957764"/>
    <w:rsid w:val="009662C3"/>
    <w:rsid w:val="00966646"/>
    <w:rsid w:val="00966897"/>
    <w:rsid w:val="00966E41"/>
    <w:rsid w:val="00973F04"/>
    <w:rsid w:val="009754D1"/>
    <w:rsid w:val="00976544"/>
    <w:rsid w:val="00980A2E"/>
    <w:rsid w:val="009814C3"/>
    <w:rsid w:val="009821D4"/>
    <w:rsid w:val="0099020E"/>
    <w:rsid w:val="009903B5"/>
    <w:rsid w:val="00991091"/>
    <w:rsid w:val="009934BA"/>
    <w:rsid w:val="0099557A"/>
    <w:rsid w:val="00996D24"/>
    <w:rsid w:val="009A1F85"/>
    <w:rsid w:val="009A2F5A"/>
    <w:rsid w:val="009A3290"/>
    <w:rsid w:val="009A7156"/>
    <w:rsid w:val="009B57B0"/>
    <w:rsid w:val="009B5DB5"/>
    <w:rsid w:val="009B6EF6"/>
    <w:rsid w:val="009C0080"/>
    <w:rsid w:val="009C0894"/>
    <w:rsid w:val="009C5EAC"/>
    <w:rsid w:val="009C5F02"/>
    <w:rsid w:val="009D316C"/>
    <w:rsid w:val="009D4994"/>
    <w:rsid w:val="009D52E4"/>
    <w:rsid w:val="009D5563"/>
    <w:rsid w:val="009E0925"/>
    <w:rsid w:val="009E1459"/>
    <w:rsid w:val="009E2CD2"/>
    <w:rsid w:val="009E3A4C"/>
    <w:rsid w:val="009E4821"/>
    <w:rsid w:val="009E5054"/>
    <w:rsid w:val="009E69E4"/>
    <w:rsid w:val="009E73F6"/>
    <w:rsid w:val="009F0AF8"/>
    <w:rsid w:val="009F11BE"/>
    <w:rsid w:val="009F169F"/>
    <w:rsid w:val="009F1F08"/>
    <w:rsid w:val="009F2BA9"/>
    <w:rsid w:val="009F2D48"/>
    <w:rsid w:val="009F346E"/>
    <w:rsid w:val="009F4EAE"/>
    <w:rsid w:val="009F51A1"/>
    <w:rsid w:val="00A00EAF"/>
    <w:rsid w:val="00A0687A"/>
    <w:rsid w:val="00A11E35"/>
    <w:rsid w:val="00A13672"/>
    <w:rsid w:val="00A15270"/>
    <w:rsid w:val="00A15DDA"/>
    <w:rsid w:val="00A21EDA"/>
    <w:rsid w:val="00A22583"/>
    <w:rsid w:val="00A22F74"/>
    <w:rsid w:val="00A23BB8"/>
    <w:rsid w:val="00A253A5"/>
    <w:rsid w:val="00A26DC1"/>
    <w:rsid w:val="00A27905"/>
    <w:rsid w:val="00A33D6D"/>
    <w:rsid w:val="00A36ED5"/>
    <w:rsid w:val="00A3747A"/>
    <w:rsid w:val="00A37F92"/>
    <w:rsid w:val="00A425B2"/>
    <w:rsid w:val="00A430EC"/>
    <w:rsid w:val="00A43556"/>
    <w:rsid w:val="00A44AF0"/>
    <w:rsid w:val="00A45E0F"/>
    <w:rsid w:val="00A47FA7"/>
    <w:rsid w:val="00A51F14"/>
    <w:rsid w:val="00A54BC5"/>
    <w:rsid w:val="00A55758"/>
    <w:rsid w:val="00A6276B"/>
    <w:rsid w:val="00A62968"/>
    <w:rsid w:val="00A62B54"/>
    <w:rsid w:val="00A6313D"/>
    <w:rsid w:val="00A6353E"/>
    <w:rsid w:val="00A63AE8"/>
    <w:rsid w:val="00A7466F"/>
    <w:rsid w:val="00A752A3"/>
    <w:rsid w:val="00A75C08"/>
    <w:rsid w:val="00A8181A"/>
    <w:rsid w:val="00A83E15"/>
    <w:rsid w:val="00A86F1A"/>
    <w:rsid w:val="00A90313"/>
    <w:rsid w:val="00A91B39"/>
    <w:rsid w:val="00A93640"/>
    <w:rsid w:val="00A94444"/>
    <w:rsid w:val="00AA20DF"/>
    <w:rsid w:val="00AB078F"/>
    <w:rsid w:val="00AB0DE3"/>
    <w:rsid w:val="00AB288D"/>
    <w:rsid w:val="00AB6091"/>
    <w:rsid w:val="00AB654C"/>
    <w:rsid w:val="00AB6A97"/>
    <w:rsid w:val="00AC13BC"/>
    <w:rsid w:val="00AC1576"/>
    <w:rsid w:val="00AC3794"/>
    <w:rsid w:val="00AC3DCC"/>
    <w:rsid w:val="00AC4550"/>
    <w:rsid w:val="00AC703D"/>
    <w:rsid w:val="00AD0DE5"/>
    <w:rsid w:val="00AD7836"/>
    <w:rsid w:val="00AE0DFC"/>
    <w:rsid w:val="00AF2763"/>
    <w:rsid w:val="00AF4A91"/>
    <w:rsid w:val="00AF5744"/>
    <w:rsid w:val="00AF591B"/>
    <w:rsid w:val="00AF5DCA"/>
    <w:rsid w:val="00AF7B07"/>
    <w:rsid w:val="00B012BB"/>
    <w:rsid w:val="00B01C4E"/>
    <w:rsid w:val="00B0294E"/>
    <w:rsid w:val="00B05485"/>
    <w:rsid w:val="00B105F8"/>
    <w:rsid w:val="00B14A73"/>
    <w:rsid w:val="00B16C1F"/>
    <w:rsid w:val="00B17C23"/>
    <w:rsid w:val="00B21680"/>
    <w:rsid w:val="00B26AA9"/>
    <w:rsid w:val="00B27FD5"/>
    <w:rsid w:val="00B310AD"/>
    <w:rsid w:val="00B35E32"/>
    <w:rsid w:val="00B36216"/>
    <w:rsid w:val="00B36FC5"/>
    <w:rsid w:val="00B37B18"/>
    <w:rsid w:val="00B412D1"/>
    <w:rsid w:val="00B41639"/>
    <w:rsid w:val="00B42969"/>
    <w:rsid w:val="00B42FD6"/>
    <w:rsid w:val="00B4422D"/>
    <w:rsid w:val="00B46EDD"/>
    <w:rsid w:val="00B608FC"/>
    <w:rsid w:val="00B616C8"/>
    <w:rsid w:val="00B64134"/>
    <w:rsid w:val="00B65586"/>
    <w:rsid w:val="00B65C76"/>
    <w:rsid w:val="00B703C0"/>
    <w:rsid w:val="00B70BDE"/>
    <w:rsid w:val="00B71E75"/>
    <w:rsid w:val="00B72D36"/>
    <w:rsid w:val="00B7341F"/>
    <w:rsid w:val="00B74590"/>
    <w:rsid w:val="00B765BA"/>
    <w:rsid w:val="00B768EC"/>
    <w:rsid w:val="00B772EE"/>
    <w:rsid w:val="00B82995"/>
    <w:rsid w:val="00B854AF"/>
    <w:rsid w:val="00B855F1"/>
    <w:rsid w:val="00B8618C"/>
    <w:rsid w:val="00B909C2"/>
    <w:rsid w:val="00B917BC"/>
    <w:rsid w:val="00B928E4"/>
    <w:rsid w:val="00B94E02"/>
    <w:rsid w:val="00B9514E"/>
    <w:rsid w:val="00BA266F"/>
    <w:rsid w:val="00BA3C40"/>
    <w:rsid w:val="00BA47DF"/>
    <w:rsid w:val="00BA597E"/>
    <w:rsid w:val="00BA689D"/>
    <w:rsid w:val="00BB06F9"/>
    <w:rsid w:val="00BB500E"/>
    <w:rsid w:val="00BB6D4A"/>
    <w:rsid w:val="00BB7A56"/>
    <w:rsid w:val="00BC2487"/>
    <w:rsid w:val="00BC3291"/>
    <w:rsid w:val="00BC3F25"/>
    <w:rsid w:val="00BC412A"/>
    <w:rsid w:val="00BC42C7"/>
    <w:rsid w:val="00BC4D84"/>
    <w:rsid w:val="00BC4F16"/>
    <w:rsid w:val="00BC512D"/>
    <w:rsid w:val="00BC61A9"/>
    <w:rsid w:val="00BD0BF3"/>
    <w:rsid w:val="00BD463E"/>
    <w:rsid w:val="00BD467C"/>
    <w:rsid w:val="00BE0A02"/>
    <w:rsid w:val="00BE3F49"/>
    <w:rsid w:val="00BE5254"/>
    <w:rsid w:val="00BE5424"/>
    <w:rsid w:val="00BE6065"/>
    <w:rsid w:val="00BF1330"/>
    <w:rsid w:val="00BF40EB"/>
    <w:rsid w:val="00BF7E01"/>
    <w:rsid w:val="00C00ABE"/>
    <w:rsid w:val="00C014D4"/>
    <w:rsid w:val="00C032FB"/>
    <w:rsid w:val="00C06724"/>
    <w:rsid w:val="00C07E87"/>
    <w:rsid w:val="00C14AE8"/>
    <w:rsid w:val="00C172BE"/>
    <w:rsid w:val="00C17440"/>
    <w:rsid w:val="00C201AA"/>
    <w:rsid w:val="00C20CA7"/>
    <w:rsid w:val="00C27A27"/>
    <w:rsid w:val="00C30CC5"/>
    <w:rsid w:val="00C318E2"/>
    <w:rsid w:val="00C34E29"/>
    <w:rsid w:val="00C35165"/>
    <w:rsid w:val="00C35B40"/>
    <w:rsid w:val="00C3605E"/>
    <w:rsid w:val="00C378C1"/>
    <w:rsid w:val="00C409FE"/>
    <w:rsid w:val="00C4630B"/>
    <w:rsid w:val="00C46EED"/>
    <w:rsid w:val="00C47A93"/>
    <w:rsid w:val="00C515F3"/>
    <w:rsid w:val="00C52F37"/>
    <w:rsid w:val="00C567C2"/>
    <w:rsid w:val="00C56B0D"/>
    <w:rsid w:val="00C56E3B"/>
    <w:rsid w:val="00C5706E"/>
    <w:rsid w:val="00C61CAC"/>
    <w:rsid w:val="00C61D22"/>
    <w:rsid w:val="00C62110"/>
    <w:rsid w:val="00C62111"/>
    <w:rsid w:val="00C65683"/>
    <w:rsid w:val="00C656F2"/>
    <w:rsid w:val="00C661F9"/>
    <w:rsid w:val="00C70429"/>
    <w:rsid w:val="00C72D42"/>
    <w:rsid w:val="00C73403"/>
    <w:rsid w:val="00C7357F"/>
    <w:rsid w:val="00C73C29"/>
    <w:rsid w:val="00C75425"/>
    <w:rsid w:val="00C7792D"/>
    <w:rsid w:val="00C81509"/>
    <w:rsid w:val="00C82A72"/>
    <w:rsid w:val="00C84589"/>
    <w:rsid w:val="00C85E50"/>
    <w:rsid w:val="00C90144"/>
    <w:rsid w:val="00C91128"/>
    <w:rsid w:val="00C92A6B"/>
    <w:rsid w:val="00C97F35"/>
    <w:rsid w:val="00CA435B"/>
    <w:rsid w:val="00CB301C"/>
    <w:rsid w:val="00CB37EA"/>
    <w:rsid w:val="00CB3C31"/>
    <w:rsid w:val="00CB56DD"/>
    <w:rsid w:val="00CC0F7A"/>
    <w:rsid w:val="00CC1577"/>
    <w:rsid w:val="00CC6643"/>
    <w:rsid w:val="00CC6E8F"/>
    <w:rsid w:val="00CC7048"/>
    <w:rsid w:val="00CD0CCF"/>
    <w:rsid w:val="00CD29A1"/>
    <w:rsid w:val="00CD45C0"/>
    <w:rsid w:val="00CD753F"/>
    <w:rsid w:val="00CE4576"/>
    <w:rsid w:val="00CE6980"/>
    <w:rsid w:val="00CF0772"/>
    <w:rsid w:val="00CF11F1"/>
    <w:rsid w:val="00CF48AE"/>
    <w:rsid w:val="00D0181A"/>
    <w:rsid w:val="00D078C0"/>
    <w:rsid w:val="00D1139E"/>
    <w:rsid w:val="00D131CC"/>
    <w:rsid w:val="00D13B15"/>
    <w:rsid w:val="00D2084B"/>
    <w:rsid w:val="00D23177"/>
    <w:rsid w:val="00D31BFA"/>
    <w:rsid w:val="00D3410D"/>
    <w:rsid w:val="00D44498"/>
    <w:rsid w:val="00D4475D"/>
    <w:rsid w:val="00D4525E"/>
    <w:rsid w:val="00D50E35"/>
    <w:rsid w:val="00D56434"/>
    <w:rsid w:val="00D56CE6"/>
    <w:rsid w:val="00D61CD0"/>
    <w:rsid w:val="00D626A2"/>
    <w:rsid w:val="00D6316B"/>
    <w:rsid w:val="00D648DC"/>
    <w:rsid w:val="00D662C4"/>
    <w:rsid w:val="00D66985"/>
    <w:rsid w:val="00D67822"/>
    <w:rsid w:val="00D67AD1"/>
    <w:rsid w:val="00D71D2C"/>
    <w:rsid w:val="00D730BB"/>
    <w:rsid w:val="00D75404"/>
    <w:rsid w:val="00D77507"/>
    <w:rsid w:val="00D80584"/>
    <w:rsid w:val="00D80BAE"/>
    <w:rsid w:val="00D81336"/>
    <w:rsid w:val="00D82761"/>
    <w:rsid w:val="00D836AA"/>
    <w:rsid w:val="00D83AFA"/>
    <w:rsid w:val="00D84744"/>
    <w:rsid w:val="00D85195"/>
    <w:rsid w:val="00D871F3"/>
    <w:rsid w:val="00D90040"/>
    <w:rsid w:val="00D92059"/>
    <w:rsid w:val="00D9312D"/>
    <w:rsid w:val="00DA0C38"/>
    <w:rsid w:val="00DA24E5"/>
    <w:rsid w:val="00DA38D7"/>
    <w:rsid w:val="00DA563E"/>
    <w:rsid w:val="00DB0B92"/>
    <w:rsid w:val="00DB61C2"/>
    <w:rsid w:val="00DC1326"/>
    <w:rsid w:val="00DC200A"/>
    <w:rsid w:val="00DC4FA5"/>
    <w:rsid w:val="00DD15DC"/>
    <w:rsid w:val="00DD765C"/>
    <w:rsid w:val="00DE1C36"/>
    <w:rsid w:val="00DE1FCB"/>
    <w:rsid w:val="00DE2E99"/>
    <w:rsid w:val="00DE30DA"/>
    <w:rsid w:val="00DE5306"/>
    <w:rsid w:val="00DF1C82"/>
    <w:rsid w:val="00E00EF4"/>
    <w:rsid w:val="00E02768"/>
    <w:rsid w:val="00E036D5"/>
    <w:rsid w:val="00E03C1A"/>
    <w:rsid w:val="00E04959"/>
    <w:rsid w:val="00E070E3"/>
    <w:rsid w:val="00E13612"/>
    <w:rsid w:val="00E142A5"/>
    <w:rsid w:val="00E177B6"/>
    <w:rsid w:val="00E22083"/>
    <w:rsid w:val="00E2591D"/>
    <w:rsid w:val="00E30D23"/>
    <w:rsid w:val="00E32B50"/>
    <w:rsid w:val="00E33D39"/>
    <w:rsid w:val="00E34BA5"/>
    <w:rsid w:val="00E35F23"/>
    <w:rsid w:val="00E37296"/>
    <w:rsid w:val="00E41E1F"/>
    <w:rsid w:val="00E47642"/>
    <w:rsid w:val="00E5359A"/>
    <w:rsid w:val="00E54AF7"/>
    <w:rsid w:val="00E56518"/>
    <w:rsid w:val="00E6456B"/>
    <w:rsid w:val="00E67826"/>
    <w:rsid w:val="00E67A05"/>
    <w:rsid w:val="00E7361F"/>
    <w:rsid w:val="00E83090"/>
    <w:rsid w:val="00E837F8"/>
    <w:rsid w:val="00E83BC7"/>
    <w:rsid w:val="00E84975"/>
    <w:rsid w:val="00E90575"/>
    <w:rsid w:val="00E9160F"/>
    <w:rsid w:val="00E93513"/>
    <w:rsid w:val="00E95DED"/>
    <w:rsid w:val="00EA2FA2"/>
    <w:rsid w:val="00EA50A7"/>
    <w:rsid w:val="00EA6981"/>
    <w:rsid w:val="00EA7254"/>
    <w:rsid w:val="00EB08FE"/>
    <w:rsid w:val="00EB19B5"/>
    <w:rsid w:val="00EB2CAF"/>
    <w:rsid w:val="00EB300C"/>
    <w:rsid w:val="00EB5E53"/>
    <w:rsid w:val="00EB78B5"/>
    <w:rsid w:val="00EC6EC6"/>
    <w:rsid w:val="00EC7156"/>
    <w:rsid w:val="00ED01B4"/>
    <w:rsid w:val="00ED78D1"/>
    <w:rsid w:val="00ED7A99"/>
    <w:rsid w:val="00EE01EC"/>
    <w:rsid w:val="00EE2F61"/>
    <w:rsid w:val="00EE581D"/>
    <w:rsid w:val="00EE74B9"/>
    <w:rsid w:val="00EF1CBE"/>
    <w:rsid w:val="00EF1D15"/>
    <w:rsid w:val="00EF24BA"/>
    <w:rsid w:val="00EF2843"/>
    <w:rsid w:val="00EF3264"/>
    <w:rsid w:val="00EF43B1"/>
    <w:rsid w:val="00EF4DC1"/>
    <w:rsid w:val="00F00EB5"/>
    <w:rsid w:val="00F05230"/>
    <w:rsid w:val="00F124CC"/>
    <w:rsid w:val="00F125F1"/>
    <w:rsid w:val="00F13006"/>
    <w:rsid w:val="00F15A34"/>
    <w:rsid w:val="00F17AD3"/>
    <w:rsid w:val="00F20C06"/>
    <w:rsid w:val="00F222A5"/>
    <w:rsid w:val="00F2255A"/>
    <w:rsid w:val="00F261C1"/>
    <w:rsid w:val="00F26BBA"/>
    <w:rsid w:val="00F30C51"/>
    <w:rsid w:val="00F34A20"/>
    <w:rsid w:val="00F36E17"/>
    <w:rsid w:val="00F400FC"/>
    <w:rsid w:val="00F454C6"/>
    <w:rsid w:val="00F46F2D"/>
    <w:rsid w:val="00F51829"/>
    <w:rsid w:val="00F54852"/>
    <w:rsid w:val="00F5678E"/>
    <w:rsid w:val="00F5689F"/>
    <w:rsid w:val="00F57F85"/>
    <w:rsid w:val="00F62628"/>
    <w:rsid w:val="00F73032"/>
    <w:rsid w:val="00F764B5"/>
    <w:rsid w:val="00F8727D"/>
    <w:rsid w:val="00F902A8"/>
    <w:rsid w:val="00F9144E"/>
    <w:rsid w:val="00F92E7E"/>
    <w:rsid w:val="00F932EA"/>
    <w:rsid w:val="00FA1826"/>
    <w:rsid w:val="00FA4124"/>
    <w:rsid w:val="00FA58EE"/>
    <w:rsid w:val="00FB0CA9"/>
    <w:rsid w:val="00FB327B"/>
    <w:rsid w:val="00FB6053"/>
    <w:rsid w:val="00FC1D2B"/>
    <w:rsid w:val="00FC2F74"/>
    <w:rsid w:val="00FC5FB2"/>
    <w:rsid w:val="00FC62C9"/>
    <w:rsid w:val="00FD0101"/>
    <w:rsid w:val="00FD0110"/>
    <w:rsid w:val="00FD02B5"/>
    <w:rsid w:val="00FD2796"/>
    <w:rsid w:val="00FD347F"/>
    <w:rsid w:val="00FD6589"/>
    <w:rsid w:val="00FD7E40"/>
    <w:rsid w:val="00FE3CAA"/>
    <w:rsid w:val="00FE40B1"/>
    <w:rsid w:val="00FE421C"/>
    <w:rsid w:val="00FE4378"/>
    <w:rsid w:val="00FE774B"/>
    <w:rsid w:val="00FF0A72"/>
    <w:rsid w:val="00FF0EE6"/>
    <w:rsid w:val="00FF59DF"/>
    <w:rsid w:val="00FF6B76"/>
    <w:rsid w:val="00FF6E1A"/>
    <w:rsid w:val="00FF7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CC64FB"/>
  <w15:chartTrackingRefBased/>
  <w15:docId w15:val="{BE1204D8-ACD6-4933-86F8-3ED424FF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rsid w:val="00436408"/>
    <w:pPr>
      <w:spacing w:after="140" w:line="288" w:lineRule="auto"/>
    </w:pPr>
    <w:rPr>
      <w:rFonts w:ascii="Calibri" w:eastAsia="Times New Roman" w:hAnsi="Calibri" w:cs="Times New Roman"/>
      <w:color w:val="000000"/>
      <w:sz w:val="24"/>
      <w:szCs w:val="24"/>
    </w:rPr>
  </w:style>
  <w:style w:type="paragraph" w:styleId="Heading1">
    <w:name w:val="heading 1"/>
    <w:basedOn w:val="Normal"/>
    <w:next w:val="Normal"/>
    <w:link w:val="Heading1Char"/>
    <w:qFormat/>
    <w:rsid w:val="00C61CAC"/>
    <w:pPr>
      <w:keepNext/>
      <w:spacing w:before="720" w:after="200" w:line="216" w:lineRule="auto"/>
      <w:outlineLvl w:val="0"/>
    </w:pPr>
    <w:rPr>
      <w:rFonts w:cs="Arial"/>
      <w:b/>
      <w:bCs/>
      <w:color w:val="156EA5" w:themeColor="text2"/>
      <w:kern w:val="32"/>
      <w:sz w:val="52"/>
      <w:szCs w:val="32"/>
    </w:rPr>
  </w:style>
  <w:style w:type="paragraph" w:styleId="Heading2">
    <w:name w:val="heading 2"/>
    <w:basedOn w:val="Heading1"/>
    <w:next w:val="Normal"/>
    <w:link w:val="Heading2Char"/>
    <w:qFormat/>
    <w:rsid w:val="00C61CAC"/>
    <w:pPr>
      <w:spacing w:before="560" w:after="100"/>
      <w:outlineLvl w:val="1"/>
    </w:pPr>
    <w:rPr>
      <w:iCs/>
      <w:sz w:val="42"/>
      <w:szCs w:val="28"/>
    </w:rPr>
  </w:style>
  <w:style w:type="paragraph" w:styleId="Heading3">
    <w:name w:val="heading 3"/>
    <w:basedOn w:val="Normal"/>
    <w:next w:val="Normal"/>
    <w:link w:val="Heading3Char"/>
    <w:qFormat/>
    <w:rsid w:val="00C61CAC"/>
    <w:pPr>
      <w:keepNext/>
      <w:spacing w:before="480" w:after="100" w:line="216" w:lineRule="auto"/>
      <w:outlineLvl w:val="2"/>
    </w:pPr>
    <w:rPr>
      <w:rFonts w:cs="Arial"/>
      <w:b/>
      <w:bCs/>
      <w:iCs/>
      <w:color w:val="156EA5" w:themeColor="text2"/>
      <w:sz w:val="36"/>
      <w:szCs w:val="26"/>
    </w:rPr>
  </w:style>
  <w:style w:type="paragraph" w:styleId="Heading4">
    <w:name w:val="heading 4"/>
    <w:basedOn w:val="Normal"/>
    <w:next w:val="Normal"/>
    <w:link w:val="Heading4Char"/>
    <w:qFormat/>
    <w:rsid w:val="00C61CAC"/>
    <w:pPr>
      <w:keepNext/>
      <w:spacing w:before="400" w:after="100" w:line="216" w:lineRule="auto"/>
      <w:outlineLvl w:val="3"/>
    </w:pPr>
    <w:rPr>
      <w:b/>
      <w:bCs/>
      <w:color w:val="156EA5" w:themeColor="text2"/>
      <w:sz w:val="32"/>
      <w:szCs w:val="28"/>
    </w:rPr>
  </w:style>
  <w:style w:type="paragraph" w:styleId="Heading5">
    <w:name w:val="heading 5"/>
    <w:aliases w:val="z Do Not Use 4"/>
    <w:basedOn w:val="Normal"/>
    <w:next w:val="Normal"/>
    <w:link w:val="Heading5Char"/>
    <w:rsid w:val="00C61CAC"/>
    <w:pPr>
      <w:spacing w:before="360" w:after="100"/>
      <w:outlineLvl w:val="4"/>
    </w:pPr>
    <w:rPr>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C61CAC"/>
    <w:pPr>
      <w:keepNext/>
      <w:keepLines/>
      <w:spacing w:before="40" w:after="0"/>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link w:val="BodytextChar"/>
    <w:qFormat/>
    <w:rsid w:val="00C61CAC"/>
  </w:style>
  <w:style w:type="character" w:customStyle="1" w:styleId="Heading1Char">
    <w:name w:val="Heading 1 Char"/>
    <w:basedOn w:val="DefaultParagraphFont"/>
    <w:link w:val="Heading1"/>
    <w:rsid w:val="00C61CAC"/>
    <w:rPr>
      <w:rFonts w:ascii="Calibri" w:eastAsia="Times New Roman" w:hAnsi="Calibri" w:cs="Arial"/>
      <w:b/>
      <w:bCs/>
      <w:color w:val="156EA5" w:themeColor="text2"/>
      <w:kern w:val="32"/>
      <w:sz w:val="52"/>
      <w:szCs w:val="32"/>
    </w:rPr>
  </w:style>
  <w:style w:type="character" w:customStyle="1" w:styleId="Heading2Char">
    <w:name w:val="Heading 2 Char"/>
    <w:basedOn w:val="DefaultParagraphFont"/>
    <w:link w:val="Heading2"/>
    <w:rsid w:val="00C61CAC"/>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C61CAC"/>
    <w:rPr>
      <w:rFonts w:ascii="Calibri" w:eastAsia="Times New Roman" w:hAnsi="Calibri" w:cs="Arial"/>
      <w:b/>
      <w:bCs/>
      <w:iCs/>
      <w:color w:val="156EA5" w:themeColor="text2"/>
      <w:sz w:val="36"/>
      <w:szCs w:val="26"/>
    </w:rPr>
  </w:style>
  <w:style w:type="character" w:customStyle="1" w:styleId="Heading4Char">
    <w:name w:val="Heading 4 Char"/>
    <w:basedOn w:val="DefaultParagraphFont"/>
    <w:link w:val="Heading4"/>
    <w:rsid w:val="00C61CAC"/>
    <w:rPr>
      <w:rFonts w:ascii="Calibri" w:eastAsia="Times New Roman" w:hAnsi="Calibri" w:cs="Times New Roman"/>
      <w:b/>
      <w:bCs/>
      <w:color w:val="156EA5" w:themeColor="text2"/>
      <w:sz w:val="32"/>
      <w:szCs w:val="28"/>
    </w:rPr>
  </w:style>
  <w:style w:type="character" w:customStyle="1" w:styleId="Heading5Char">
    <w:name w:val="Heading 5 Char"/>
    <w:aliases w:val="z Do Not Use 4 Char"/>
    <w:basedOn w:val="DefaultParagraphFont"/>
    <w:link w:val="Heading5"/>
    <w:rsid w:val="00C61CAC"/>
    <w:rPr>
      <w:rFonts w:ascii="Calibri" w:eastAsia="Times New Roman" w:hAnsi="Calibri" w:cs="Times New Roman"/>
      <w:b/>
      <w:bCs/>
      <w:iCs/>
      <w:color w:val="2CA6C2" w:themeColor="background2"/>
      <w:sz w:val="28"/>
      <w:szCs w:val="26"/>
    </w:rPr>
  </w:style>
  <w:style w:type="character" w:customStyle="1" w:styleId="BodytextChar">
    <w:name w:val="Body text Char"/>
    <w:basedOn w:val="DefaultParagraphFont"/>
    <w:link w:val="BodyText1"/>
    <w:rsid w:val="00C61CAC"/>
    <w:rPr>
      <w:rFonts w:ascii="Calibri" w:eastAsia="Times New Roman" w:hAnsi="Calibri" w:cs="Times New Roman"/>
      <w:color w:val="000000"/>
      <w:sz w:val="24"/>
      <w:szCs w:val="24"/>
    </w:rPr>
  </w:style>
  <w:style w:type="character" w:styleId="BookTitle">
    <w:name w:val="Book Title"/>
    <w:aliases w:val="z Do Not Use 16"/>
    <w:basedOn w:val="DefaultParagraphFont"/>
    <w:uiPriority w:val="33"/>
    <w:rsid w:val="00C61CAC"/>
    <w:rPr>
      <w:b/>
      <w:bCs/>
      <w:i/>
      <w:iCs/>
      <w:spacing w:val="5"/>
    </w:rPr>
  </w:style>
  <w:style w:type="paragraph" w:customStyle="1" w:styleId="BulletLetterLower">
    <w:name w:val="Bullet Letter Lower"/>
    <w:basedOn w:val="Normal"/>
    <w:link w:val="BulletLetterLowerChar"/>
    <w:rsid w:val="001D1138"/>
    <w:pPr>
      <w:numPr>
        <w:ilvl w:val="1"/>
        <w:numId w:val="6"/>
      </w:numPr>
      <w:spacing w:after="120"/>
      <w:ind w:left="425" w:hanging="425"/>
    </w:pPr>
  </w:style>
  <w:style w:type="character" w:customStyle="1" w:styleId="BulletLetterLowerChar">
    <w:name w:val="Bullet Letter Lower Char"/>
    <w:basedOn w:val="DefaultParagraphFont"/>
    <w:link w:val="BulletLetterLower"/>
    <w:rsid w:val="001D1138"/>
    <w:rPr>
      <w:rFonts w:ascii="Calibri" w:eastAsia="Times New Roman" w:hAnsi="Calibri" w:cs="Times New Roman"/>
      <w:color w:val="000000"/>
      <w:sz w:val="24"/>
      <w:szCs w:val="24"/>
    </w:rPr>
  </w:style>
  <w:style w:type="paragraph" w:customStyle="1" w:styleId="BulletLetterLowerIndent">
    <w:name w:val="Bullet Letter Lower Indent"/>
    <w:basedOn w:val="BulletLetterLower"/>
    <w:link w:val="BulletLetterLowerIndentChar"/>
    <w:rsid w:val="002C1C3F"/>
    <w:pPr>
      <w:numPr>
        <w:ilvl w:val="2"/>
        <w:numId w:val="2"/>
      </w:numPr>
      <w:ind w:left="851" w:hanging="425"/>
    </w:pPr>
  </w:style>
  <w:style w:type="character" w:customStyle="1" w:styleId="BulletLetterLowerIndentChar">
    <w:name w:val="Bullet Letter Lower Indent Char"/>
    <w:basedOn w:val="BulletLetterLowerChar"/>
    <w:link w:val="BulletLetterLowerIndent"/>
    <w:rsid w:val="002C1C3F"/>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1D1138"/>
    <w:pPr>
      <w:numPr>
        <w:numId w:val="3"/>
      </w:numPr>
      <w:spacing w:after="120"/>
      <w:ind w:left="425" w:hanging="425"/>
    </w:pPr>
  </w:style>
  <w:style w:type="character" w:customStyle="1" w:styleId="BulletLetterUpperChar">
    <w:name w:val="Bullet Letter Upper Char"/>
    <w:basedOn w:val="BodytextChar"/>
    <w:link w:val="BulletLetterUpper"/>
    <w:rsid w:val="001D1138"/>
    <w:rPr>
      <w:rFonts w:ascii="Calibri" w:eastAsia="Times New Roman" w:hAnsi="Calibri" w:cs="Times New Roman"/>
      <w:color w:val="000000"/>
      <w:sz w:val="24"/>
      <w:szCs w:val="24"/>
    </w:rPr>
  </w:style>
  <w:style w:type="paragraph" w:customStyle="1" w:styleId="BulletLetterRoman">
    <w:name w:val="Bullet Letter Roman"/>
    <w:basedOn w:val="BulletLetterUpper"/>
    <w:link w:val="BulletLetterRomanChar"/>
    <w:rsid w:val="002C1C3F"/>
    <w:pPr>
      <w:numPr>
        <w:numId w:val="5"/>
      </w:numPr>
      <w:ind w:left="426" w:hanging="426"/>
    </w:pPr>
  </w:style>
  <w:style w:type="character" w:customStyle="1" w:styleId="BulletLetterRomanChar">
    <w:name w:val="Bullet Letter Roman Char"/>
    <w:basedOn w:val="BulletLetterUpperChar"/>
    <w:link w:val="BulletLetterRoman"/>
    <w:rsid w:val="002C1C3F"/>
    <w:rPr>
      <w:rFonts w:ascii="Calibri" w:eastAsia="Times New Roman" w:hAnsi="Calibri" w:cs="Times New Roman"/>
      <w:color w:val="000000"/>
      <w:sz w:val="24"/>
      <w:szCs w:val="24"/>
    </w:rPr>
  </w:style>
  <w:style w:type="paragraph" w:customStyle="1" w:styleId="BulletLetterRomanIndent">
    <w:name w:val="Bullet Letter Roman Indent"/>
    <w:basedOn w:val="BulletLetterRoman"/>
    <w:link w:val="BulletLetterRomanIndentChar"/>
    <w:rsid w:val="002C1C3F"/>
    <w:pPr>
      <w:numPr>
        <w:ilvl w:val="1"/>
        <w:numId w:val="4"/>
      </w:numPr>
      <w:ind w:left="851" w:hanging="425"/>
    </w:pPr>
  </w:style>
  <w:style w:type="character" w:customStyle="1" w:styleId="BulletLetterRomanIndentChar">
    <w:name w:val="Bullet Letter Roman Indent Char"/>
    <w:basedOn w:val="BulletLetterRomanChar"/>
    <w:link w:val="BulletLetterRomanIndent"/>
    <w:rsid w:val="002C1C3F"/>
    <w:rPr>
      <w:rFonts w:ascii="Calibri" w:eastAsia="Times New Roman" w:hAnsi="Calibri" w:cs="Times New Roman"/>
      <w:color w:val="000000"/>
      <w:sz w:val="24"/>
      <w:szCs w:val="24"/>
    </w:rPr>
  </w:style>
  <w:style w:type="paragraph" w:customStyle="1" w:styleId="BulletListNumbered">
    <w:name w:val="Bullet List Numbered"/>
    <w:basedOn w:val="Normal"/>
    <w:link w:val="BulletListNumberedChar"/>
    <w:rsid w:val="001D1138"/>
    <w:pPr>
      <w:spacing w:after="120"/>
    </w:pPr>
  </w:style>
  <w:style w:type="character" w:customStyle="1" w:styleId="BulletListNumberedChar">
    <w:name w:val="Bullet List Numbered Char"/>
    <w:basedOn w:val="DefaultParagraphFont"/>
    <w:link w:val="BulletListNumbered"/>
    <w:rsid w:val="001D1138"/>
    <w:rPr>
      <w:rFonts w:ascii="Calibri" w:eastAsia="Times New Roman" w:hAnsi="Calibri" w:cs="Times New Roman"/>
      <w:color w:val="000000"/>
      <w:sz w:val="24"/>
      <w:szCs w:val="24"/>
    </w:rPr>
  </w:style>
  <w:style w:type="paragraph" w:customStyle="1" w:styleId="BulletPointList">
    <w:name w:val="Bullet Point List"/>
    <w:basedOn w:val="Normal"/>
    <w:link w:val="BulletPointListChar"/>
    <w:qFormat/>
    <w:rsid w:val="001D1138"/>
    <w:pPr>
      <w:numPr>
        <w:numId w:val="1"/>
      </w:numPr>
      <w:spacing w:after="120"/>
      <w:ind w:left="425" w:hanging="425"/>
    </w:pPr>
  </w:style>
  <w:style w:type="character" w:customStyle="1" w:styleId="BulletPointListChar">
    <w:name w:val="Bullet Point List Char"/>
    <w:basedOn w:val="DefaultParagraphFont"/>
    <w:link w:val="BulletPointList"/>
    <w:rsid w:val="001D1138"/>
    <w:rPr>
      <w:rFonts w:ascii="Calibri" w:eastAsia="Times New Roman" w:hAnsi="Calibri" w:cs="Times New Roman"/>
      <w:color w:val="000000"/>
      <w:sz w:val="24"/>
      <w:szCs w:val="24"/>
    </w:rPr>
  </w:style>
  <w:style w:type="paragraph" w:customStyle="1" w:styleId="BulletPointListIndent">
    <w:name w:val="Bullet Point List Indent"/>
    <w:basedOn w:val="BulletPointList"/>
    <w:link w:val="BulletPointListIndentChar"/>
    <w:rsid w:val="002C1C3F"/>
    <w:pPr>
      <w:numPr>
        <w:ilvl w:val="1"/>
      </w:numPr>
      <w:ind w:left="851" w:hanging="425"/>
    </w:pPr>
  </w:style>
  <w:style w:type="character" w:customStyle="1" w:styleId="BulletPointListIndentChar">
    <w:name w:val="Bullet Point List Indent Char"/>
    <w:basedOn w:val="BulletPointListChar"/>
    <w:link w:val="BulletPointListIndent"/>
    <w:rsid w:val="002C1C3F"/>
    <w:rPr>
      <w:rFonts w:ascii="Calibri" w:eastAsia="Times New Roman" w:hAnsi="Calibri" w:cs="Times New Roman"/>
      <w:color w:val="000000"/>
      <w:sz w:val="24"/>
      <w:szCs w:val="24"/>
    </w:rPr>
  </w:style>
  <w:style w:type="paragraph" w:customStyle="1" w:styleId="BulletPointListIndent3">
    <w:name w:val="Bullet Point List Indent 3"/>
    <w:basedOn w:val="BulletPointListIndent"/>
    <w:link w:val="BulletPointListIndent3Char"/>
    <w:rsid w:val="002C1C3F"/>
    <w:pPr>
      <w:numPr>
        <w:ilvl w:val="2"/>
      </w:numPr>
      <w:ind w:left="1276" w:hanging="425"/>
    </w:pPr>
  </w:style>
  <w:style w:type="character" w:customStyle="1" w:styleId="BulletPointListIndent3Char">
    <w:name w:val="Bullet Point List Indent 3 Char"/>
    <w:basedOn w:val="BulletPointListIndentChar"/>
    <w:link w:val="BulletPointListIndent3"/>
    <w:rsid w:val="002C1C3F"/>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2C1C3F"/>
    <w:pPr>
      <w:numPr>
        <w:ilvl w:val="3"/>
      </w:numPr>
      <w:ind w:left="1701" w:hanging="425"/>
    </w:pPr>
  </w:style>
  <w:style w:type="character" w:customStyle="1" w:styleId="Bulletpointlistindent4Char">
    <w:name w:val="Bullet point list indent 4 Char"/>
    <w:basedOn w:val="BulletPointListIndent3Char"/>
    <w:link w:val="Bulletpointlistindent4"/>
    <w:rsid w:val="002C1C3F"/>
    <w:rPr>
      <w:rFonts w:ascii="Calibri" w:eastAsia="Times New Roman" w:hAnsi="Calibri" w:cs="Times New Roman"/>
      <w:color w:val="000000"/>
      <w:sz w:val="24"/>
      <w:szCs w:val="24"/>
    </w:rPr>
  </w:style>
  <w:style w:type="paragraph" w:customStyle="1" w:styleId="CaptionStyle">
    <w:name w:val="Caption Style"/>
    <w:basedOn w:val="Normal"/>
    <w:link w:val="CaptionStyleChar"/>
    <w:qFormat/>
    <w:rsid w:val="00C61CAC"/>
    <w:rPr>
      <w:b/>
    </w:rPr>
  </w:style>
  <w:style w:type="character" w:customStyle="1" w:styleId="CaptionStyleChar">
    <w:name w:val="Caption Style Char"/>
    <w:basedOn w:val="DefaultParagraphFont"/>
    <w:link w:val="CaptionStyle"/>
    <w:rsid w:val="00C61CAC"/>
    <w:rPr>
      <w:rFonts w:ascii="Calibri" w:eastAsia="Times New Roman" w:hAnsi="Calibri" w:cs="Times New Roman"/>
      <w:b/>
      <w:color w:val="000000"/>
      <w:sz w:val="24"/>
      <w:szCs w:val="24"/>
    </w:rPr>
  </w:style>
  <w:style w:type="paragraph" w:customStyle="1" w:styleId="Charttitle">
    <w:name w:val="Chart title"/>
    <w:basedOn w:val="Heading5"/>
    <w:link w:val="CharttitleChar"/>
    <w:qFormat/>
    <w:rsid w:val="00C61CAC"/>
    <w:pPr>
      <w:spacing w:line="240" w:lineRule="auto"/>
    </w:pPr>
  </w:style>
  <w:style w:type="character" w:customStyle="1" w:styleId="CharttitleChar">
    <w:name w:val="Chart title Char"/>
    <w:basedOn w:val="Heading5Char"/>
    <w:link w:val="Charttitle"/>
    <w:rsid w:val="00C61CAC"/>
    <w:rPr>
      <w:rFonts w:ascii="Calibri" w:eastAsia="Times New Roman" w:hAnsi="Calibri" w:cs="Times New Roman"/>
      <w:b/>
      <w:bCs/>
      <w:iCs/>
      <w:color w:val="2CA6C2" w:themeColor="background2"/>
      <w:sz w:val="28"/>
      <w:szCs w:val="26"/>
    </w:rPr>
  </w:style>
  <w:style w:type="character" w:styleId="Emphasis">
    <w:name w:val="Emphasis"/>
    <w:aliases w:val="z Do Not Use 10"/>
    <w:basedOn w:val="DefaultParagraphFont"/>
    <w:uiPriority w:val="20"/>
    <w:rsid w:val="00C61CAC"/>
    <w:rPr>
      <w:i/>
      <w:iCs/>
    </w:rPr>
  </w:style>
  <w:style w:type="paragraph" w:styleId="Footer">
    <w:name w:val="footer"/>
    <w:basedOn w:val="Normal"/>
    <w:link w:val="FooterChar"/>
    <w:rsid w:val="00C61CAC"/>
    <w:pPr>
      <w:tabs>
        <w:tab w:val="center" w:pos="4320"/>
        <w:tab w:val="right" w:pos="8640"/>
      </w:tabs>
      <w:spacing w:after="160"/>
    </w:pPr>
    <w:rPr>
      <w:sz w:val="18"/>
    </w:rPr>
  </w:style>
  <w:style w:type="character" w:customStyle="1" w:styleId="FooterChar">
    <w:name w:val="Footer Char"/>
    <w:basedOn w:val="DefaultParagraphFont"/>
    <w:link w:val="Footer"/>
    <w:uiPriority w:val="99"/>
    <w:rsid w:val="00C61CAC"/>
    <w:rPr>
      <w:rFonts w:ascii="Calibri" w:eastAsia="Times New Roman" w:hAnsi="Calibri" w:cs="Times New Roman"/>
      <w:color w:val="000000"/>
      <w:sz w:val="18"/>
      <w:szCs w:val="24"/>
    </w:rPr>
  </w:style>
  <w:style w:type="paragraph" w:customStyle="1" w:styleId="Footnote">
    <w:name w:val="Footnote"/>
    <w:basedOn w:val="Normal"/>
    <w:link w:val="FootnoteChar"/>
    <w:qFormat/>
    <w:rsid w:val="00C61CAC"/>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C61CAC"/>
    <w:rPr>
      <w:rFonts w:asciiTheme="majorHAnsi" w:hAnsiTheme="majorHAnsi" w:cstheme="majorHAnsi"/>
      <w:sz w:val="20"/>
      <w:szCs w:val="18"/>
    </w:rPr>
  </w:style>
  <w:style w:type="table" w:customStyle="1" w:styleId="GMCTable">
    <w:name w:val="GMC Table"/>
    <w:basedOn w:val="TableNormal"/>
    <w:uiPriority w:val="99"/>
    <w:rsid w:val="00C61CAC"/>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table" w:styleId="GridTable1Light-Accent5">
    <w:name w:val="Grid Table 1 Light Accent 5"/>
    <w:basedOn w:val="TableNormal"/>
    <w:uiPriority w:val="46"/>
    <w:rsid w:val="00C61CAC"/>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C61CAC"/>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character" w:styleId="IntenseEmphasis">
    <w:name w:val="Intense Emphasis"/>
    <w:aliases w:val="z Do Not Use 11"/>
    <w:basedOn w:val="DefaultParagraphFont"/>
    <w:uiPriority w:val="21"/>
    <w:rsid w:val="00C61CAC"/>
    <w:rPr>
      <w:i/>
      <w:iCs/>
      <w:color w:val="F39200" w:themeColor="accent1"/>
    </w:rPr>
  </w:style>
  <w:style w:type="paragraph" w:styleId="IntenseQuote">
    <w:name w:val="Intense Quote"/>
    <w:aliases w:val="z Do Not Use 13"/>
    <w:basedOn w:val="Normal"/>
    <w:next w:val="Normal"/>
    <w:link w:val="IntenseQuoteChar"/>
    <w:uiPriority w:val="30"/>
    <w:rsid w:val="00C61CAC"/>
    <w:pPr>
      <w:pBdr>
        <w:top w:val="single" w:sz="4" w:space="10" w:color="F39200" w:themeColor="accent1"/>
        <w:bottom w:val="single" w:sz="4" w:space="10" w:color="F39200" w:themeColor="accent1"/>
      </w:pBdr>
      <w:spacing w:before="360" w:after="360"/>
      <w:ind w:left="864" w:right="864"/>
      <w:jc w:val="center"/>
    </w:pPr>
    <w:rPr>
      <w:i/>
      <w:iCs/>
      <w:color w:val="F39200" w:themeColor="accent1"/>
    </w:rPr>
  </w:style>
  <w:style w:type="character" w:customStyle="1" w:styleId="Heading6Char">
    <w:name w:val="Heading 6 Char"/>
    <w:aliases w:val="z Do Not Use 6 Char"/>
    <w:basedOn w:val="DefaultParagraphFont"/>
    <w:link w:val="Heading6"/>
    <w:uiPriority w:val="9"/>
    <w:semiHidden/>
    <w:rsid w:val="00C61CAC"/>
    <w:rPr>
      <w:rFonts w:asciiTheme="majorHAnsi" w:eastAsiaTheme="majorEastAsia" w:hAnsiTheme="majorHAnsi" w:cstheme="majorBidi"/>
      <w:color w:val="794800" w:themeColor="accent1" w:themeShade="7F"/>
      <w:sz w:val="24"/>
      <w:szCs w:val="24"/>
    </w:rPr>
  </w:style>
  <w:style w:type="character" w:customStyle="1" w:styleId="IntenseQuoteChar">
    <w:name w:val="Intense Quote Char"/>
    <w:aliases w:val="z Do Not Use 13 Char"/>
    <w:basedOn w:val="DefaultParagraphFont"/>
    <w:link w:val="IntenseQuote"/>
    <w:uiPriority w:val="30"/>
    <w:rsid w:val="00C61CAC"/>
    <w:rPr>
      <w:rFonts w:ascii="Calibri" w:eastAsia="Times New Roman" w:hAnsi="Calibri" w:cs="Times New Roman"/>
      <w:i/>
      <w:iCs/>
      <w:color w:val="F39200" w:themeColor="accent1"/>
      <w:sz w:val="24"/>
      <w:szCs w:val="24"/>
    </w:rPr>
  </w:style>
  <w:style w:type="character" w:styleId="IntenseReference">
    <w:name w:val="Intense Reference"/>
    <w:aliases w:val="z Do Not Use 15"/>
    <w:basedOn w:val="DefaultParagraphFont"/>
    <w:uiPriority w:val="32"/>
    <w:rsid w:val="00C61CAC"/>
    <w:rPr>
      <w:b/>
      <w:bCs/>
      <w:smallCaps/>
      <w:color w:val="F39200" w:themeColor="accent1"/>
      <w:spacing w:val="5"/>
    </w:rPr>
  </w:style>
  <w:style w:type="paragraph" w:styleId="ListParagraph">
    <w:name w:val="List Paragraph"/>
    <w:aliases w:val="z Do Not Use 17"/>
    <w:basedOn w:val="Normal"/>
    <w:link w:val="ListParagraphChar"/>
    <w:uiPriority w:val="34"/>
    <w:qFormat/>
    <w:rsid w:val="00C61CAC"/>
    <w:pPr>
      <w:ind w:left="720"/>
      <w:contextualSpacing/>
    </w:pPr>
  </w:style>
  <w:style w:type="paragraph" w:styleId="NoSpacing">
    <w:name w:val="No Spacing"/>
    <w:aliases w:val="z Do Not Use 5"/>
    <w:uiPriority w:val="1"/>
    <w:rsid w:val="00C61CAC"/>
    <w:pPr>
      <w:spacing w:after="0" w:line="240" w:lineRule="auto"/>
    </w:pPr>
    <w:rPr>
      <w:rFonts w:ascii="Calibri" w:eastAsia="Times New Roman" w:hAnsi="Calibri" w:cs="Times New Roman"/>
      <w:color w:val="000000"/>
      <w:sz w:val="24"/>
      <w:szCs w:val="24"/>
    </w:rPr>
  </w:style>
  <w:style w:type="paragraph" w:styleId="Quote">
    <w:name w:val="Quote"/>
    <w:aliases w:val="z Do Not Use 12"/>
    <w:basedOn w:val="Normal"/>
    <w:next w:val="Normal"/>
    <w:link w:val="QuoteChar"/>
    <w:uiPriority w:val="29"/>
    <w:rsid w:val="00C61CAC"/>
    <w:pPr>
      <w:spacing w:before="200" w:after="160"/>
      <w:ind w:left="864" w:right="864"/>
      <w:jc w:val="center"/>
    </w:pPr>
    <w:rPr>
      <w:i/>
      <w:iCs/>
      <w:color w:val="1D49B2" w:themeColor="text1" w:themeTint="BF"/>
    </w:rPr>
  </w:style>
  <w:style w:type="character" w:customStyle="1" w:styleId="QuoteChar">
    <w:name w:val="Quote Char"/>
    <w:aliases w:val="z Do Not Use 12 Char"/>
    <w:basedOn w:val="DefaultParagraphFont"/>
    <w:link w:val="Quote"/>
    <w:uiPriority w:val="29"/>
    <w:rsid w:val="00C61CAC"/>
    <w:rPr>
      <w:rFonts w:ascii="Calibri" w:eastAsia="Times New Roman" w:hAnsi="Calibri" w:cs="Times New Roman"/>
      <w:i/>
      <w:iCs/>
      <w:color w:val="1D49B2" w:themeColor="text1" w:themeTint="BF"/>
      <w:sz w:val="24"/>
      <w:szCs w:val="24"/>
    </w:rPr>
  </w:style>
  <w:style w:type="character" w:styleId="Strong">
    <w:name w:val="Strong"/>
    <w:aliases w:val="z Do Not Use 3"/>
    <w:basedOn w:val="DefaultParagraphFont"/>
    <w:uiPriority w:val="22"/>
    <w:qFormat/>
    <w:rsid w:val="00C61CAC"/>
    <w:rPr>
      <w:b/>
      <w:bCs/>
    </w:rPr>
  </w:style>
  <w:style w:type="paragraph" w:styleId="Subtitle">
    <w:name w:val="Subtitle"/>
    <w:aliases w:val="z Do Not Use 8"/>
    <w:basedOn w:val="Normal"/>
    <w:next w:val="Normal"/>
    <w:link w:val="SubtitleChar"/>
    <w:uiPriority w:val="11"/>
    <w:rsid w:val="00C61CAC"/>
    <w:pPr>
      <w:numPr>
        <w:ilvl w:val="1"/>
      </w:numPr>
      <w:spacing w:after="160"/>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C61CAC"/>
    <w:rPr>
      <w:rFonts w:eastAsiaTheme="minorEastAsia"/>
      <w:color w:val="2358D6" w:themeColor="text1" w:themeTint="A5"/>
      <w:spacing w:val="15"/>
    </w:rPr>
  </w:style>
  <w:style w:type="character" w:styleId="SubtleEmphasis">
    <w:name w:val="Subtle Emphasis"/>
    <w:aliases w:val="z Do Not Use 9"/>
    <w:basedOn w:val="DefaultParagraphFont"/>
    <w:uiPriority w:val="19"/>
    <w:rsid w:val="00C61CAC"/>
    <w:rPr>
      <w:i/>
      <w:iCs/>
      <w:color w:val="1D49B2" w:themeColor="text1" w:themeTint="BF"/>
    </w:rPr>
  </w:style>
  <w:style w:type="character" w:styleId="SubtleReference">
    <w:name w:val="Subtle Reference"/>
    <w:aliases w:val="z Do Not Use 14"/>
    <w:basedOn w:val="DefaultParagraphFont"/>
    <w:uiPriority w:val="31"/>
    <w:rsid w:val="00C61CAC"/>
    <w:rPr>
      <w:smallCaps/>
      <w:color w:val="2358D6" w:themeColor="text1" w:themeTint="A5"/>
    </w:rPr>
  </w:style>
  <w:style w:type="table" w:styleId="TableGrid">
    <w:name w:val="Table Grid"/>
    <w:basedOn w:val="TableNormal"/>
    <w:uiPriority w:val="39"/>
    <w:rsid w:val="00C61C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z Do Not Use 7"/>
    <w:basedOn w:val="Normal"/>
    <w:next w:val="Normal"/>
    <w:link w:val="TitleChar"/>
    <w:uiPriority w:val="10"/>
    <w:rsid w:val="00C61CAC"/>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aliases w:val="z Do Not Use 7 Char"/>
    <w:basedOn w:val="DefaultParagraphFont"/>
    <w:link w:val="Title"/>
    <w:uiPriority w:val="10"/>
    <w:rsid w:val="00C61CAC"/>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9D52E4"/>
    <w:pPr>
      <w:tabs>
        <w:tab w:val="center" w:pos="4513"/>
        <w:tab w:val="right" w:pos="9026"/>
      </w:tabs>
      <w:spacing w:after="0" w:line="240" w:lineRule="auto"/>
    </w:pPr>
  </w:style>
  <w:style w:type="character" w:customStyle="1" w:styleId="HeaderChar">
    <w:name w:val="Header Char"/>
    <w:basedOn w:val="DefaultParagraphFont"/>
    <w:link w:val="Header"/>
    <w:rsid w:val="009D52E4"/>
    <w:rPr>
      <w:rFonts w:ascii="Calibri" w:eastAsia="Times New Roman" w:hAnsi="Calibri" w:cs="Times New Roman"/>
      <w:color w:val="000000"/>
      <w:sz w:val="24"/>
      <w:szCs w:val="24"/>
    </w:rPr>
  </w:style>
  <w:style w:type="character" w:styleId="CommentReference">
    <w:name w:val="annotation reference"/>
    <w:basedOn w:val="DefaultParagraphFont"/>
    <w:semiHidden/>
    <w:unhideWhenUsed/>
    <w:rsid w:val="00E6456B"/>
    <w:rPr>
      <w:sz w:val="16"/>
      <w:szCs w:val="16"/>
    </w:rPr>
  </w:style>
  <w:style w:type="paragraph" w:styleId="CommentText">
    <w:name w:val="annotation text"/>
    <w:basedOn w:val="Normal"/>
    <w:link w:val="CommentTextChar"/>
    <w:unhideWhenUsed/>
    <w:rsid w:val="00E6456B"/>
    <w:pPr>
      <w:spacing w:line="240" w:lineRule="auto"/>
    </w:pPr>
    <w:rPr>
      <w:sz w:val="20"/>
      <w:szCs w:val="20"/>
    </w:rPr>
  </w:style>
  <w:style w:type="character" w:customStyle="1" w:styleId="CommentTextChar">
    <w:name w:val="Comment Text Char"/>
    <w:basedOn w:val="DefaultParagraphFont"/>
    <w:link w:val="CommentText"/>
    <w:rsid w:val="00E6456B"/>
    <w:rPr>
      <w:rFonts w:ascii="Calibri" w:eastAsia="Times New Roman"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6456B"/>
    <w:rPr>
      <w:b/>
      <w:bCs/>
    </w:rPr>
  </w:style>
  <w:style w:type="character" w:customStyle="1" w:styleId="CommentSubjectChar">
    <w:name w:val="Comment Subject Char"/>
    <w:basedOn w:val="CommentTextChar"/>
    <w:link w:val="CommentSubject"/>
    <w:uiPriority w:val="99"/>
    <w:semiHidden/>
    <w:rsid w:val="00E6456B"/>
    <w:rPr>
      <w:rFonts w:ascii="Calibri" w:eastAsia="Times New Roman" w:hAnsi="Calibri" w:cs="Times New Roman"/>
      <w:b/>
      <w:bCs/>
      <w:color w:val="000000"/>
      <w:sz w:val="20"/>
      <w:szCs w:val="20"/>
    </w:rPr>
  </w:style>
  <w:style w:type="character" w:styleId="Hyperlink">
    <w:name w:val="Hyperlink"/>
    <w:basedOn w:val="DefaultParagraphFont"/>
    <w:uiPriority w:val="99"/>
    <w:unhideWhenUsed/>
    <w:rsid w:val="00780CE3"/>
    <w:rPr>
      <w:color w:val="2CA6C2" w:themeColor="hyperlink"/>
      <w:u w:val="single"/>
    </w:rPr>
  </w:style>
  <w:style w:type="character" w:styleId="UnresolvedMention">
    <w:name w:val="Unresolved Mention"/>
    <w:basedOn w:val="DefaultParagraphFont"/>
    <w:uiPriority w:val="99"/>
    <w:semiHidden/>
    <w:unhideWhenUsed/>
    <w:rsid w:val="00780CE3"/>
    <w:rPr>
      <w:color w:val="605E5C"/>
      <w:shd w:val="clear" w:color="auto" w:fill="E1DFDD"/>
    </w:rPr>
  </w:style>
  <w:style w:type="character" w:styleId="FollowedHyperlink">
    <w:name w:val="FollowedHyperlink"/>
    <w:basedOn w:val="DefaultParagraphFont"/>
    <w:uiPriority w:val="99"/>
    <w:semiHidden/>
    <w:unhideWhenUsed/>
    <w:rsid w:val="003D6DFD"/>
    <w:rPr>
      <w:color w:val="485485" w:themeColor="followedHyperlink"/>
      <w:u w:val="single"/>
    </w:rPr>
  </w:style>
  <w:style w:type="paragraph" w:styleId="ListBullet">
    <w:name w:val="List Bullet"/>
    <w:basedOn w:val="Normal"/>
    <w:rsid w:val="004405FA"/>
    <w:pPr>
      <w:numPr>
        <w:numId w:val="8"/>
      </w:numPr>
      <w:spacing w:after="280" w:line="320" w:lineRule="exact"/>
    </w:pPr>
    <w:rPr>
      <w:rFonts w:ascii="Tahoma" w:hAnsi="Tahoma"/>
    </w:rPr>
  </w:style>
  <w:style w:type="paragraph" w:styleId="ListBullet2">
    <w:name w:val="List Bullet 2"/>
    <w:basedOn w:val="Normal"/>
    <w:rsid w:val="004405FA"/>
    <w:pPr>
      <w:numPr>
        <w:ilvl w:val="1"/>
        <w:numId w:val="8"/>
      </w:numPr>
      <w:spacing w:after="280" w:line="320" w:lineRule="exact"/>
    </w:pPr>
    <w:rPr>
      <w:rFonts w:ascii="Tahoma" w:hAnsi="Tahoma"/>
    </w:rPr>
  </w:style>
  <w:style w:type="paragraph" w:styleId="ListBullet3">
    <w:name w:val="List Bullet 3"/>
    <w:basedOn w:val="Normal"/>
    <w:rsid w:val="004405FA"/>
    <w:pPr>
      <w:numPr>
        <w:ilvl w:val="2"/>
        <w:numId w:val="8"/>
      </w:numPr>
      <w:spacing w:after="280" w:line="320" w:lineRule="exact"/>
    </w:pPr>
    <w:rPr>
      <w:rFonts w:ascii="Tahoma" w:hAnsi="Tahoma"/>
    </w:rPr>
  </w:style>
  <w:style w:type="paragraph" w:styleId="ListBullet4">
    <w:name w:val="List Bullet 4"/>
    <w:basedOn w:val="Normal"/>
    <w:rsid w:val="004405FA"/>
    <w:pPr>
      <w:numPr>
        <w:ilvl w:val="3"/>
        <w:numId w:val="8"/>
      </w:numPr>
      <w:spacing w:after="280" w:line="320" w:lineRule="exact"/>
    </w:pPr>
    <w:rPr>
      <w:rFonts w:ascii="Tahoma" w:hAnsi="Tahoma"/>
    </w:rPr>
  </w:style>
  <w:style w:type="paragraph" w:styleId="ListBullet5">
    <w:name w:val="List Bullet 5"/>
    <w:basedOn w:val="Normal"/>
    <w:rsid w:val="004405FA"/>
    <w:pPr>
      <w:numPr>
        <w:ilvl w:val="4"/>
        <w:numId w:val="8"/>
      </w:numPr>
      <w:spacing w:after="280" w:line="320" w:lineRule="exact"/>
    </w:pPr>
    <w:rPr>
      <w:rFonts w:ascii="Tahoma" w:hAnsi="Tahoma"/>
    </w:rPr>
  </w:style>
  <w:style w:type="paragraph" w:customStyle="1" w:styleId="GMCNumbertext">
    <w:name w:val="GMC Number text"/>
    <w:basedOn w:val="Normal"/>
    <w:link w:val="GMCNumbertextChar"/>
    <w:rsid w:val="000B2E01"/>
    <w:pPr>
      <w:numPr>
        <w:numId w:val="9"/>
      </w:numPr>
      <w:spacing w:after="280" w:line="320" w:lineRule="exact"/>
    </w:pPr>
    <w:rPr>
      <w:rFonts w:ascii="Tahoma" w:hAnsi="Tahoma"/>
    </w:rPr>
  </w:style>
  <w:style w:type="paragraph" w:styleId="FootnoteText">
    <w:name w:val="footnote text"/>
    <w:basedOn w:val="Normal"/>
    <w:link w:val="FootnoteTextChar"/>
    <w:rsid w:val="000B2E01"/>
    <w:pPr>
      <w:spacing w:after="0" w:line="280" w:lineRule="atLeast"/>
    </w:pPr>
    <w:rPr>
      <w:rFonts w:ascii="Tahoma" w:hAnsi="Tahoma"/>
      <w:sz w:val="20"/>
      <w:szCs w:val="20"/>
    </w:rPr>
  </w:style>
  <w:style w:type="character" w:customStyle="1" w:styleId="FootnoteTextChar">
    <w:name w:val="Footnote Text Char"/>
    <w:basedOn w:val="DefaultParagraphFont"/>
    <w:link w:val="FootnoteText"/>
    <w:rsid w:val="000B2E01"/>
    <w:rPr>
      <w:rFonts w:ascii="Tahoma" w:eastAsia="Times New Roman" w:hAnsi="Tahoma" w:cs="Times New Roman"/>
      <w:color w:val="000000"/>
      <w:sz w:val="20"/>
      <w:szCs w:val="20"/>
    </w:rPr>
  </w:style>
  <w:style w:type="character" w:styleId="FootnoteReference">
    <w:name w:val="footnote reference"/>
    <w:basedOn w:val="DefaultParagraphFont"/>
    <w:rsid w:val="000B2E01"/>
    <w:rPr>
      <w:vertAlign w:val="superscript"/>
    </w:rPr>
  </w:style>
  <w:style w:type="character" w:customStyle="1" w:styleId="GMCNumbertextChar">
    <w:name w:val="GMC Number text Char"/>
    <w:basedOn w:val="DefaultParagraphFont"/>
    <w:link w:val="GMCNumbertext"/>
    <w:rsid w:val="000B2E01"/>
    <w:rPr>
      <w:rFonts w:ascii="Tahoma" w:eastAsia="Times New Roman" w:hAnsi="Tahoma" w:cs="Times New Roman"/>
      <w:color w:val="000000"/>
      <w:sz w:val="24"/>
      <w:szCs w:val="24"/>
    </w:rPr>
  </w:style>
  <w:style w:type="paragraph" w:styleId="Revision">
    <w:name w:val="Revision"/>
    <w:hidden/>
    <w:uiPriority w:val="99"/>
    <w:semiHidden/>
    <w:rsid w:val="0031028B"/>
    <w:pPr>
      <w:spacing w:after="0" w:line="240" w:lineRule="auto"/>
    </w:pPr>
    <w:rPr>
      <w:rFonts w:ascii="Calibri" w:eastAsia="Times New Roman" w:hAnsi="Calibri" w:cs="Times New Roman"/>
      <w:color w:val="000000"/>
      <w:sz w:val="24"/>
      <w:szCs w:val="24"/>
    </w:rPr>
  </w:style>
  <w:style w:type="paragraph" w:styleId="EndnoteText">
    <w:name w:val="endnote text"/>
    <w:basedOn w:val="Normal"/>
    <w:link w:val="EndnoteTextChar"/>
    <w:uiPriority w:val="99"/>
    <w:semiHidden/>
    <w:unhideWhenUsed/>
    <w:rsid w:val="004B20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2051"/>
    <w:rPr>
      <w:rFonts w:ascii="Calibri" w:eastAsia="Times New Roman" w:hAnsi="Calibri" w:cs="Times New Roman"/>
      <w:color w:val="000000"/>
      <w:sz w:val="20"/>
      <w:szCs w:val="20"/>
    </w:rPr>
  </w:style>
  <w:style w:type="character" w:styleId="EndnoteReference">
    <w:name w:val="endnote reference"/>
    <w:basedOn w:val="DefaultParagraphFont"/>
    <w:uiPriority w:val="99"/>
    <w:semiHidden/>
    <w:unhideWhenUsed/>
    <w:rsid w:val="004B2051"/>
    <w:rPr>
      <w:vertAlign w:val="superscript"/>
    </w:rPr>
  </w:style>
  <w:style w:type="paragraph" w:customStyle="1" w:styleId="GMCRomantext">
    <w:name w:val="GMC Roman text"/>
    <w:basedOn w:val="Normal"/>
    <w:rsid w:val="004B2051"/>
    <w:pPr>
      <w:numPr>
        <w:numId w:val="10"/>
      </w:numPr>
      <w:spacing w:after="280" w:line="320" w:lineRule="exact"/>
    </w:pPr>
    <w:rPr>
      <w:rFonts w:ascii="Tahoma" w:hAnsi="Tahoma"/>
    </w:rPr>
  </w:style>
  <w:style w:type="character" w:customStyle="1" w:styleId="ListParagraphChar">
    <w:name w:val="List Paragraph Char"/>
    <w:aliases w:val="z Do Not Use 17 Char"/>
    <w:basedOn w:val="DefaultParagraphFont"/>
    <w:link w:val="ListParagraph"/>
    <w:uiPriority w:val="34"/>
    <w:locked/>
    <w:rsid w:val="00AD0DE5"/>
    <w:rPr>
      <w:rFonts w:ascii="Calibri" w:eastAsia="Times New Roman" w:hAnsi="Calibri" w:cs="Times New Roman"/>
      <w:color w:val="000000"/>
      <w:sz w:val="24"/>
      <w:szCs w:val="24"/>
    </w:rPr>
  </w:style>
  <w:style w:type="paragraph" w:customStyle="1" w:styleId="Default">
    <w:name w:val="Default"/>
    <w:rsid w:val="0093109C"/>
    <w:pPr>
      <w:autoSpaceDE w:val="0"/>
      <w:autoSpaceDN w:val="0"/>
      <w:adjustRightInd w:val="0"/>
      <w:spacing w:after="0" w:line="240" w:lineRule="auto"/>
    </w:pPr>
    <w:rPr>
      <w:rFonts w:ascii="Tahoma" w:hAnsi="Tahoma" w:cs="Tahoma"/>
      <w:color w:val="000000"/>
      <w:sz w:val="24"/>
      <w:szCs w:val="24"/>
    </w:rPr>
  </w:style>
  <w:style w:type="paragraph" w:customStyle="1" w:styleId="legclearfix">
    <w:name w:val="legclearfix"/>
    <w:basedOn w:val="Normal"/>
    <w:rsid w:val="00EE581D"/>
    <w:pPr>
      <w:spacing w:before="100" w:beforeAutospacing="1" w:after="100" w:afterAutospacing="1" w:line="240" w:lineRule="auto"/>
    </w:pPr>
    <w:rPr>
      <w:rFonts w:ascii="Times New Roman" w:hAnsi="Times New Roman"/>
      <w:color w:val="auto"/>
      <w:lang w:eastAsia="en-GB"/>
    </w:rPr>
  </w:style>
  <w:style w:type="character" w:customStyle="1" w:styleId="legds">
    <w:name w:val="legds"/>
    <w:basedOn w:val="DefaultParagraphFont"/>
    <w:rsid w:val="00EE581D"/>
  </w:style>
  <w:style w:type="paragraph" w:styleId="ListNumber2">
    <w:name w:val="List Number 2"/>
    <w:basedOn w:val="Normal"/>
    <w:rsid w:val="00143ED7"/>
    <w:pPr>
      <w:numPr>
        <w:ilvl w:val="1"/>
        <w:numId w:val="11"/>
      </w:numPr>
      <w:tabs>
        <w:tab w:val="left" w:pos="1361"/>
      </w:tabs>
      <w:spacing w:after="280" w:line="320" w:lineRule="exact"/>
    </w:pPr>
    <w:rPr>
      <w:rFonts w:ascii="Tahoma" w:hAnsi="Tahoma"/>
    </w:rPr>
  </w:style>
  <w:style w:type="paragraph" w:styleId="ListNumber3">
    <w:name w:val="List Number 3"/>
    <w:basedOn w:val="Normal"/>
    <w:rsid w:val="00143ED7"/>
    <w:pPr>
      <w:numPr>
        <w:ilvl w:val="2"/>
        <w:numId w:val="11"/>
      </w:numPr>
      <w:spacing w:after="280" w:line="320" w:lineRule="exact"/>
    </w:pPr>
    <w:rPr>
      <w:rFonts w:ascii="Tahoma" w:hAnsi="Tahoma"/>
    </w:rPr>
  </w:style>
  <w:style w:type="character" w:styleId="PageNumber">
    <w:name w:val="page number"/>
    <w:basedOn w:val="DefaultParagraphFont"/>
    <w:rsid w:val="004458C0"/>
    <w:rPr>
      <w:sz w:val="18"/>
    </w:rPr>
  </w:style>
  <w:style w:type="paragraph" w:styleId="NormalWeb">
    <w:name w:val="Normal (Web)"/>
    <w:basedOn w:val="Normal"/>
    <w:uiPriority w:val="99"/>
    <w:semiHidden/>
    <w:unhideWhenUsed/>
    <w:rsid w:val="00EE01EC"/>
    <w:pPr>
      <w:spacing w:before="100" w:beforeAutospacing="1" w:after="100" w:afterAutospacing="1" w:line="240" w:lineRule="auto"/>
    </w:pPr>
    <w:rPr>
      <w:rFonts w:eastAsiaTheme="minorHAnsi" w:cs="Calibri"/>
      <w:color w:val="auto"/>
      <w:sz w:val="22"/>
      <w:szCs w:val="22"/>
      <w:lang w:eastAsia="en-GB"/>
    </w:rPr>
  </w:style>
  <w:style w:type="character" w:styleId="SmartLink">
    <w:name w:val="Smart Link"/>
    <w:basedOn w:val="DefaultParagraphFont"/>
    <w:uiPriority w:val="99"/>
    <w:semiHidden/>
    <w:unhideWhenUsed/>
    <w:rsid w:val="00EE01EC"/>
    <w:rPr>
      <w:color w:val="0000FF"/>
      <w:u w:val="single"/>
      <w:shd w:val="clear" w:color="auto" w:fill="F3F2F1"/>
    </w:rPr>
  </w:style>
  <w:style w:type="paragraph" w:customStyle="1" w:styleId="pf0">
    <w:name w:val="pf0"/>
    <w:basedOn w:val="Normal"/>
    <w:rsid w:val="00EE01EC"/>
    <w:pPr>
      <w:spacing w:before="100" w:beforeAutospacing="1" w:after="100" w:afterAutospacing="1" w:line="240" w:lineRule="auto"/>
    </w:pPr>
    <w:rPr>
      <w:rFonts w:ascii="Times New Roman" w:hAnsi="Times New Roman"/>
      <w:color w:val="auto"/>
      <w:lang w:eastAsia="en-GB"/>
    </w:rPr>
  </w:style>
  <w:style w:type="character" w:customStyle="1" w:styleId="cf01">
    <w:name w:val="cf01"/>
    <w:basedOn w:val="DefaultParagraphFont"/>
    <w:rsid w:val="00EE01EC"/>
    <w:rPr>
      <w:rFonts w:ascii="Segoe UI" w:hAnsi="Segoe UI" w:cs="Segoe UI" w:hint="default"/>
      <w:sz w:val="18"/>
      <w:szCs w:val="18"/>
    </w:rPr>
  </w:style>
  <w:style w:type="character" w:customStyle="1" w:styleId="normaltextrun">
    <w:name w:val="normaltextrun"/>
    <w:basedOn w:val="DefaultParagraphFont"/>
    <w:rsid w:val="008E0356"/>
  </w:style>
  <w:style w:type="character" w:customStyle="1" w:styleId="eop">
    <w:name w:val="eop"/>
    <w:basedOn w:val="DefaultParagraphFont"/>
    <w:rsid w:val="008E0356"/>
  </w:style>
  <w:style w:type="character" w:styleId="Mention">
    <w:name w:val="Mention"/>
    <w:basedOn w:val="DefaultParagraphFont"/>
    <w:uiPriority w:val="99"/>
    <w:unhideWhenUsed/>
    <w:rsid w:val="00A86F1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1802">
      <w:bodyDiv w:val="1"/>
      <w:marLeft w:val="0"/>
      <w:marRight w:val="0"/>
      <w:marTop w:val="0"/>
      <w:marBottom w:val="0"/>
      <w:divBdr>
        <w:top w:val="none" w:sz="0" w:space="0" w:color="auto"/>
        <w:left w:val="none" w:sz="0" w:space="0" w:color="auto"/>
        <w:bottom w:val="none" w:sz="0" w:space="0" w:color="auto"/>
        <w:right w:val="none" w:sz="0" w:space="0" w:color="auto"/>
      </w:divBdr>
    </w:div>
    <w:div w:id="152257614">
      <w:bodyDiv w:val="1"/>
      <w:marLeft w:val="0"/>
      <w:marRight w:val="0"/>
      <w:marTop w:val="0"/>
      <w:marBottom w:val="0"/>
      <w:divBdr>
        <w:top w:val="none" w:sz="0" w:space="0" w:color="auto"/>
        <w:left w:val="none" w:sz="0" w:space="0" w:color="auto"/>
        <w:bottom w:val="none" w:sz="0" w:space="0" w:color="auto"/>
        <w:right w:val="none" w:sz="0" w:space="0" w:color="auto"/>
      </w:divBdr>
    </w:div>
    <w:div w:id="231741231">
      <w:bodyDiv w:val="1"/>
      <w:marLeft w:val="0"/>
      <w:marRight w:val="0"/>
      <w:marTop w:val="0"/>
      <w:marBottom w:val="0"/>
      <w:divBdr>
        <w:top w:val="none" w:sz="0" w:space="0" w:color="auto"/>
        <w:left w:val="none" w:sz="0" w:space="0" w:color="auto"/>
        <w:bottom w:val="none" w:sz="0" w:space="0" w:color="auto"/>
        <w:right w:val="none" w:sz="0" w:space="0" w:color="auto"/>
      </w:divBdr>
    </w:div>
    <w:div w:id="254635544">
      <w:bodyDiv w:val="1"/>
      <w:marLeft w:val="0"/>
      <w:marRight w:val="0"/>
      <w:marTop w:val="0"/>
      <w:marBottom w:val="0"/>
      <w:divBdr>
        <w:top w:val="none" w:sz="0" w:space="0" w:color="auto"/>
        <w:left w:val="none" w:sz="0" w:space="0" w:color="auto"/>
        <w:bottom w:val="none" w:sz="0" w:space="0" w:color="auto"/>
        <w:right w:val="none" w:sz="0" w:space="0" w:color="auto"/>
      </w:divBdr>
    </w:div>
    <w:div w:id="360906997">
      <w:bodyDiv w:val="1"/>
      <w:marLeft w:val="0"/>
      <w:marRight w:val="0"/>
      <w:marTop w:val="0"/>
      <w:marBottom w:val="0"/>
      <w:divBdr>
        <w:top w:val="none" w:sz="0" w:space="0" w:color="auto"/>
        <w:left w:val="none" w:sz="0" w:space="0" w:color="auto"/>
        <w:bottom w:val="none" w:sz="0" w:space="0" w:color="auto"/>
        <w:right w:val="none" w:sz="0" w:space="0" w:color="auto"/>
      </w:divBdr>
    </w:div>
    <w:div w:id="614950000">
      <w:bodyDiv w:val="1"/>
      <w:marLeft w:val="0"/>
      <w:marRight w:val="0"/>
      <w:marTop w:val="0"/>
      <w:marBottom w:val="0"/>
      <w:divBdr>
        <w:top w:val="none" w:sz="0" w:space="0" w:color="auto"/>
        <w:left w:val="none" w:sz="0" w:space="0" w:color="auto"/>
        <w:bottom w:val="none" w:sz="0" w:space="0" w:color="auto"/>
        <w:right w:val="none" w:sz="0" w:space="0" w:color="auto"/>
      </w:divBdr>
    </w:div>
    <w:div w:id="640160783">
      <w:bodyDiv w:val="1"/>
      <w:marLeft w:val="0"/>
      <w:marRight w:val="0"/>
      <w:marTop w:val="0"/>
      <w:marBottom w:val="0"/>
      <w:divBdr>
        <w:top w:val="none" w:sz="0" w:space="0" w:color="auto"/>
        <w:left w:val="none" w:sz="0" w:space="0" w:color="auto"/>
        <w:bottom w:val="none" w:sz="0" w:space="0" w:color="auto"/>
        <w:right w:val="none" w:sz="0" w:space="0" w:color="auto"/>
      </w:divBdr>
    </w:div>
    <w:div w:id="662198607">
      <w:bodyDiv w:val="1"/>
      <w:marLeft w:val="0"/>
      <w:marRight w:val="0"/>
      <w:marTop w:val="0"/>
      <w:marBottom w:val="0"/>
      <w:divBdr>
        <w:top w:val="none" w:sz="0" w:space="0" w:color="auto"/>
        <w:left w:val="none" w:sz="0" w:space="0" w:color="auto"/>
        <w:bottom w:val="none" w:sz="0" w:space="0" w:color="auto"/>
        <w:right w:val="none" w:sz="0" w:space="0" w:color="auto"/>
      </w:divBdr>
    </w:div>
    <w:div w:id="674379177">
      <w:bodyDiv w:val="1"/>
      <w:marLeft w:val="0"/>
      <w:marRight w:val="0"/>
      <w:marTop w:val="0"/>
      <w:marBottom w:val="0"/>
      <w:divBdr>
        <w:top w:val="none" w:sz="0" w:space="0" w:color="auto"/>
        <w:left w:val="none" w:sz="0" w:space="0" w:color="auto"/>
        <w:bottom w:val="none" w:sz="0" w:space="0" w:color="auto"/>
        <w:right w:val="none" w:sz="0" w:space="0" w:color="auto"/>
      </w:divBdr>
    </w:div>
    <w:div w:id="696781554">
      <w:bodyDiv w:val="1"/>
      <w:marLeft w:val="0"/>
      <w:marRight w:val="0"/>
      <w:marTop w:val="0"/>
      <w:marBottom w:val="0"/>
      <w:divBdr>
        <w:top w:val="none" w:sz="0" w:space="0" w:color="auto"/>
        <w:left w:val="none" w:sz="0" w:space="0" w:color="auto"/>
        <w:bottom w:val="none" w:sz="0" w:space="0" w:color="auto"/>
        <w:right w:val="none" w:sz="0" w:space="0" w:color="auto"/>
      </w:divBdr>
    </w:div>
    <w:div w:id="744641920">
      <w:bodyDiv w:val="1"/>
      <w:marLeft w:val="0"/>
      <w:marRight w:val="0"/>
      <w:marTop w:val="0"/>
      <w:marBottom w:val="0"/>
      <w:divBdr>
        <w:top w:val="none" w:sz="0" w:space="0" w:color="auto"/>
        <w:left w:val="none" w:sz="0" w:space="0" w:color="auto"/>
        <w:bottom w:val="none" w:sz="0" w:space="0" w:color="auto"/>
        <w:right w:val="none" w:sz="0" w:space="0" w:color="auto"/>
      </w:divBdr>
      <w:divsChild>
        <w:div w:id="556285987">
          <w:marLeft w:val="0"/>
          <w:marRight w:val="0"/>
          <w:marTop w:val="0"/>
          <w:marBottom w:val="0"/>
          <w:divBdr>
            <w:top w:val="none" w:sz="0" w:space="0" w:color="auto"/>
            <w:left w:val="none" w:sz="0" w:space="0" w:color="auto"/>
            <w:bottom w:val="none" w:sz="0" w:space="0" w:color="auto"/>
            <w:right w:val="none" w:sz="0" w:space="0" w:color="auto"/>
          </w:divBdr>
          <w:divsChild>
            <w:div w:id="1784811623">
              <w:marLeft w:val="0"/>
              <w:marRight w:val="0"/>
              <w:marTop w:val="0"/>
              <w:marBottom w:val="0"/>
              <w:divBdr>
                <w:top w:val="none" w:sz="0" w:space="0" w:color="auto"/>
                <w:left w:val="none" w:sz="0" w:space="0" w:color="auto"/>
                <w:bottom w:val="none" w:sz="0" w:space="0" w:color="auto"/>
                <w:right w:val="none" w:sz="0" w:space="0" w:color="auto"/>
              </w:divBdr>
            </w:div>
            <w:div w:id="105586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7010">
      <w:bodyDiv w:val="1"/>
      <w:marLeft w:val="0"/>
      <w:marRight w:val="0"/>
      <w:marTop w:val="0"/>
      <w:marBottom w:val="0"/>
      <w:divBdr>
        <w:top w:val="none" w:sz="0" w:space="0" w:color="auto"/>
        <w:left w:val="none" w:sz="0" w:space="0" w:color="auto"/>
        <w:bottom w:val="none" w:sz="0" w:space="0" w:color="auto"/>
        <w:right w:val="none" w:sz="0" w:space="0" w:color="auto"/>
      </w:divBdr>
    </w:div>
    <w:div w:id="911237821">
      <w:bodyDiv w:val="1"/>
      <w:marLeft w:val="0"/>
      <w:marRight w:val="0"/>
      <w:marTop w:val="0"/>
      <w:marBottom w:val="0"/>
      <w:divBdr>
        <w:top w:val="none" w:sz="0" w:space="0" w:color="auto"/>
        <w:left w:val="none" w:sz="0" w:space="0" w:color="auto"/>
        <w:bottom w:val="none" w:sz="0" w:space="0" w:color="auto"/>
        <w:right w:val="none" w:sz="0" w:space="0" w:color="auto"/>
      </w:divBdr>
    </w:div>
    <w:div w:id="934365778">
      <w:bodyDiv w:val="1"/>
      <w:marLeft w:val="0"/>
      <w:marRight w:val="0"/>
      <w:marTop w:val="0"/>
      <w:marBottom w:val="0"/>
      <w:divBdr>
        <w:top w:val="none" w:sz="0" w:space="0" w:color="auto"/>
        <w:left w:val="none" w:sz="0" w:space="0" w:color="auto"/>
        <w:bottom w:val="none" w:sz="0" w:space="0" w:color="auto"/>
        <w:right w:val="none" w:sz="0" w:space="0" w:color="auto"/>
      </w:divBdr>
    </w:div>
    <w:div w:id="1017199888">
      <w:bodyDiv w:val="1"/>
      <w:marLeft w:val="0"/>
      <w:marRight w:val="0"/>
      <w:marTop w:val="0"/>
      <w:marBottom w:val="0"/>
      <w:divBdr>
        <w:top w:val="none" w:sz="0" w:space="0" w:color="auto"/>
        <w:left w:val="none" w:sz="0" w:space="0" w:color="auto"/>
        <w:bottom w:val="none" w:sz="0" w:space="0" w:color="auto"/>
        <w:right w:val="none" w:sz="0" w:space="0" w:color="auto"/>
      </w:divBdr>
    </w:div>
    <w:div w:id="1038312716">
      <w:bodyDiv w:val="1"/>
      <w:marLeft w:val="0"/>
      <w:marRight w:val="0"/>
      <w:marTop w:val="0"/>
      <w:marBottom w:val="0"/>
      <w:divBdr>
        <w:top w:val="none" w:sz="0" w:space="0" w:color="auto"/>
        <w:left w:val="none" w:sz="0" w:space="0" w:color="auto"/>
        <w:bottom w:val="none" w:sz="0" w:space="0" w:color="auto"/>
        <w:right w:val="none" w:sz="0" w:space="0" w:color="auto"/>
      </w:divBdr>
    </w:div>
    <w:div w:id="1066874180">
      <w:bodyDiv w:val="1"/>
      <w:marLeft w:val="0"/>
      <w:marRight w:val="0"/>
      <w:marTop w:val="0"/>
      <w:marBottom w:val="0"/>
      <w:divBdr>
        <w:top w:val="none" w:sz="0" w:space="0" w:color="auto"/>
        <w:left w:val="none" w:sz="0" w:space="0" w:color="auto"/>
        <w:bottom w:val="none" w:sz="0" w:space="0" w:color="auto"/>
        <w:right w:val="none" w:sz="0" w:space="0" w:color="auto"/>
      </w:divBdr>
    </w:div>
    <w:div w:id="1075518835">
      <w:bodyDiv w:val="1"/>
      <w:marLeft w:val="0"/>
      <w:marRight w:val="0"/>
      <w:marTop w:val="0"/>
      <w:marBottom w:val="0"/>
      <w:divBdr>
        <w:top w:val="none" w:sz="0" w:space="0" w:color="auto"/>
        <w:left w:val="none" w:sz="0" w:space="0" w:color="auto"/>
        <w:bottom w:val="none" w:sz="0" w:space="0" w:color="auto"/>
        <w:right w:val="none" w:sz="0" w:space="0" w:color="auto"/>
      </w:divBdr>
    </w:div>
    <w:div w:id="1201936373">
      <w:bodyDiv w:val="1"/>
      <w:marLeft w:val="0"/>
      <w:marRight w:val="0"/>
      <w:marTop w:val="0"/>
      <w:marBottom w:val="0"/>
      <w:divBdr>
        <w:top w:val="none" w:sz="0" w:space="0" w:color="auto"/>
        <w:left w:val="none" w:sz="0" w:space="0" w:color="auto"/>
        <w:bottom w:val="none" w:sz="0" w:space="0" w:color="auto"/>
        <w:right w:val="none" w:sz="0" w:space="0" w:color="auto"/>
      </w:divBdr>
    </w:div>
    <w:div w:id="1298295063">
      <w:bodyDiv w:val="1"/>
      <w:marLeft w:val="0"/>
      <w:marRight w:val="0"/>
      <w:marTop w:val="0"/>
      <w:marBottom w:val="0"/>
      <w:divBdr>
        <w:top w:val="none" w:sz="0" w:space="0" w:color="auto"/>
        <w:left w:val="none" w:sz="0" w:space="0" w:color="auto"/>
        <w:bottom w:val="none" w:sz="0" w:space="0" w:color="auto"/>
        <w:right w:val="none" w:sz="0" w:space="0" w:color="auto"/>
      </w:divBdr>
    </w:div>
    <w:div w:id="1326981735">
      <w:bodyDiv w:val="1"/>
      <w:marLeft w:val="0"/>
      <w:marRight w:val="0"/>
      <w:marTop w:val="0"/>
      <w:marBottom w:val="0"/>
      <w:divBdr>
        <w:top w:val="none" w:sz="0" w:space="0" w:color="auto"/>
        <w:left w:val="none" w:sz="0" w:space="0" w:color="auto"/>
        <w:bottom w:val="none" w:sz="0" w:space="0" w:color="auto"/>
        <w:right w:val="none" w:sz="0" w:space="0" w:color="auto"/>
      </w:divBdr>
      <w:divsChild>
        <w:div w:id="917834269">
          <w:marLeft w:val="0"/>
          <w:marRight w:val="0"/>
          <w:marTop w:val="0"/>
          <w:marBottom w:val="0"/>
          <w:divBdr>
            <w:top w:val="none" w:sz="0" w:space="0" w:color="auto"/>
            <w:left w:val="none" w:sz="0" w:space="0" w:color="auto"/>
            <w:bottom w:val="none" w:sz="0" w:space="0" w:color="auto"/>
            <w:right w:val="none" w:sz="0" w:space="0" w:color="auto"/>
          </w:divBdr>
        </w:div>
        <w:div w:id="584341751">
          <w:marLeft w:val="0"/>
          <w:marRight w:val="0"/>
          <w:marTop w:val="0"/>
          <w:marBottom w:val="0"/>
          <w:divBdr>
            <w:top w:val="none" w:sz="0" w:space="0" w:color="auto"/>
            <w:left w:val="none" w:sz="0" w:space="0" w:color="auto"/>
            <w:bottom w:val="none" w:sz="0" w:space="0" w:color="auto"/>
            <w:right w:val="none" w:sz="0" w:space="0" w:color="auto"/>
          </w:divBdr>
        </w:div>
        <w:div w:id="1529566793">
          <w:marLeft w:val="0"/>
          <w:marRight w:val="0"/>
          <w:marTop w:val="0"/>
          <w:marBottom w:val="0"/>
          <w:divBdr>
            <w:top w:val="none" w:sz="0" w:space="0" w:color="auto"/>
            <w:left w:val="none" w:sz="0" w:space="0" w:color="auto"/>
            <w:bottom w:val="none" w:sz="0" w:space="0" w:color="auto"/>
            <w:right w:val="none" w:sz="0" w:space="0" w:color="auto"/>
          </w:divBdr>
        </w:div>
      </w:divsChild>
    </w:div>
    <w:div w:id="1360735401">
      <w:bodyDiv w:val="1"/>
      <w:marLeft w:val="0"/>
      <w:marRight w:val="0"/>
      <w:marTop w:val="0"/>
      <w:marBottom w:val="0"/>
      <w:divBdr>
        <w:top w:val="none" w:sz="0" w:space="0" w:color="auto"/>
        <w:left w:val="none" w:sz="0" w:space="0" w:color="auto"/>
        <w:bottom w:val="none" w:sz="0" w:space="0" w:color="auto"/>
        <w:right w:val="none" w:sz="0" w:space="0" w:color="auto"/>
      </w:divBdr>
    </w:div>
    <w:div w:id="1376848904">
      <w:bodyDiv w:val="1"/>
      <w:marLeft w:val="0"/>
      <w:marRight w:val="0"/>
      <w:marTop w:val="0"/>
      <w:marBottom w:val="0"/>
      <w:divBdr>
        <w:top w:val="none" w:sz="0" w:space="0" w:color="auto"/>
        <w:left w:val="none" w:sz="0" w:space="0" w:color="auto"/>
        <w:bottom w:val="none" w:sz="0" w:space="0" w:color="auto"/>
        <w:right w:val="none" w:sz="0" w:space="0" w:color="auto"/>
      </w:divBdr>
    </w:div>
    <w:div w:id="1540166574">
      <w:bodyDiv w:val="1"/>
      <w:marLeft w:val="0"/>
      <w:marRight w:val="0"/>
      <w:marTop w:val="0"/>
      <w:marBottom w:val="0"/>
      <w:divBdr>
        <w:top w:val="none" w:sz="0" w:space="0" w:color="auto"/>
        <w:left w:val="none" w:sz="0" w:space="0" w:color="auto"/>
        <w:bottom w:val="none" w:sz="0" w:space="0" w:color="auto"/>
        <w:right w:val="none" w:sz="0" w:space="0" w:color="auto"/>
      </w:divBdr>
    </w:div>
    <w:div w:id="1548687991">
      <w:bodyDiv w:val="1"/>
      <w:marLeft w:val="0"/>
      <w:marRight w:val="0"/>
      <w:marTop w:val="0"/>
      <w:marBottom w:val="0"/>
      <w:divBdr>
        <w:top w:val="none" w:sz="0" w:space="0" w:color="auto"/>
        <w:left w:val="none" w:sz="0" w:space="0" w:color="auto"/>
        <w:bottom w:val="none" w:sz="0" w:space="0" w:color="auto"/>
        <w:right w:val="none" w:sz="0" w:space="0" w:color="auto"/>
      </w:divBdr>
    </w:div>
    <w:div w:id="1594240626">
      <w:bodyDiv w:val="1"/>
      <w:marLeft w:val="0"/>
      <w:marRight w:val="0"/>
      <w:marTop w:val="0"/>
      <w:marBottom w:val="0"/>
      <w:divBdr>
        <w:top w:val="none" w:sz="0" w:space="0" w:color="auto"/>
        <w:left w:val="none" w:sz="0" w:space="0" w:color="auto"/>
        <w:bottom w:val="none" w:sz="0" w:space="0" w:color="auto"/>
        <w:right w:val="none" w:sz="0" w:space="0" w:color="auto"/>
      </w:divBdr>
    </w:div>
    <w:div w:id="1611812307">
      <w:bodyDiv w:val="1"/>
      <w:marLeft w:val="0"/>
      <w:marRight w:val="0"/>
      <w:marTop w:val="0"/>
      <w:marBottom w:val="0"/>
      <w:divBdr>
        <w:top w:val="none" w:sz="0" w:space="0" w:color="auto"/>
        <w:left w:val="none" w:sz="0" w:space="0" w:color="auto"/>
        <w:bottom w:val="none" w:sz="0" w:space="0" w:color="auto"/>
        <w:right w:val="none" w:sz="0" w:space="0" w:color="auto"/>
      </w:divBdr>
    </w:div>
    <w:div w:id="1617364855">
      <w:bodyDiv w:val="1"/>
      <w:marLeft w:val="0"/>
      <w:marRight w:val="0"/>
      <w:marTop w:val="0"/>
      <w:marBottom w:val="0"/>
      <w:divBdr>
        <w:top w:val="none" w:sz="0" w:space="0" w:color="auto"/>
        <w:left w:val="none" w:sz="0" w:space="0" w:color="auto"/>
        <w:bottom w:val="none" w:sz="0" w:space="0" w:color="auto"/>
        <w:right w:val="none" w:sz="0" w:space="0" w:color="auto"/>
      </w:divBdr>
    </w:div>
    <w:div w:id="1731920335">
      <w:bodyDiv w:val="1"/>
      <w:marLeft w:val="0"/>
      <w:marRight w:val="0"/>
      <w:marTop w:val="0"/>
      <w:marBottom w:val="0"/>
      <w:divBdr>
        <w:top w:val="none" w:sz="0" w:space="0" w:color="auto"/>
        <w:left w:val="none" w:sz="0" w:space="0" w:color="auto"/>
        <w:bottom w:val="none" w:sz="0" w:space="0" w:color="auto"/>
        <w:right w:val="none" w:sz="0" w:space="0" w:color="auto"/>
      </w:divBdr>
      <w:divsChild>
        <w:div w:id="1695305957">
          <w:marLeft w:val="0"/>
          <w:marRight w:val="0"/>
          <w:marTop w:val="0"/>
          <w:marBottom w:val="0"/>
          <w:divBdr>
            <w:top w:val="none" w:sz="0" w:space="0" w:color="auto"/>
            <w:left w:val="none" w:sz="0" w:space="0" w:color="auto"/>
            <w:bottom w:val="none" w:sz="0" w:space="0" w:color="auto"/>
            <w:right w:val="none" w:sz="0" w:space="0" w:color="auto"/>
          </w:divBdr>
        </w:div>
        <w:div w:id="720791529">
          <w:marLeft w:val="0"/>
          <w:marRight w:val="0"/>
          <w:marTop w:val="0"/>
          <w:marBottom w:val="0"/>
          <w:divBdr>
            <w:top w:val="none" w:sz="0" w:space="0" w:color="auto"/>
            <w:left w:val="none" w:sz="0" w:space="0" w:color="auto"/>
            <w:bottom w:val="none" w:sz="0" w:space="0" w:color="auto"/>
            <w:right w:val="none" w:sz="0" w:space="0" w:color="auto"/>
          </w:divBdr>
        </w:div>
        <w:div w:id="1324817920">
          <w:marLeft w:val="0"/>
          <w:marRight w:val="0"/>
          <w:marTop w:val="0"/>
          <w:marBottom w:val="0"/>
          <w:divBdr>
            <w:top w:val="none" w:sz="0" w:space="0" w:color="auto"/>
            <w:left w:val="none" w:sz="0" w:space="0" w:color="auto"/>
            <w:bottom w:val="none" w:sz="0" w:space="0" w:color="auto"/>
            <w:right w:val="none" w:sz="0" w:space="0" w:color="auto"/>
          </w:divBdr>
        </w:div>
      </w:divsChild>
    </w:div>
    <w:div w:id="1763640998">
      <w:bodyDiv w:val="1"/>
      <w:marLeft w:val="0"/>
      <w:marRight w:val="0"/>
      <w:marTop w:val="0"/>
      <w:marBottom w:val="0"/>
      <w:divBdr>
        <w:top w:val="none" w:sz="0" w:space="0" w:color="auto"/>
        <w:left w:val="none" w:sz="0" w:space="0" w:color="auto"/>
        <w:bottom w:val="none" w:sz="0" w:space="0" w:color="auto"/>
        <w:right w:val="none" w:sz="0" w:space="0" w:color="auto"/>
      </w:divBdr>
    </w:div>
    <w:div w:id="1816146257">
      <w:bodyDiv w:val="1"/>
      <w:marLeft w:val="0"/>
      <w:marRight w:val="0"/>
      <w:marTop w:val="0"/>
      <w:marBottom w:val="0"/>
      <w:divBdr>
        <w:top w:val="none" w:sz="0" w:space="0" w:color="auto"/>
        <w:left w:val="none" w:sz="0" w:space="0" w:color="auto"/>
        <w:bottom w:val="none" w:sz="0" w:space="0" w:color="auto"/>
        <w:right w:val="none" w:sz="0" w:space="0" w:color="auto"/>
      </w:divBdr>
    </w:div>
    <w:div w:id="1827629090">
      <w:bodyDiv w:val="1"/>
      <w:marLeft w:val="0"/>
      <w:marRight w:val="0"/>
      <w:marTop w:val="0"/>
      <w:marBottom w:val="0"/>
      <w:divBdr>
        <w:top w:val="none" w:sz="0" w:space="0" w:color="auto"/>
        <w:left w:val="none" w:sz="0" w:space="0" w:color="auto"/>
        <w:bottom w:val="none" w:sz="0" w:space="0" w:color="auto"/>
        <w:right w:val="none" w:sz="0" w:space="0" w:color="auto"/>
      </w:divBdr>
    </w:div>
    <w:div w:id="1890532567">
      <w:bodyDiv w:val="1"/>
      <w:marLeft w:val="0"/>
      <w:marRight w:val="0"/>
      <w:marTop w:val="0"/>
      <w:marBottom w:val="0"/>
      <w:divBdr>
        <w:top w:val="none" w:sz="0" w:space="0" w:color="auto"/>
        <w:left w:val="none" w:sz="0" w:space="0" w:color="auto"/>
        <w:bottom w:val="none" w:sz="0" w:space="0" w:color="auto"/>
        <w:right w:val="none" w:sz="0" w:space="0" w:color="auto"/>
      </w:divBdr>
    </w:div>
    <w:div w:id="1993749042">
      <w:bodyDiv w:val="1"/>
      <w:marLeft w:val="0"/>
      <w:marRight w:val="0"/>
      <w:marTop w:val="0"/>
      <w:marBottom w:val="0"/>
      <w:divBdr>
        <w:top w:val="none" w:sz="0" w:space="0" w:color="auto"/>
        <w:left w:val="none" w:sz="0" w:space="0" w:color="auto"/>
        <w:bottom w:val="none" w:sz="0" w:space="0" w:color="auto"/>
        <w:right w:val="none" w:sz="0" w:space="0" w:color="auto"/>
      </w:divBdr>
    </w:div>
    <w:div w:id="2022732427">
      <w:bodyDiv w:val="1"/>
      <w:marLeft w:val="0"/>
      <w:marRight w:val="0"/>
      <w:marTop w:val="0"/>
      <w:marBottom w:val="0"/>
      <w:divBdr>
        <w:top w:val="none" w:sz="0" w:space="0" w:color="auto"/>
        <w:left w:val="none" w:sz="0" w:space="0" w:color="auto"/>
        <w:bottom w:val="none" w:sz="0" w:space="0" w:color="auto"/>
        <w:right w:val="none" w:sz="0" w:space="0" w:color="auto"/>
      </w:divBdr>
      <w:divsChild>
        <w:div w:id="443810059">
          <w:marLeft w:val="0"/>
          <w:marRight w:val="0"/>
          <w:marTop w:val="0"/>
          <w:marBottom w:val="0"/>
          <w:divBdr>
            <w:top w:val="none" w:sz="0" w:space="0" w:color="auto"/>
            <w:left w:val="none" w:sz="0" w:space="0" w:color="auto"/>
            <w:bottom w:val="none" w:sz="0" w:space="0" w:color="auto"/>
            <w:right w:val="none" w:sz="0" w:space="0" w:color="auto"/>
          </w:divBdr>
          <w:divsChild>
            <w:div w:id="1755391526">
              <w:marLeft w:val="0"/>
              <w:marRight w:val="0"/>
              <w:marTop w:val="0"/>
              <w:marBottom w:val="0"/>
              <w:divBdr>
                <w:top w:val="none" w:sz="0" w:space="0" w:color="auto"/>
                <w:left w:val="none" w:sz="0" w:space="0" w:color="auto"/>
                <w:bottom w:val="none" w:sz="0" w:space="0" w:color="auto"/>
                <w:right w:val="none" w:sz="0" w:space="0" w:color="auto"/>
              </w:divBdr>
            </w:div>
            <w:div w:id="131140647">
              <w:marLeft w:val="0"/>
              <w:marRight w:val="0"/>
              <w:marTop w:val="0"/>
              <w:marBottom w:val="0"/>
              <w:divBdr>
                <w:top w:val="none" w:sz="0" w:space="0" w:color="auto"/>
                <w:left w:val="none" w:sz="0" w:space="0" w:color="auto"/>
                <w:bottom w:val="none" w:sz="0" w:space="0" w:color="auto"/>
                <w:right w:val="none" w:sz="0" w:space="0" w:color="auto"/>
              </w:divBdr>
            </w:div>
            <w:div w:id="114000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mc-uk.org/-/media/documents/equality-analysis-for-the-good-medical-practice-consultation_docx-90357877.docx" TargetMode="External"/><Relationship Id="rId18" Type="http://schemas.openxmlformats.org/officeDocument/2006/relationships/hyperlink" Target="https://www.gmc-uk.org/ethical-guidance/ethical-guidance-for-doctors/writing-references" TargetMode="External"/><Relationship Id="rId26" Type="http://schemas.openxmlformats.org/officeDocument/2006/relationships/hyperlink" Target="https://www.ncbi.nlm.nih.gov/pmc/articles/PMC9421549/"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mc-uk.org/-/media/documents/gmp-2024-final---english_pdf-102607294.pdf" TargetMode="External"/><Relationship Id="rId17" Type="http://schemas.openxmlformats.org/officeDocument/2006/relationships/hyperlink" Target="https://www.gmc-uk.org/-/media/documents/public-research---phase-two-report_pdf-102446309.pdf" TargetMode="External"/><Relationship Id="rId25" Type="http://schemas.openxmlformats.org/officeDocument/2006/relationships/hyperlink" Target="https://www.who.int/europe/news/item/01-09-2022-infodemics-and-misinformation-negatively-affect-people-s-health-behaviours--new-who-review-finds" TargetMode="External"/><Relationship Id="rId2" Type="http://schemas.openxmlformats.org/officeDocument/2006/relationships/customXml" Target="../customXml/item2.xml"/><Relationship Id="rId16" Type="http://schemas.openxmlformats.org/officeDocument/2006/relationships/hyperlink" Target="https://www.gmc-uk.org/-/media/documents/public-research---phase-one-report_pdf-102446405.pdf"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www.gmc-uk.org/-/media/documents/good-medical-practice---equality-analysis-part-three_docx-102675216.doc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gmc-uk.org/about/how-we-work/governance/advisory-forums/strategic-equality-diversity-and-inclusion-foru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mc-uk.org/-/media/documents/good-medical-practice---equality-analysis---part-two_docx-102616243.docx" TargetMode="External"/><Relationship Id="rId22" Type="http://schemas.openxmlformats.org/officeDocument/2006/relationships/footer" Target="footer2.xml"/><Relationship Id="rId27" Type="http://schemas.openxmlformats.org/officeDocument/2006/relationships/hyperlink" Target="https://www.gmc-uk.org/about/what-we-do-and-why/data-and-research/research-and-insight-archive/the-experience-of-working-within-a-different-professional-framewor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b9e56bb-7a88-4bc0-871a-331a353295c3">KFS3VSS5MWWX-469314745-45</_dlc_DocId>
    <_dlc_DocIdUrl xmlns="db9e56bb-7a88-4bc0-871a-331a353295c3">
      <Url>https://genmedcouncil.sharepoint.com/sites/Branding/_layouts/15/DocIdRedir.aspx?ID=KFS3VSS5MWWX-469314745-45</Url>
      <Description>KFS3VSS5MWWX-469314745-45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E94E57910E867A408A6ECA161D10FBE8" ma:contentTypeVersion="5" ma:contentTypeDescription="Create a new document." ma:contentTypeScope="" ma:versionID="649f64d224c542e9eac3112370559aa3">
  <xsd:schema xmlns:xsd="http://www.w3.org/2001/XMLSchema" xmlns:xs="http://www.w3.org/2001/XMLSchema" xmlns:p="http://schemas.microsoft.com/office/2006/metadata/properties" xmlns:ns2="db9e56bb-7a88-4bc0-871a-331a353295c3" xmlns:ns3="af5d46ab-e901-4201-8eea-273c31a25ac3" targetNamespace="http://schemas.microsoft.com/office/2006/metadata/properties" ma:root="true" ma:fieldsID="047996b1aba20ac22d1dd132d7bc2520" ns2:_="" ns3:_="">
    <xsd:import namespace="db9e56bb-7a88-4bc0-871a-331a353295c3"/>
    <xsd:import namespace="af5d46ab-e901-4201-8eea-273c31a25ac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9e56bb-7a88-4bc0-871a-331a353295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5d46ab-e901-4201-8eea-273c31a25a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0A829-E086-4D09-B8A1-48D7EA5FD308}">
  <ds:schemaRefs>
    <ds:schemaRef ds:uri="http://schemas.microsoft.com/office/2006/metadata/properties"/>
    <ds:schemaRef ds:uri="http://schemas.microsoft.com/office/infopath/2007/PartnerControls"/>
    <ds:schemaRef ds:uri="db9e56bb-7a88-4bc0-871a-331a353295c3"/>
  </ds:schemaRefs>
</ds:datastoreItem>
</file>

<file path=customXml/itemProps2.xml><?xml version="1.0" encoding="utf-8"?>
<ds:datastoreItem xmlns:ds="http://schemas.openxmlformats.org/officeDocument/2006/customXml" ds:itemID="{EED84F2F-F7F6-4A86-B4A0-4C3795AD24F8}">
  <ds:schemaRefs>
    <ds:schemaRef ds:uri="http://schemas.microsoft.com/sharepoint/v3/contenttype/forms"/>
  </ds:schemaRefs>
</ds:datastoreItem>
</file>

<file path=customXml/itemProps3.xml><?xml version="1.0" encoding="utf-8"?>
<ds:datastoreItem xmlns:ds="http://schemas.openxmlformats.org/officeDocument/2006/customXml" ds:itemID="{FFAD925A-88D9-4E04-A21E-E8DE5D930378}">
  <ds:schemaRefs>
    <ds:schemaRef ds:uri="http://schemas.microsoft.com/sharepoint/events"/>
  </ds:schemaRefs>
</ds:datastoreItem>
</file>

<file path=customXml/itemProps4.xml><?xml version="1.0" encoding="utf-8"?>
<ds:datastoreItem xmlns:ds="http://schemas.openxmlformats.org/officeDocument/2006/customXml" ds:itemID="{3CD1F6E0-337D-442A-BA45-72510FEFC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9e56bb-7a88-4bc0-871a-331a353295c3"/>
    <ds:schemaRef ds:uri="af5d46ab-e901-4201-8eea-273c31a25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87027C8-E917-44A7-9C05-26ED7A5B4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7522</Words>
  <Characters>42025</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Breingan (0161 923 6466)</dc:creator>
  <cp:keywords/>
  <dc:description/>
  <cp:lastModifiedBy>Emma Blankson</cp:lastModifiedBy>
  <cp:revision>2</cp:revision>
  <dcterms:created xsi:type="dcterms:W3CDTF">2024-02-05T14:11:00Z</dcterms:created>
  <dcterms:modified xsi:type="dcterms:W3CDTF">2024-02-05T14:11:00Z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0x010100E94E57910E867A408A6ECA161D10FBE8</vt:lpwstr>
  </property>
  <property fmtid="{D5CDD505-2E9C-101B-9397-08002B2CF9AE}" pid="3" name="_dlc_DocIdItemGuid">
    <vt:lpwstr>ece013cc-4cbd-4b5e-a0ac-2fb5bd8479e4</vt:lpwstr>
  </property>
  <property fmtid="{D5CDD505-2E9C-101B-9397-08002B2CF9AE}" pid="4" name="GrammarlyDocumentId">
    <vt:lpwstr>3f45183421714900f1ed2ddc65438dec956078b844c54253f2e63330694a21e1</vt:lpwstr>
  </property>
</Properties>
</file>