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05901" w14:textId="77777777" w:rsidR="00DE410F" w:rsidRDefault="00DE410F" w:rsidP="00DE410F">
      <w:pPr>
        <w:pStyle w:val="Heading1"/>
      </w:pPr>
      <w:r>
        <w:t xml:space="preserve">The review of Good medical practice </w:t>
      </w:r>
    </w:p>
    <w:p w14:paraId="4733344F" w14:textId="77777777" w:rsidR="00DE410F" w:rsidRDefault="00DE410F" w:rsidP="00DE410F">
      <w:pPr>
        <w:pStyle w:val="Heading2"/>
      </w:pPr>
      <w:r>
        <w:t xml:space="preserve">Equality analysis: August 2023-onwards </w:t>
      </w:r>
    </w:p>
    <w:p w14:paraId="126A9657" w14:textId="77777777" w:rsidR="00DE410F" w:rsidRDefault="00DE410F" w:rsidP="00DE410F">
      <w:pPr>
        <w:pStyle w:val="Heading3"/>
      </w:pPr>
      <w:r>
        <w:t>Background</w:t>
      </w:r>
      <w:r>
        <w:tab/>
      </w:r>
    </w:p>
    <w:p w14:paraId="45BB8A9A" w14:textId="525EF0CD" w:rsidR="00DE410F" w:rsidRDefault="00DE410F" w:rsidP="00DE410F">
      <w:pPr>
        <w:pStyle w:val="BodyText1"/>
        <w:numPr>
          <w:ilvl w:val="0"/>
          <w:numId w:val="20"/>
        </w:numPr>
      </w:pPr>
      <w:r>
        <w:t xml:space="preserve">This is the next instalment of our Equality Analysis (EA), as part of our review of </w:t>
      </w:r>
      <w:r w:rsidRPr="008310CC">
        <w:rPr>
          <w:i/>
          <w:iCs/>
        </w:rPr>
        <w:t>Good medical practice.</w:t>
      </w:r>
      <w:r>
        <w:t xml:space="preserve"> We’ve already published:</w:t>
      </w:r>
    </w:p>
    <w:p w14:paraId="0C4DC41D" w14:textId="0755909C" w:rsidR="00DE410F" w:rsidRDefault="004A3B5B" w:rsidP="00DE410F">
      <w:pPr>
        <w:pStyle w:val="BodyText1"/>
        <w:numPr>
          <w:ilvl w:val="1"/>
          <w:numId w:val="20"/>
        </w:numPr>
      </w:pPr>
      <w:hyperlink r:id="rId12" w:history="1">
        <w:r w:rsidR="00DE410F" w:rsidRPr="004A3B5B">
          <w:rPr>
            <w:rStyle w:val="Hyperlink"/>
          </w:rPr>
          <w:t>Part one of the EA</w:t>
        </w:r>
      </w:hyperlink>
      <w:r w:rsidR="00DE410F">
        <w:t xml:space="preserve">, which covered the background to the pre-consultation phase of the review. In part one, we described how we gathered evidence about the equality, </w:t>
      </w:r>
      <w:proofErr w:type="gramStart"/>
      <w:r w:rsidR="00DE410F">
        <w:t>diversity</w:t>
      </w:r>
      <w:proofErr w:type="gramEnd"/>
      <w:r w:rsidR="00DE410F">
        <w:t xml:space="preserve"> and inclusion (EDI) issues which are fundamental to the review. </w:t>
      </w:r>
    </w:p>
    <w:p w14:paraId="706F4A37" w14:textId="6E351C91" w:rsidR="00DE410F" w:rsidRDefault="0068632D" w:rsidP="00DE410F">
      <w:pPr>
        <w:pStyle w:val="BodyText1"/>
        <w:numPr>
          <w:ilvl w:val="1"/>
          <w:numId w:val="20"/>
        </w:numPr>
      </w:pPr>
      <w:hyperlink r:id="rId13" w:history="1">
        <w:r w:rsidR="00DE410F" w:rsidRPr="0068632D">
          <w:rPr>
            <w:rStyle w:val="Hyperlink"/>
          </w:rPr>
          <w:t>Part two of the EQIA</w:t>
        </w:r>
      </w:hyperlink>
      <w:r w:rsidR="00DE410F">
        <w:t>, which described our activity during the public consultation and the measures we took to ensure we involved and listened to diverse perspectives.</w:t>
      </w:r>
    </w:p>
    <w:p w14:paraId="2F74E0B6" w14:textId="77777777" w:rsidR="00DE410F" w:rsidRDefault="00DE410F" w:rsidP="00DE410F">
      <w:pPr>
        <w:pStyle w:val="BodyText1"/>
        <w:numPr>
          <w:ilvl w:val="0"/>
          <w:numId w:val="20"/>
        </w:numPr>
      </w:pPr>
      <w:r>
        <w:t>This document, which is Part three of the EA, will inform:</w:t>
      </w:r>
    </w:p>
    <w:p w14:paraId="082AD0FE" w14:textId="77777777" w:rsidR="00DE410F" w:rsidRDefault="00DE410F" w:rsidP="00DE410F">
      <w:pPr>
        <w:pStyle w:val="BodyText1"/>
        <w:numPr>
          <w:ilvl w:val="1"/>
          <w:numId w:val="20"/>
        </w:numPr>
      </w:pPr>
      <w:r>
        <w:t xml:space="preserve">the implementation </w:t>
      </w:r>
      <w:proofErr w:type="gramStart"/>
      <w:r>
        <w:t>plan</w:t>
      </w:r>
      <w:proofErr w:type="gramEnd"/>
      <w:r>
        <w:t xml:space="preserve"> </w:t>
      </w:r>
    </w:p>
    <w:p w14:paraId="2902E8B3" w14:textId="190A88D7" w:rsidR="00DE410F" w:rsidRDefault="00DE410F" w:rsidP="00DE410F">
      <w:pPr>
        <w:pStyle w:val="BodyText1"/>
        <w:numPr>
          <w:ilvl w:val="1"/>
          <w:numId w:val="20"/>
        </w:numPr>
      </w:pPr>
      <w:r>
        <w:t xml:space="preserve">our plans for monitoring the impact of the updated </w:t>
      </w:r>
      <w:r w:rsidRPr="00DE410F">
        <w:rPr>
          <w:i/>
          <w:iCs/>
        </w:rPr>
        <w:t>Good medica practice</w:t>
      </w:r>
      <w:r>
        <w:t xml:space="preserve"> and our implementation activities.</w:t>
      </w:r>
    </w:p>
    <w:p w14:paraId="51C78A2D" w14:textId="77777777" w:rsidR="00DE410F" w:rsidRDefault="00DE410F" w:rsidP="00DE410F">
      <w:pPr>
        <w:pStyle w:val="BodyText1"/>
        <w:numPr>
          <w:ilvl w:val="0"/>
          <w:numId w:val="20"/>
        </w:numPr>
      </w:pPr>
      <w:r>
        <w:t>We will also publish part four of the EA to inform:</w:t>
      </w:r>
    </w:p>
    <w:p w14:paraId="64A92F83" w14:textId="77777777" w:rsidR="00DE410F" w:rsidRDefault="00DE410F" w:rsidP="00DE410F">
      <w:pPr>
        <w:pStyle w:val="BodyText1"/>
        <w:numPr>
          <w:ilvl w:val="1"/>
          <w:numId w:val="20"/>
        </w:numPr>
      </w:pPr>
      <w:r>
        <w:t>the associated review of eight pieces of more detailed guidance.</w:t>
      </w:r>
    </w:p>
    <w:p w14:paraId="2AA78C9A" w14:textId="257DC2DC" w:rsidR="00DE410F" w:rsidRDefault="00DE410F" w:rsidP="00DE410F">
      <w:pPr>
        <w:pStyle w:val="BodyText1"/>
        <w:numPr>
          <w:ilvl w:val="1"/>
          <w:numId w:val="20"/>
        </w:numPr>
      </w:pPr>
      <w:r>
        <w:t>lessons learned, to inform our next professional standards review project.</w:t>
      </w:r>
    </w:p>
    <w:p w14:paraId="78C9C5F6" w14:textId="77777777" w:rsidR="00DE410F" w:rsidRDefault="00DE410F" w:rsidP="00DE410F">
      <w:pPr>
        <w:pStyle w:val="Heading3"/>
      </w:pPr>
      <w:r>
        <w:t>Evidence</w:t>
      </w:r>
      <w:r>
        <w:tab/>
      </w:r>
    </w:p>
    <w:p w14:paraId="1563C4A8" w14:textId="77777777" w:rsidR="00DE410F" w:rsidRDefault="00DE410F" w:rsidP="00DE410F">
      <w:pPr>
        <w:pStyle w:val="BodyText1"/>
        <w:numPr>
          <w:ilvl w:val="0"/>
          <w:numId w:val="20"/>
        </w:numPr>
      </w:pPr>
      <w:r>
        <w:t xml:space="preserve">A detailed description of the evidence </w:t>
      </w:r>
      <w:proofErr w:type="gramStart"/>
      <w:r>
        <w:t>base</w:t>
      </w:r>
      <w:proofErr w:type="gramEnd"/>
      <w:r>
        <w:t xml:space="preserve"> for the updates we’ve made to </w:t>
      </w:r>
      <w:r w:rsidRPr="00DE410F">
        <w:rPr>
          <w:i/>
          <w:iCs/>
        </w:rPr>
        <w:t>Good medical practice</w:t>
      </w:r>
      <w:r>
        <w:t xml:space="preserve"> is set out at part one and part two of the EA.</w:t>
      </w:r>
    </w:p>
    <w:p w14:paraId="068E3AA2" w14:textId="77777777" w:rsidR="00DE410F" w:rsidRDefault="00DE410F" w:rsidP="00DE410F">
      <w:pPr>
        <w:pStyle w:val="BodyText1"/>
        <w:numPr>
          <w:ilvl w:val="0"/>
          <w:numId w:val="20"/>
        </w:numPr>
      </w:pPr>
      <w:r>
        <w:t>This included:</w:t>
      </w:r>
    </w:p>
    <w:p w14:paraId="4603EB0F" w14:textId="77777777" w:rsidR="00DE410F" w:rsidRDefault="00DE410F" w:rsidP="00DE410F">
      <w:pPr>
        <w:pStyle w:val="BodyText1"/>
        <w:numPr>
          <w:ilvl w:val="1"/>
          <w:numId w:val="20"/>
        </w:numPr>
      </w:pPr>
      <w:r>
        <w:t xml:space="preserve">detailed scoping. A full list of the intelligence and evidence referenced is available at Annex A of part one. </w:t>
      </w:r>
    </w:p>
    <w:p w14:paraId="617189E4" w14:textId="77777777" w:rsidR="00DE410F" w:rsidRDefault="00DE410F" w:rsidP="00DE410F">
      <w:pPr>
        <w:pStyle w:val="BodyText1"/>
        <w:numPr>
          <w:ilvl w:val="1"/>
          <w:numId w:val="20"/>
        </w:numPr>
      </w:pPr>
      <w:r>
        <w:t>consultation. Three surveys for main stakeholders, healthcare professionals, and patients and the public.</w:t>
      </w:r>
    </w:p>
    <w:p w14:paraId="22F435AD" w14:textId="77777777" w:rsidR="00DE410F" w:rsidRDefault="00DE410F" w:rsidP="00DE410F">
      <w:pPr>
        <w:pStyle w:val="BodyText1"/>
        <w:numPr>
          <w:ilvl w:val="1"/>
          <w:numId w:val="20"/>
        </w:numPr>
      </w:pPr>
      <w:r>
        <w:t>independent research on patient views from seldom heard groups involving over 156 participants from 22 diverse cohorts (including homeless people, refugees and asylum seekers, school children, people living in residential care).</w:t>
      </w:r>
    </w:p>
    <w:p w14:paraId="71B8AC62" w14:textId="5CD2EDA8" w:rsidR="00DE410F" w:rsidRDefault="00DE410F" w:rsidP="00DE410F">
      <w:pPr>
        <w:pStyle w:val="BodyText1"/>
        <w:numPr>
          <w:ilvl w:val="1"/>
          <w:numId w:val="20"/>
        </w:numPr>
      </w:pPr>
      <w:r>
        <w:t xml:space="preserve">engagement with diverse audiences across the UK via our outreach team and </w:t>
      </w:r>
      <w:r>
        <w:lastRenderedPageBreak/>
        <w:t>national offices.</w:t>
      </w:r>
    </w:p>
    <w:p w14:paraId="54BA1CBE" w14:textId="77777777" w:rsidR="00DE410F" w:rsidRDefault="00DE410F" w:rsidP="00DE410F">
      <w:pPr>
        <w:pStyle w:val="Heading3"/>
      </w:pPr>
      <w:r>
        <w:t>Equality analysis</w:t>
      </w:r>
      <w:r>
        <w:tab/>
      </w:r>
    </w:p>
    <w:p w14:paraId="37E62157" w14:textId="23F9A7A0" w:rsidR="00DE410F" w:rsidRPr="00000AA5" w:rsidRDefault="00DE410F" w:rsidP="00DE410F">
      <w:pPr>
        <w:pStyle w:val="BodyText1"/>
        <w:numPr>
          <w:ilvl w:val="0"/>
          <w:numId w:val="20"/>
        </w:numPr>
        <w:rPr>
          <w:i/>
          <w:iCs/>
        </w:rPr>
      </w:pPr>
      <w:r>
        <w:t xml:space="preserve">During the public consultation in 2022, we successfully reached diverse groups of medical professionals and patients. A breakdown of respondent characteristics and the steps we took to achieve this are set out in Part two of the equality analysis. In response, there was significant support for our ambition to improve equality, diversity and inclusion impacts for both medical professionals and patients through our updates to </w:t>
      </w:r>
      <w:r w:rsidRPr="00000AA5">
        <w:rPr>
          <w:i/>
          <w:iCs/>
        </w:rPr>
        <w:t>G</w:t>
      </w:r>
      <w:r w:rsidR="00000AA5" w:rsidRPr="00000AA5">
        <w:rPr>
          <w:i/>
          <w:iCs/>
        </w:rPr>
        <w:t>ood medical practice</w:t>
      </w:r>
      <w:r w:rsidRPr="00000AA5">
        <w:rPr>
          <w:i/>
          <w:iCs/>
        </w:rPr>
        <w:t xml:space="preserve">. </w:t>
      </w:r>
    </w:p>
    <w:p w14:paraId="7113EB74" w14:textId="77777777" w:rsidR="00DE410F" w:rsidRDefault="00DE410F" w:rsidP="00DE410F">
      <w:pPr>
        <w:pStyle w:val="BodyText1"/>
        <w:numPr>
          <w:ilvl w:val="0"/>
          <w:numId w:val="20"/>
        </w:numPr>
      </w:pPr>
      <w:r>
        <w:t xml:space="preserve">Some respondents felt the updated professional standards have the potential to act as a catalyst for positive change across the wider healthcare system. This includes tackling discrimination experienced by patients and medical professionals sharing protected characteristics, and improving access to communication support needs for patients. </w:t>
      </w:r>
    </w:p>
    <w:p w14:paraId="2034466B" w14:textId="77777777" w:rsidR="00DE410F" w:rsidRDefault="00DE410F" w:rsidP="00DE410F">
      <w:pPr>
        <w:pStyle w:val="BodyText1"/>
        <w:numPr>
          <w:ilvl w:val="0"/>
          <w:numId w:val="20"/>
        </w:numPr>
      </w:pPr>
      <w:r>
        <w:t xml:space="preserve">Many others felt our professional standards were unlikely to make any difference in effecting individual behaviour change and fairness. </w:t>
      </w:r>
    </w:p>
    <w:p w14:paraId="2A7570C9" w14:textId="77777777" w:rsidR="00DE410F" w:rsidRDefault="00DE410F" w:rsidP="00DE410F">
      <w:pPr>
        <w:pStyle w:val="BodyText1"/>
        <w:numPr>
          <w:ilvl w:val="0"/>
          <w:numId w:val="20"/>
        </w:numPr>
      </w:pPr>
      <w:r>
        <w:t xml:space="preserve">Many people identified a need for employers, system regulators and quality improvement bodies to take an active role in creating a work environment which is conducive to delivering </w:t>
      </w:r>
      <w:r w:rsidRPr="00DE410F">
        <w:rPr>
          <w:i/>
          <w:iCs/>
        </w:rPr>
        <w:t>Good medical practice</w:t>
      </w:r>
      <w:r>
        <w:t xml:space="preserve">. </w:t>
      </w:r>
    </w:p>
    <w:p w14:paraId="2AA6302B" w14:textId="2C1D8EDA" w:rsidR="00DE410F" w:rsidRDefault="00DE410F" w:rsidP="00DE410F">
      <w:pPr>
        <w:pStyle w:val="BodyText1"/>
        <w:numPr>
          <w:ilvl w:val="0"/>
          <w:numId w:val="20"/>
        </w:numPr>
      </w:pPr>
      <w:r>
        <w:t>Some respondents were sceptical that the GMC is an appropriate body to deliver the wide-scale system changes needed to embed professional standards in work environments, or that anyone would monitor compliance or evaluate impact.</w:t>
      </w:r>
    </w:p>
    <w:p w14:paraId="65BF1415" w14:textId="77777777" w:rsidR="00DE410F" w:rsidRDefault="00DE410F" w:rsidP="00DE410F">
      <w:pPr>
        <w:pStyle w:val="BodyText1"/>
        <w:numPr>
          <w:ilvl w:val="0"/>
          <w:numId w:val="20"/>
        </w:numPr>
      </w:pPr>
      <w:r>
        <w:t xml:space="preserve">We also heard widely held concerns that </w:t>
      </w:r>
      <w:r w:rsidRPr="00DE410F">
        <w:rPr>
          <w:i/>
          <w:iCs/>
        </w:rPr>
        <w:t>Good medical practice</w:t>
      </w:r>
      <w:r>
        <w:t xml:space="preserve"> could potentially lead to unintended consequences in fitness to practise and disciplinary procedures, both inside and outside the organisation. For example, many felt it could lead to disproportionate number of complaints or outcomes of complaints about medical professionals sharing protected characteristics.</w:t>
      </w:r>
    </w:p>
    <w:p w14:paraId="0F5FAA36" w14:textId="32B54BB2" w:rsidR="00DE410F" w:rsidRDefault="00DE410F" w:rsidP="00DE410F">
      <w:pPr>
        <w:pStyle w:val="BodyText1"/>
        <w:numPr>
          <w:ilvl w:val="0"/>
          <w:numId w:val="20"/>
        </w:numPr>
      </w:pPr>
      <w:r>
        <w:t>This EA is intended to set out how our implementation approach will maximise benefits for people sharing protected characteristics and minimise any unintended adverse impacts.</w:t>
      </w:r>
    </w:p>
    <w:p w14:paraId="6411A3F2" w14:textId="77777777" w:rsidR="00DE410F" w:rsidRDefault="00DE410F" w:rsidP="00DE410F">
      <w:pPr>
        <w:pStyle w:val="Heading3"/>
      </w:pPr>
      <w:r>
        <w:t>Barriers and enablers analysis</w:t>
      </w:r>
      <w:r>
        <w:tab/>
      </w:r>
    </w:p>
    <w:p w14:paraId="13CB5BF3" w14:textId="019F5054" w:rsidR="00DE410F" w:rsidRDefault="00DE410F" w:rsidP="00DE410F">
      <w:pPr>
        <w:pStyle w:val="BodyText1"/>
        <w:numPr>
          <w:ilvl w:val="0"/>
          <w:numId w:val="20"/>
        </w:numPr>
      </w:pPr>
      <w:r>
        <w:t xml:space="preserve">Analysis of the consultation survey responses, including analysis of questions on barriers and enablers to implementation of </w:t>
      </w:r>
      <w:r w:rsidRPr="00000AA5">
        <w:rPr>
          <w:i/>
          <w:iCs/>
        </w:rPr>
        <w:t>G</w:t>
      </w:r>
      <w:r w:rsidR="00000AA5" w:rsidRPr="00000AA5">
        <w:rPr>
          <w:i/>
          <w:iCs/>
        </w:rPr>
        <w:t>ood medical practice</w:t>
      </w:r>
      <w:r>
        <w:t>, identified key risks:</w:t>
      </w:r>
    </w:p>
    <w:p w14:paraId="7B93355E" w14:textId="7F2BD4B8" w:rsidR="00DE410F" w:rsidRDefault="00DE410F" w:rsidP="00DE410F">
      <w:pPr>
        <w:pStyle w:val="Heading4"/>
      </w:pPr>
      <w:r>
        <w:t xml:space="preserve">Application of </w:t>
      </w:r>
      <w:r w:rsidRPr="00000AA5">
        <w:rPr>
          <w:i/>
          <w:iCs/>
        </w:rPr>
        <w:t>G</w:t>
      </w:r>
      <w:r w:rsidR="00000AA5" w:rsidRPr="00000AA5">
        <w:rPr>
          <w:i/>
          <w:iCs/>
        </w:rPr>
        <w:t>ood medical practice</w:t>
      </w:r>
      <w:r w:rsidR="00000AA5">
        <w:t xml:space="preserve"> </w:t>
      </w:r>
    </w:p>
    <w:p w14:paraId="34C24368" w14:textId="5B3650FE" w:rsidR="00DE410F" w:rsidRDefault="00DE410F" w:rsidP="00DE410F">
      <w:pPr>
        <w:pStyle w:val="BodyText1"/>
        <w:numPr>
          <w:ilvl w:val="0"/>
          <w:numId w:val="20"/>
        </w:numPr>
      </w:pPr>
      <w:r>
        <w:t xml:space="preserve">Decision makers in the GMC’s fitness to practise and Medical Practitioners Tribunal </w:t>
      </w:r>
      <w:r>
        <w:lastRenderedPageBreak/>
        <w:t xml:space="preserve">Service could apply the updated version of </w:t>
      </w:r>
      <w:r w:rsidRPr="00DE410F">
        <w:rPr>
          <w:i/>
          <w:iCs/>
        </w:rPr>
        <w:t>Good medical practice</w:t>
      </w:r>
      <w:r>
        <w:t xml:space="preserve"> in a way that disproportionately impacts on people sharing protected characteristics, including women, people with disabilities, neurodiverse people, </w:t>
      </w:r>
      <w:r w:rsidR="00000AA5">
        <w:t xml:space="preserve">ethnic </w:t>
      </w:r>
      <w:proofErr w:type="gramStart"/>
      <w:r w:rsidR="00000AA5">
        <w:t>minorities</w:t>
      </w:r>
      <w:proofErr w:type="gramEnd"/>
      <w:r w:rsidR="00000AA5">
        <w:t xml:space="preserve"> an</w:t>
      </w:r>
      <w:r>
        <w:t>d those who have qualified overseas.</w:t>
      </w:r>
    </w:p>
    <w:p w14:paraId="370DBEE9" w14:textId="4CE8DA16" w:rsidR="00DE410F" w:rsidRDefault="00DE410F" w:rsidP="00DE410F">
      <w:pPr>
        <w:pStyle w:val="BodyText1"/>
        <w:numPr>
          <w:ilvl w:val="0"/>
          <w:numId w:val="20"/>
        </w:numPr>
      </w:pPr>
      <w:r>
        <w:t xml:space="preserve">External organisations (healthcare bodies, employers, medical schools, and others) could update their fitness to practise and disciplinary procedures (including Maintaining High Professional Standards in the NHS) to align with </w:t>
      </w:r>
      <w:r w:rsidRPr="00DE410F">
        <w:rPr>
          <w:i/>
          <w:iCs/>
        </w:rPr>
        <w:t>Good medical practice</w:t>
      </w:r>
      <w:r>
        <w:t xml:space="preserve"> in a way that disproportionately impacts on people sharing protected characteristics, including men and women, people with disabilities, neurodiverse people, </w:t>
      </w:r>
      <w:r w:rsidR="00000AA5">
        <w:t xml:space="preserve">ethnic </w:t>
      </w:r>
      <w:proofErr w:type="gramStart"/>
      <w:r w:rsidR="00000AA5">
        <w:t>minorities</w:t>
      </w:r>
      <w:proofErr w:type="gramEnd"/>
      <w:r>
        <w:t xml:space="preserve"> and those who have qualified overseas.</w:t>
      </w:r>
    </w:p>
    <w:p w14:paraId="2561CA8F" w14:textId="77777777" w:rsidR="00DE410F" w:rsidRDefault="00DE410F" w:rsidP="00DE410F">
      <w:pPr>
        <w:pStyle w:val="Heading4"/>
      </w:pPr>
      <w:r>
        <w:t>Working environment</w:t>
      </w:r>
    </w:p>
    <w:p w14:paraId="33A4A897" w14:textId="1873B5BF" w:rsidR="00DE410F" w:rsidRDefault="00DE410F" w:rsidP="00DE410F">
      <w:pPr>
        <w:pStyle w:val="BodyText1"/>
        <w:numPr>
          <w:ilvl w:val="0"/>
          <w:numId w:val="20"/>
        </w:numPr>
      </w:pPr>
      <w:r>
        <w:t xml:space="preserve">Employers and health service providers may not provide a working environment which is supportive of medical professionals practising, in line with our updated professional standards. This could mean and medical professionals continue to experience unfair treatment. </w:t>
      </w:r>
    </w:p>
    <w:p w14:paraId="36A3925C" w14:textId="77777777" w:rsidR="00DE410F" w:rsidRDefault="00DE410F" w:rsidP="00DE410F">
      <w:pPr>
        <w:pStyle w:val="BodyText1"/>
        <w:numPr>
          <w:ilvl w:val="0"/>
          <w:numId w:val="20"/>
        </w:numPr>
      </w:pPr>
      <w:r>
        <w:t>Concerns raised about the impact of working environments on meeting our professional standards included:</w:t>
      </w:r>
    </w:p>
    <w:p w14:paraId="7336BF95" w14:textId="77777777" w:rsidR="00DE410F" w:rsidRDefault="00DE410F" w:rsidP="00DE410F">
      <w:pPr>
        <w:pStyle w:val="BodyText1"/>
        <w:numPr>
          <w:ilvl w:val="1"/>
          <w:numId w:val="20"/>
        </w:numPr>
      </w:pPr>
      <w:r>
        <w:t>a lack of adequate interpreting and translation services, creating an environment where it is difficult to meet patient communication needs.</w:t>
      </w:r>
    </w:p>
    <w:p w14:paraId="4410B555" w14:textId="77777777" w:rsidR="00DE410F" w:rsidRDefault="00DE410F" w:rsidP="00DE410F">
      <w:pPr>
        <w:pStyle w:val="BodyText1"/>
        <w:numPr>
          <w:ilvl w:val="1"/>
          <w:numId w:val="20"/>
        </w:numPr>
      </w:pPr>
      <w:r>
        <w:t>workforce pressures, time allocated to see each patient, lack of funding and resources impacting on ability to apply the standards in practice.</w:t>
      </w:r>
    </w:p>
    <w:p w14:paraId="2E45BCB6" w14:textId="5E3F78F8" w:rsidR="00DE410F" w:rsidRDefault="00DE410F" w:rsidP="00DE410F">
      <w:pPr>
        <w:pStyle w:val="BodyText1"/>
        <w:numPr>
          <w:ilvl w:val="1"/>
          <w:numId w:val="20"/>
        </w:numPr>
      </w:pPr>
      <w:r>
        <w:t>bullying and discrimination, and lack of supportive response from administrative staff in the healthcare system outside our scope of regulation, when concerns are raised.</w:t>
      </w:r>
    </w:p>
    <w:p w14:paraId="44654E82" w14:textId="3C5E3402" w:rsidR="00DE410F" w:rsidRDefault="00DE410F" w:rsidP="00DE410F">
      <w:pPr>
        <w:pStyle w:val="BodyText1"/>
        <w:numPr>
          <w:ilvl w:val="0"/>
          <w:numId w:val="20"/>
        </w:numPr>
      </w:pPr>
      <w:r>
        <w:t xml:space="preserve">In addition, respondents identified a lack of local bystander action initiatives and specialist policies on handling complaints about sexual harassment in the workplace as barriers to tackling discrimination effectively. </w:t>
      </w:r>
    </w:p>
    <w:p w14:paraId="7D81BA7F" w14:textId="77777777" w:rsidR="00DE410F" w:rsidRDefault="00DE410F" w:rsidP="00DE410F">
      <w:pPr>
        <w:pStyle w:val="Heading3"/>
      </w:pPr>
      <w:r>
        <w:t>Summary of actions</w:t>
      </w:r>
      <w:r>
        <w:tab/>
      </w:r>
    </w:p>
    <w:p w14:paraId="6ECB6D9C" w14:textId="5C1135EC" w:rsidR="00DE410F" w:rsidRDefault="00DE410F" w:rsidP="00DE410F">
      <w:pPr>
        <w:pStyle w:val="BodyText1"/>
        <w:numPr>
          <w:ilvl w:val="0"/>
          <w:numId w:val="20"/>
        </w:numPr>
      </w:pPr>
      <w:r>
        <w:t>Risk: External organisations, and decision makers in the</w:t>
      </w:r>
      <w:r w:rsidR="00000AA5">
        <w:t xml:space="preserve"> GMC</w:t>
      </w:r>
      <w:r>
        <w:t xml:space="preserve">’s fitness to practice and Medical Practitioners Tribunal Service, could apply </w:t>
      </w:r>
      <w:r w:rsidRPr="00000AA5">
        <w:rPr>
          <w:i/>
          <w:iCs/>
        </w:rPr>
        <w:t>G</w:t>
      </w:r>
      <w:r w:rsidR="00000AA5" w:rsidRPr="00000AA5">
        <w:rPr>
          <w:i/>
          <w:iCs/>
        </w:rPr>
        <w:t>ood medical practice</w:t>
      </w:r>
      <w:r w:rsidR="00000AA5">
        <w:t xml:space="preserve"> </w:t>
      </w:r>
      <w:r>
        <w:t>in a way that disproportionately affects people who share protected characteristics.</w:t>
      </w:r>
    </w:p>
    <w:p w14:paraId="78F30497" w14:textId="77777777" w:rsidR="00DE410F" w:rsidRDefault="00DE410F" w:rsidP="00DE410F">
      <w:pPr>
        <w:pStyle w:val="BodyText1"/>
        <w:numPr>
          <w:ilvl w:val="0"/>
          <w:numId w:val="20"/>
        </w:numPr>
      </w:pPr>
      <w:r>
        <w:t>Actions:</w:t>
      </w:r>
    </w:p>
    <w:p w14:paraId="71196201" w14:textId="12B61F2D" w:rsidR="00DE410F" w:rsidRDefault="00DE410F" w:rsidP="00DE410F">
      <w:pPr>
        <w:pStyle w:val="BodyText1"/>
        <w:numPr>
          <w:ilvl w:val="1"/>
          <w:numId w:val="20"/>
        </w:numPr>
      </w:pPr>
      <w:r>
        <w:t xml:space="preserve">Our Outreach team will liaise with employers and Responsible officers (ROs) to promote the supportive intentions underpinning changes to </w:t>
      </w:r>
      <w:r w:rsidRPr="00000AA5">
        <w:rPr>
          <w:i/>
          <w:iCs/>
        </w:rPr>
        <w:t xml:space="preserve">Good </w:t>
      </w:r>
      <w:r w:rsidR="00000AA5" w:rsidRPr="00000AA5">
        <w:rPr>
          <w:i/>
          <w:iCs/>
        </w:rPr>
        <w:t>m</w:t>
      </w:r>
      <w:r w:rsidRPr="00000AA5">
        <w:rPr>
          <w:i/>
          <w:iCs/>
        </w:rPr>
        <w:t xml:space="preserve">edical </w:t>
      </w:r>
      <w:r w:rsidR="00000AA5" w:rsidRPr="00000AA5">
        <w:rPr>
          <w:i/>
          <w:iCs/>
        </w:rPr>
        <w:lastRenderedPageBreak/>
        <w:t>p</w:t>
      </w:r>
      <w:r w:rsidRPr="00000AA5">
        <w:rPr>
          <w:i/>
          <w:iCs/>
        </w:rPr>
        <w:t>ractice</w:t>
      </w:r>
      <w:r>
        <w:t>, and the importance of fair treatment for medical professionals from diverse backgrounds.</w:t>
      </w:r>
    </w:p>
    <w:p w14:paraId="2B55DF89" w14:textId="737DA087" w:rsidR="00DE410F" w:rsidRDefault="00DE410F" w:rsidP="00DE410F">
      <w:pPr>
        <w:pStyle w:val="BodyText1"/>
        <w:numPr>
          <w:ilvl w:val="1"/>
          <w:numId w:val="20"/>
        </w:numPr>
      </w:pPr>
      <w:r>
        <w:t>Our Fitness to practise directorate will complete a separate EQA as part of their regulatory reform programme of work. This will analyse the impact on all protected groups that may arise from changes to F</w:t>
      </w:r>
      <w:r w:rsidR="008A322F">
        <w:t xml:space="preserve">itness to practise </w:t>
      </w:r>
      <w:r>
        <w:t>guidance and rules, including changes to guidance on decision making principles and behaviours.</w:t>
      </w:r>
    </w:p>
    <w:p w14:paraId="71636C1A" w14:textId="77777777" w:rsidR="00DE410F" w:rsidRDefault="00DE410F" w:rsidP="00DE410F">
      <w:pPr>
        <w:pStyle w:val="BodyText1"/>
        <w:numPr>
          <w:ilvl w:val="1"/>
          <w:numId w:val="20"/>
        </w:numPr>
      </w:pPr>
      <w:r>
        <w:t>Our Standards team will offer support on training for decision makers.</w:t>
      </w:r>
    </w:p>
    <w:p w14:paraId="157B6A76" w14:textId="1E749A55" w:rsidR="00DE410F" w:rsidRDefault="00DE410F" w:rsidP="00DE410F">
      <w:pPr>
        <w:pStyle w:val="BodyText1"/>
        <w:numPr>
          <w:ilvl w:val="1"/>
          <w:numId w:val="20"/>
        </w:numPr>
      </w:pPr>
      <w:r>
        <w:t xml:space="preserve">Our Equality, </w:t>
      </w:r>
      <w:r w:rsidR="008A322F">
        <w:t>d</w:t>
      </w:r>
      <w:r>
        <w:t xml:space="preserve">iversity and </w:t>
      </w:r>
      <w:r w:rsidR="008A322F">
        <w:t>i</w:t>
      </w:r>
      <w:r>
        <w:t>nclusion programme includes targets on</w:t>
      </w:r>
    </w:p>
    <w:p w14:paraId="5BCDA571" w14:textId="056A9149" w:rsidR="00DE410F" w:rsidRDefault="00DE410F" w:rsidP="00DE410F">
      <w:pPr>
        <w:pStyle w:val="BodyText1"/>
        <w:numPr>
          <w:ilvl w:val="2"/>
          <w:numId w:val="20"/>
        </w:numPr>
      </w:pPr>
      <w:r>
        <w:t>Fairer employer referrals – Eliminate disproportionality in fitness to practice referrals from</w:t>
      </w:r>
      <w:r w:rsidR="008A322F">
        <w:t xml:space="preserve"> designated bodies </w:t>
      </w:r>
      <w:r>
        <w:t xml:space="preserve">based on ethnicity and </w:t>
      </w:r>
      <w:r w:rsidR="008A322F">
        <w:t xml:space="preserve">primary medical qualification </w:t>
      </w:r>
      <w:r>
        <w:t xml:space="preserve">by </w:t>
      </w:r>
      <w:proofErr w:type="gramStart"/>
      <w:r>
        <w:t>2026</w:t>
      </w:r>
      <w:proofErr w:type="gramEnd"/>
    </w:p>
    <w:p w14:paraId="51338A1F" w14:textId="77777777" w:rsidR="00DE410F" w:rsidRDefault="00DE410F" w:rsidP="00DE410F">
      <w:pPr>
        <w:pStyle w:val="BodyText1"/>
        <w:numPr>
          <w:ilvl w:val="2"/>
          <w:numId w:val="20"/>
        </w:numPr>
      </w:pPr>
      <w:r>
        <w:t xml:space="preserve">Fair training cultures – Eliminate discrimination, disadvantage and unfairness in medical education and training by </w:t>
      </w:r>
      <w:proofErr w:type="gramStart"/>
      <w:r>
        <w:t>2031</w:t>
      </w:r>
      <w:proofErr w:type="gramEnd"/>
    </w:p>
    <w:p w14:paraId="396F3E11" w14:textId="331BEBD8" w:rsidR="00DE410F" w:rsidRDefault="00DE410F" w:rsidP="00DE410F">
      <w:pPr>
        <w:pStyle w:val="BodyText1"/>
        <w:numPr>
          <w:ilvl w:val="2"/>
          <w:numId w:val="20"/>
        </w:numPr>
      </w:pPr>
      <w:r>
        <w:t xml:space="preserve">Regulatory fairness – Robustly test, </w:t>
      </w:r>
      <w:proofErr w:type="gramStart"/>
      <w:r>
        <w:t>evidence</w:t>
      </w:r>
      <w:proofErr w:type="gramEnd"/>
      <w:r>
        <w:t xml:space="preserve"> and demonstrate the conscious management of bias and the fairness of our processes.</w:t>
      </w:r>
    </w:p>
    <w:p w14:paraId="161759A6" w14:textId="7B88738F" w:rsidR="00DE410F" w:rsidRDefault="00DE410F" w:rsidP="00DE410F">
      <w:pPr>
        <w:pStyle w:val="BodyText1"/>
        <w:numPr>
          <w:ilvl w:val="0"/>
          <w:numId w:val="20"/>
        </w:numPr>
      </w:pPr>
      <w:r>
        <w:t>Risk: The implementation and communication tools we create to promote G</w:t>
      </w:r>
      <w:r w:rsidR="008A322F">
        <w:t xml:space="preserve">ood medical practice </w:t>
      </w:r>
      <w:r>
        <w:t xml:space="preserve">to medical practitioners might not effectively engage with some groups of people with shared protected characteristics. </w:t>
      </w:r>
    </w:p>
    <w:p w14:paraId="77FC8168" w14:textId="77777777" w:rsidR="00DE410F" w:rsidRDefault="00DE410F" w:rsidP="00DE410F">
      <w:pPr>
        <w:pStyle w:val="BodyText1"/>
        <w:numPr>
          <w:ilvl w:val="0"/>
          <w:numId w:val="20"/>
        </w:numPr>
      </w:pPr>
      <w:r>
        <w:t>Actions:</w:t>
      </w:r>
    </w:p>
    <w:p w14:paraId="02DCEC52" w14:textId="77777777" w:rsidR="00DE410F" w:rsidRDefault="00DE410F" w:rsidP="00DE410F">
      <w:pPr>
        <w:pStyle w:val="BodyText1"/>
        <w:numPr>
          <w:ilvl w:val="1"/>
          <w:numId w:val="20"/>
        </w:numPr>
      </w:pPr>
      <w:r>
        <w:t>We will consider the need to visibly reflect diverse communities in our communications and implementation products.</w:t>
      </w:r>
    </w:p>
    <w:p w14:paraId="22B51067" w14:textId="578C4608" w:rsidR="00DE410F" w:rsidRDefault="00DE410F" w:rsidP="00DE410F">
      <w:pPr>
        <w:pStyle w:val="BodyText1"/>
        <w:numPr>
          <w:ilvl w:val="1"/>
          <w:numId w:val="20"/>
        </w:numPr>
      </w:pPr>
      <w:r>
        <w:t xml:space="preserve">We will consider the need to pilot </w:t>
      </w:r>
      <w:r w:rsidR="008A322F">
        <w:t>our</w:t>
      </w:r>
      <w:r>
        <w:t xml:space="preserve"> train the trainer toolkit among different population groups.</w:t>
      </w:r>
    </w:p>
    <w:p w14:paraId="3D501DAD" w14:textId="77777777" w:rsidR="00DE410F" w:rsidRDefault="00DE410F" w:rsidP="00DE410F">
      <w:pPr>
        <w:pStyle w:val="BodyText1"/>
        <w:numPr>
          <w:ilvl w:val="1"/>
          <w:numId w:val="20"/>
        </w:numPr>
      </w:pPr>
      <w:r>
        <w:t>Outreach to provide targeted awareness activity for groups sharing protected characteristics.</w:t>
      </w:r>
    </w:p>
    <w:p w14:paraId="090BBDED" w14:textId="38D50A28" w:rsidR="00DE410F" w:rsidRDefault="00DE410F" w:rsidP="00DE410F">
      <w:pPr>
        <w:pStyle w:val="BodyText1"/>
        <w:numPr>
          <w:ilvl w:val="1"/>
          <w:numId w:val="20"/>
        </w:numPr>
      </w:pPr>
      <w:r>
        <w:t xml:space="preserve">We have reviewed the </w:t>
      </w:r>
      <w:r w:rsidR="008A322F">
        <w:t xml:space="preserve">standards to make sure they are </w:t>
      </w:r>
      <w:r>
        <w:t>clear and easy to read for everyone.</w:t>
      </w:r>
      <w:r w:rsidR="008A322F">
        <w:t xml:space="preserve"> This includes through focus groups.</w:t>
      </w:r>
    </w:p>
    <w:p w14:paraId="17BFCDDF" w14:textId="77777777" w:rsidR="00DE410F" w:rsidRDefault="00DE410F" w:rsidP="00DE410F">
      <w:pPr>
        <w:pStyle w:val="BodyText1"/>
        <w:numPr>
          <w:ilvl w:val="0"/>
          <w:numId w:val="20"/>
        </w:numPr>
      </w:pPr>
      <w:r>
        <w:t xml:space="preserve">Risk: We offer an ethical enquiry service to support doctors and patients to understand how </w:t>
      </w:r>
      <w:r w:rsidRPr="008A322F">
        <w:rPr>
          <w:i/>
          <w:iCs/>
        </w:rPr>
        <w:t>Good medical practice</w:t>
      </w:r>
      <w:r>
        <w:t xml:space="preserve"> applies in complex situations. We don't hold information on demographics of service users, so we don't have any insight into accessibility and demand for different groups sharing protected characteristics or by place of medical qualification.</w:t>
      </w:r>
    </w:p>
    <w:p w14:paraId="25A57A9D" w14:textId="77777777" w:rsidR="00DE410F" w:rsidRDefault="00DE410F" w:rsidP="00DE410F">
      <w:pPr>
        <w:pStyle w:val="BodyText1"/>
        <w:numPr>
          <w:ilvl w:val="0"/>
          <w:numId w:val="20"/>
        </w:numPr>
      </w:pPr>
      <w:r>
        <w:t>Actions:</w:t>
      </w:r>
    </w:p>
    <w:p w14:paraId="722E0279" w14:textId="77777777" w:rsidR="00DE410F" w:rsidRDefault="00DE410F" w:rsidP="00DE410F">
      <w:pPr>
        <w:pStyle w:val="BodyText1"/>
        <w:numPr>
          <w:ilvl w:val="1"/>
          <w:numId w:val="20"/>
        </w:numPr>
      </w:pPr>
      <w:r>
        <w:t>We will consider collating data on the personal characteristics of people accessing our ethical enquiry service. This will help us understand if this is broadly proportionate to the information we hold on our register and identify any groups experiencing barriers to access our service.</w:t>
      </w:r>
    </w:p>
    <w:p w14:paraId="6CA9A211" w14:textId="78A13A7F" w:rsidR="00DE410F" w:rsidRDefault="008A322F" w:rsidP="00DE410F">
      <w:pPr>
        <w:pStyle w:val="BodyText1"/>
        <w:numPr>
          <w:ilvl w:val="1"/>
          <w:numId w:val="20"/>
        </w:numPr>
      </w:pPr>
      <w:r>
        <w:lastRenderedPageBreak/>
        <w:t xml:space="preserve">We will also </w:t>
      </w:r>
      <w:r w:rsidR="00DE410F">
        <w:t>consider our approach to collating data on personal characteristics for people accessing ethical advice via our contact centre.</w:t>
      </w:r>
    </w:p>
    <w:p w14:paraId="25183289" w14:textId="5F583435" w:rsidR="00DE410F" w:rsidRDefault="008A322F" w:rsidP="00DE410F">
      <w:pPr>
        <w:pStyle w:val="BodyText1"/>
        <w:numPr>
          <w:ilvl w:val="1"/>
          <w:numId w:val="20"/>
        </w:numPr>
      </w:pPr>
      <w:r>
        <w:t>We will a</w:t>
      </w:r>
      <w:r w:rsidR="00DE410F">
        <w:t>sk other providers of advice based on our professional standards if they collate data on enquirer characteristics and offer training to ensure advice provided is based on an accurate understanding of our most recent guidance.</w:t>
      </w:r>
    </w:p>
    <w:p w14:paraId="53B83023" w14:textId="2C8F8781" w:rsidR="00DE410F" w:rsidRDefault="00DE410F" w:rsidP="00DE410F">
      <w:pPr>
        <w:pStyle w:val="BodyText1"/>
        <w:numPr>
          <w:ilvl w:val="0"/>
          <w:numId w:val="20"/>
        </w:numPr>
      </w:pPr>
      <w:r>
        <w:t xml:space="preserve">Risk: The working environment may not be supportive of medical professionals working in line with </w:t>
      </w:r>
      <w:r w:rsidR="008A322F">
        <w:t>the updated standards</w:t>
      </w:r>
      <w:r>
        <w:t>. This includes the risk that those in a position to influence outcomes for people sharing protected characteristics may not engage with our guidance or change their behaviour. This could mean discrimination, bullying and harassment continues unchecked.</w:t>
      </w:r>
    </w:p>
    <w:p w14:paraId="3E226332" w14:textId="77777777" w:rsidR="00DE410F" w:rsidRDefault="00DE410F" w:rsidP="00DE410F">
      <w:pPr>
        <w:pStyle w:val="BodyText1"/>
        <w:numPr>
          <w:ilvl w:val="0"/>
          <w:numId w:val="20"/>
        </w:numPr>
      </w:pPr>
      <w:r>
        <w:t>Actions:</w:t>
      </w:r>
    </w:p>
    <w:p w14:paraId="50E3B826" w14:textId="77777777" w:rsidR="00DE410F" w:rsidRDefault="00DE410F" w:rsidP="00DE410F">
      <w:pPr>
        <w:pStyle w:val="BodyText1"/>
        <w:numPr>
          <w:ilvl w:val="1"/>
          <w:numId w:val="20"/>
        </w:numPr>
      </w:pPr>
      <w:r>
        <w:t xml:space="preserve">We will work in partnership with employers and system and quality improvement bodies to identify aligned areas of interest and information about trends on thematic areas such as wellbeing and culture. </w:t>
      </w:r>
    </w:p>
    <w:p w14:paraId="0E73F258" w14:textId="77777777" w:rsidR="00DE410F" w:rsidRDefault="00DE410F" w:rsidP="00DE410F">
      <w:pPr>
        <w:pStyle w:val="BodyText1"/>
        <w:numPr>
          <w:ilvl w:val="1"/>
          <w:numId w:val="20"/>
        </w:numPr>
      </w:pPr>
      <w:r>
        <w:t>We will develop an influencing strategy targeting those in a position to influence outcomes for medical professionals sharing protected characteristics, including HR networks, administrators, employers, medical educators, and wider practice team.</w:t>
      </w:r>
    </w:p>
    <w:p w14:paraId="2FEADFB6" w14:textId="0699B210" w:rsidR="00DE410F" w:rsidRDefault="00DE410F" w:rsidP="00DE410F">
      <w:pPr>
        <w:pStyle w:val="BodyText1"/>
        <w:numPr>
          <w:ilvl w:val="1"/>
          <w:numId w:val="20"/>
        </w:numPr>
      </w:pPr>
      <w:r>
        <w:t xml:space="preserve">We will provide support to Strategic ED&amp;I Advisory Forum (SEDIAF) members to use </w:t>
      </w:r>
      <w:r w:rsidRPr="008A322F">
        <w:rPr>
          <w:i/>
          <w:iCs/>
        </w:rPr>
        <w:t>G</w:t>
      </w:r>
      <w:r w:rsidR="008A322F" w:rsidRPr="008A322F">
        <w:rPr>
          <w:i/>
          <w:iCs/>
        </w:rPr>
        <w:t>ood medical practice</w:t>
      </w:r>
      <w:r w:rsidR="008A322F">
        <w:t xml:space="preserve"> </w:t>
      </w:r>
      <w:r>
        <w:t>as a lever to advocate for change.</w:t>
      </w:r>
    </w:p>
    <w:p w14:paraId="14DCB8CB" w14:textId="23E1EE3A" w:rsidR="00DE410F" w:rsidRDefault="00DE410F" w:rsidP="00DE410F">
      <w:pPr>
        <w:pStyle w:val="BodyText1"/>
        <w:numPr>
          <w:ilvl w:val="1"/>
          <w:numId w:val="20"/>
        </w:numPr>
      </w:pPr>
      <w:r>
        <w:t xml:space="preserve">When we start our </w:t>
      </w:r>
      <w:r w:rsidRPr="008A322F">
        <w:rPr>
          <w:i/>
          <w:iCs/>
        </w:rPr>
        <w:t xml:space="preserve">Outcomes for </w:t>
      </w:r>
      <w:proofErr w:type="gramStart"/>
      <w:r w:rsidRPr="008A322F">
        <w:rPr>
          <w:i/>
          <w:iCs/>
        </w:rPr>
        <w:t>graduates</w:t>
      </w:r>
      <w:proofErr w:type="gramEnd"/>
      <w:r>
        <w:t xml:space="preserve"> programme of work, the Education directorate will complete a separate EA. This will analyse the impact on all protected groups that may arise from changes to </w:t>
      </w:r>
      <w:r w:rsidRPr="008A322F">
        <w:rPr>
          <w:i/>
          <w:iCs/>
        </w:rPr>
        <w:t>Outcomes for graduates</w:t>
      </w:r>
      <w:r>
        <w:t>, and our supplementary guidance for medical schools.</w:t>
      </w:r>
    </w:p>
    <w:p w14:paraId="72A9FABE" w14:textId="77777777" w:rsidR="00DE410F" w:rsidRDefault="00DE410F" w:rsidP="008A322F">
      <w:pPr>
        <w:pStyle w:val="Heading3"/>
      </w:pPr>
      <w:r>
        <w:t>Reviewing and monitoring</w:t>
      </w:r>
    </w:p>
    <w:p w14:paraId="45F8A1A9" w14:textId="0200CB57" w:rsidR="00B736E9" w:rsidRPr="00B736E9" w:rsidRDefault="00DE410F" w:rsidP="00DE410F">
      <w:pPr>
        <w:pStyle w:val="BodyText1"/>
      </w:pPr>
      <w:r>
        <w:t>28</w:t>
      </w:r>
      <w:r>
        <w:tab/>
        <w:t xml:space="preserve">This EA will be approved and monitored by the </w:t>
      </w:r>
      <w:r w:rsidRPr="008A322F">
        <w:rPr>
          <w:i/>
          <w:iCs/>
        </w:rPr>
        <w:t>G</w:t>
      </w:r>
      <w:r w:rsidR="008A322F" w:rsidRPr="008A322F">
        <w:rPr>
          <w:i/>
          <w:iCs/>
        </w:rPr>
        <w:t>ood medical practice</w:t>
      </w:r>
      <w:r w:rsidR="008A322F">
        <w:t xml:space="preserve"> p</w:t>
      </w:r>
      <w:r>
        <w:t xml:space="preserve">roject </w:t>
      </w:r>
      <w:r w:rsidR="008A322F">
        <w:t>b</w:t>
      </w:r>
      <w:r>
        <w:t>oard</w:t>
      </w:r>
      <w:r w:rsidR="008A322F">
        <w:t>.</w:t>
      </w:r>
    </w:p>
    <w:sectPr w:rsidR="00B736E9" w:rsidRPr="00B736E9" w:rsidSect="00F532E2">
      <w:headerReference w:type="even" r:id="rId14"/>
      <w:headerReference w:type="default" r:id="rId15"/>
      <w:footerReference w:type="even" r:id="rId16"/>
      <w:footerReference w:type="default" r:id="rId17"/>
      <w:headerReference w:type="first" r:id="rId18"/>
      <w:footerReference w:type="first" r:id="rId19"/>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A9B88" w14:textId="77777777" w:rsidR="003A57E8" w:rsidRDefault="003A57E8">
      <w:pPr>
        <w:spacing w:after="0" w:line="240" w:lineRule="auto"/>
      </w:pPr>
      <w:r>
        <w:separator/>
      </w:r>
    </w:p>
    <w:p w14:paraId="7B3D9C3A" w14:textId="77777777" w:rsidR="003A57E8" w:rsidRDefault="003A57E8"/>
    <w:p w14:paraId="059F4586" w14:textId="77777777" w:rsidR="003A57E8" w:rsidRDefault="003A57E8"/>
  </w:endnote>
  <w:endnote w:type="continuationSeparator" w:id="0">
    <w:p w14:paraId="4FE0173C" w14:textId="77777777" w:rsidR="003A57E8" w:rsidRDefault="003A57E8">
      <w:pPr>
        <w:spacing w:after="0" w:line="240" w:lineRule="auto"/>
      </w:pPr>
      <w:r>
        <w:continuationSeparator/>
      </w:r>
    </w:p>
    <w:p w14:paraId="62E84178" w14:textId="77777777" w:rsidR="003A57E8" w:rsidRDefault="003A57E8"/>
    <w:p w14:paraId="03248F49" w14:textId="77777777" w:rsidR="003A57E8" w:rsidRDefault="003A5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01C0" w14:textId="77777777" w:rsidR="009B788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03C7D974" w14:textId="77777777" w:rsidR="009B7887" w:rsidRDefault="00000000">
    <w:pPr>
      <w:pStyle w:val="Footer"/>
      <w:ind w:right="360"/>
    </w:pPr>
  </w:p>
  <w:p w14:paraId="24EDDB2F" w14:textId="77777777" w:rsidR="00A52F18" w:rsidRDefault="00A52F18"/>
  <w:p w14:paraId="53FE5BB6"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0EEFB6EB" w14:textId="77777777" w:rsidR="002B6128" w:rsidRDefault="002B6128">
        <w:pPr>
          <w:pStyle w:val="Footer"/>
          <w:jc w:val="right"/>
        </w:pPr>
      </w:p>
      <w:p w14:paraId="1D491DAE" w14:textId="77777777" w:rsidR="002B6128" w:rsidRDefault="00D876A1">
        <w:pPr>
          <w:pStyle w:val="Footer"/>
          <w:jc w:val="right"/>
        </w:pPr>
        <w:r>
          <w:rPr>
            <w:noProof/>
          </w:rPr>
          <w:drawing>
            <wp:inline distT="0" distB="0" distL="0" distR="0" wp14:anchorId="12828EDC" wp14:editId="35AF460B">
              <wp:extent cx="6047619" cy="41904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47619" cy="419048"/>
                      </a:xfrm>
                      <a:prstGeom prst="rect">
                        <a:avLst/>
                      </a:prstGeom>
                    </pic:spPr>
                  </pic:pic>
                </a:graphicData>
              </a:graphic>
            </wp:inline>
          </w:drawing>
        </w:r>
      </w:p>
      <w:p w14:paraId="19045A8E"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5712B1DB" w14:textId="77777777" w:rsidR="009B7887" w:rsidRPr="00BE68B8" w:rsidRDefault="00000000"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F775" w14:textId="77777777" w:rsidR="00C31506"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The GMC is a charity registered in</w:t>
    </w:r>
  </w:p>
  <w:p w14:paraId="7EA3FEFE" w14:textId="77777777" w:rsidR="00C31506"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England and Wales (1089278)</w:t>
    </w:r>
  </w:p>
  <w:p w14:paraId="747A5F04" w14:textId="77777777" w:rsidR="00382C43"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and Scotland (SC037750)</w:t>
    </w:r>
    <w:r w:rsidR="00AC363C" w:rsidRPr="003D07D4">
      <w:rPr>
        <w:rFonts w:asciiTheme="minorHAnsi" w:hAnsiTheme="minorHAnsi" w:cstheme="minorHAnsi"/>
        <w:color w:val="0F265D"/>
        <w:sz w:val="14"/>
        <w:szCs w:val="14"/>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757B" w14:textId="77777777" w:rsidR="003A57E8" w:rsidRDefault="003A57E8">
      <w:pPr>
        <w:spacing w:after="0" w:line="240" w:lineRule="auto"/>
      </w:pPr>
      <w:r>
        <w:separator/>
      </w:r>
    </w:p>
    <w:p w14:paraId="7045C373" w14:textId="77777777" w:rsidR="003A57E8" w:rsidRDefault="003A57E8"/>
    <w:p w14:paraId="3F6815D4" w14:textId="77777777" w:rsidR="003A57E8" w:rsidRDefault="003A57E8"/>
  </w:footnote>
  <w:footnote w:type="continuationSeparator" w:id="0">
    <w:p w14:paraId="634A5AA9" w14:textId="77777777" w:rsidR="003A57E8" w:rsidRDefault="003A57E8">
      <w:pPr>
        <w:spacing w:after="0" w:line="240" w:lineRule="auto"/>
      </w:pPr>
      <w:r>
        <w:continuationSeparator/>
      </w:r>
    </w:p>
    <w:p w14:paraId="36850419" w14:textId="77777777" w:rsidR="003A57E8" w:rsidRDefault="003A57E8"/>
    <w:p w14:paraId="27FB12D8" w14:textId="77777777" w:rsidR="003A57E8" w:rsidRDefault="003A5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2E35" w14:textId="77777777" w:rsidR="00D876A1" w:rsidRDefault="00D87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6A91" w14:textId="77777777" w:rsidR="009B7887" w:rsidRDefault="00000000">
    <w:pPr>
      <w:spacing w:line="260" w:lineRule="exact"/>
      <w:rPr>
        <w:sz w:val="18"/>
      </w:rPr>
    </w:pPr>
  </w:p>
  <w:p w14:paraId="79561E74" w14:textId="77777777" w:rsidR="00A52F18" w:rsidRDefault="00BE68B8">
    <w:r>
      <w:rPr>
        <w:noProof/>
      </w:rPr>
      <w:drawing>
        <wp:inline distT="0" distB="0" distL="0" distR="0" wp14:anchorId="14F33CDD" wp14:editId="5272A075">
          <wp:extent cx="6048375" cy="421640"/>
          <wp:effectExtent l="0" t="0" r="952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6048375" cy="421640"/>
                  </a:xfrm>
                  <a:prstGeom prst="rect">
                    <a:avLst/>
                  </a:prstGeom>
                </pic:spPr>
              </pic:pic>
            </a:graphicData>
          </a:graphic>
        </wp:inline>
      </w:drawing>
    </w:r>
  </w:p>
  <w:p w14:paraId="77DB49EA" w14:textId="77777777" w:rsidR="00A52F18" w:rsidRDefault="00A52F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B76F" w14:textId="77777777" w:rsidR="009B7887" w:rsidRDefault="00737CE7">
    <w:pPr>
      <w:spacing w:line="80" w:lineRule="exact"/>
    </w:pPr>
    <w:r>
      <w:rPr>
        <w:noProof/>
        <w:lang w:eastAsia="en-GB"/>
      </w:rPr>
      <w:drawing>
        <wp:anchor distT="0" distB="0" distL="114300" distR="114300" simplePos="0" relativeHeight="251661312" behindDoc="0" locked="0" layoutInCell="1" allowOverlap="1" wp14:anchorId="201EEFB6" wp14:editId="5DDED92E">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9D72688"/>
    <w:multiLevelType w:val="hybridMultilevel"/>
    <w:tmpl w:val="C504BF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B6D99"/>
    <w:multiLevelType w:val="hybridMultilevel"/>
    <w:tmpl w:val="D19039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20F06"/>
    <w:multiLevelType w:val="hybridMultilevel"/>
    <w:tmpl w:val="0DB651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163F9"/>
    <w:multiLevelType w:val="hybridMultilevel"/>
    <w:tmpl w:val="20B895E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351689"/>
    <w:multiLevelType w:val="hybridMultilevel"/>
    <w:tmpl w:val="8AD0CA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87E87"/>
    <w:multiLevelType w:val="hybridMultilevel"/>
    <w:tmpl w:val="BFA25C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CA412C"/>
    <w:multiLevelType w:val="hybridMultilevel"/>
    <w:tmpl w:val="F50692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E5EC4"/>
    <w:multiLevelType w:val="hybridMultilevel"/>
    <w:tmpl w:val="898A08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4F3694"/>
    <w:multiLevelType w:val="hybridMultilevel"/>
    <w:tmpl w:val="579C8B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270310"/>
    <w:multiLevelType w:val="hybridMultilevel"/>
    <w:tmpl w:val="A024F094"/>
    <w:lvl w:ilvl="0" w:tplc="D7C2D848">
      <w:start w:val="1"/>
      <w:numFmt w:val="bullet"/>
      <w:pStyle w:val="BulletPointList"/>
      <w:lvlText w:val=""/>
      <w:lvlJc w:val="left"/>
      <w:pPr>
        <w:ind w:left="1440" w:hanging="360"/>
      </w:pPr>
      <w:rPr>
        <w:rFonts w:ascii="Wingdings" w:hAnsi="Wingdings" w:hint="default"/>
        <w:color w:val="F39200"/>
        <w:sz w:val="20"/>
      </w:rPr>
    </w:lvl>
    <w:lvl w:ilvl="1" w:tplc="E3A241DA">
      <w:start w:val="1"/>
      <w:numFmt w:val="bullet"/>
      <w:pStyle w:val="BulletPointListIndent"/>
      <w:lvlText w:val=""/>
      <w:lvlJc w:val="left"/>
      <w:pPr>
        <w:ind w:left="2160" w:hanging="360"/>
      </w:pPr>
      <w:rPr>
        <w:rFonts w:ascii="Wingdings" w:hAnsi="Wingdings" w:hint="default"/>
        <w:color w:val="F39200"/>
        <w:sz w:val="20"/>
      </w:rPr>
    </w:lvl>
    <w:lvl w:ilvl="2" w:tplc="B5644A94">
      <w:start w:val="1"/>
      <w:numFmt w:val="bullet"/>
      <w:pStyle w:val="BulletPointListIndent3"/>
      <w:lvlText w:val=""/>
      <w:lvlJc w:val="left"/>
      <w:pPr>
        <w:ind w:left="2880" w:hanging="360"/>
      </w:pPr>
      <w:rPr>
        <w:rFonts w:ascii="Wingdings" w:hAnsi="Wingdings" w:hint="default"/>
        <w:color w:val="F39200"/>
        <w:sz w:val="20"/>
      </w:rPr>
    </w:lvl>
    <w:lvl w:ilvl="3" w:tplc="EE223F3C">
      <w:start w:val="1"/>
      <w:numFmt w:val="bullet"/>
      <w:pStyle w:val="Bulletpointlistindent4"/>
      <w:lvlText w:val=""/>
      <w:lvlJc w:val="left"/>
      <w:pPr>
        <w:ind w:left="3600" w:hanging="360"/>
      </w:pPr>
      <w:rPr>
        <w:rFonts w:ascii="Wingdings" w:hAnsi="Wingdings" w:hint="default"/>
        <w:color w:val="F39200"/>
        <w:sz w:val="20"/>
      </w:rPr>
    </w:lvl>
    <w:lvl w:ilvl="4" w:tplc="29CA7B0A">
      <w:start w:val="1"/>
      <w:numFmt w:val="bullet"/>
      <w:lvlText w:val=""/>
      <w:lvlJc w:val="left"/>
      <w:pPr>
        <w:ind w:left="4320" w:hanging="360"/>
      </w:pPr>
      <w:rPr>
        <w:rFonts w:ascii="Wingdings" w:hAnsi="Wingdings" w:hint="default"/>
        <w:color w:val="F39200"/>
        <w:sz w:val="20"/>
      </w:rPr>
    </w:lvl>
    <w:lvl w:ilvl="5" w:tplc="29CA7B0A">
      <w:start w:val="1"/>
      <w:numFmt w:val="bullet"/>
      <w:lvlText w:val=""/>
      <w:lvlJc w:val="left"/>
      <w:pPr>
        <w:ind w:left="5040" w:hanging="360"/>
      </w:pPr>
      <w:rPr>
        <w:rFonts w:ascii="Wingdings" w:hAnsi="Wingdings" w:hint="default"/>
        <w:color w:val="F39200"/>
        <w:sz w:val="20"/>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92E4C"/>
    <w:multiLevelType w:val="hybridMultilevel"/>
    <w:tmpl w:val="94FE48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5780122">
    <w:abstractNumId w:val="23"/>
  </w:num>
  <w:num w:numId="2" w16cid:durableId="1856184234">
    <w:abstractNumId w:val="16"/>
  </w:num>
  <w:num w:numId="3" w16cid:durableId="863520828">
    <w:abstractNumId w:val="14"/>
  </w:num>
  <w:num w:numId="4" w16cid:durableId="306666670">
    <w:abstractNumId w:val="11"/>
  </w:num>
  <w:num w:numId="5" w16cid:durableId="187792213">
    <w:abstractNumId w:val="1"/>
  </w:num>
  <w:num w:numId="6" w16cid:durableId="1199659958">
    <w:abstractNumId w:val="27"/>
  </w:num>
  <w:num w:numId="7" w16cid:durableId="1235120820">
    <w:abstractNumId w:val="24"/>
  </w:num>
  <w:num w:numId="8" w16cid:durableId="1044914237">
    <w:abstractNumId w:val="0"/>
  </w:num>
  <w:num w:numId="9" w16cid:durableId="1407218948">
    <w:abstractNumId w:val="19"/>
  </w:num>
  <w:num w:numId="10" w16cid:durableId="1706364478">
    <w:abstractNumId w:val="3"/>
  </w:num>
  <w:num w:numId="11" w16cid:durableId="2100130705">
    <w:abstractNumId w:val="9"/>
  </w:num>
  <w:num w:numId="12" w16cid:durableId="1005135026">
    <w:abstractNumId w:val="25"/>
  </w:num>
  <w:num w:numId="13" w16cid:durableId="555896366">
    <w:abstractNumId w:val="4"/>
  </w:num>
  <w:num w:numId="14" w16cid:durableId="1457531563">
    <w:abstractNumId w:val="26"/>
  </w:num>
  <w:num w:numId="15" w16cid:durableId="154345261">
    <w:abstractNumId w:val="22"/>
  </w:num>
  <w:num w:numId="16" w16cid:durableId="826552942">
    <w:abstractNumId w:val="8"/>
  </w:num>
  <w:num w:numId="17" w16cid:durableId="362294365">
    <w:abstractNumId w:val="7"/>
  </w:num>
  <w:num w:numId="18" w16cid:durableId="180975621">
    <w:abstractNumId w:val="10"/>
  </w:num>
  <w:num w:numId="19" w16cid:durableId="1364482869">
    <w:abstractNumId w:val="15"/>
  </w:num>
  <w:num w:numId="20" w16cid:durableId="590506870">
    <w:abstractNumId w:val="21"/>
  </w:num>
  <w:num w:numId="21" w16cid:durableId="860240025">
    <w:abstractNumId w:val="28"/>
  </w:num>
  <w:num w:numId="22" w16cid:durableId="80952278">
    <w:abstractNumId w:val="12"/>
  </w:num>
  <w:num w:numId="23" w16cid:durableId="753669766">
    <w:abstractNumId w:val="13"/>
  </w:num>
  <w:num w:numId="24" w16cid:durableId="1001660768">
    <w:abstractNumId w:val="5"/>
  </w:num>
  <w:num w:numId="25" w16cid:durableId="718093180">
    <w:abstractNumId w:val="18"/>
  </w:num>
  <w:num w:numId="26" w16cid:durableId="1153571569">
    <w:abstractNumId w:val="20"/>
  </w:num>
  <w:num w:numId="27" w16cid:durableId="939724578">
    <w:abstractNumId w:val="17"/>
  </w:num>
  <w:num w:numId="28" w16cid:durableId="1974406064">
    <w:abstractNumId w:val="2"/>
  </w:num>
  <w:num w:numId="29" w16cid:durableId="1527520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0F"/>
    <w:rsid w:val="00000AA5"/>
    <w:rsid w:val="00041E6D"/>
    <w:rsid w:val="00073F51"/>
    <w:rsid w:val="000F4142"/>
    <w:rsid w:val="00103B10"/>
    <w:rsid w:val="00176C37"/>
    <w:rsid w:val="001B0AD7"/>
    <w:rsid w:val="001C7D86"/>
    <w:rsid w:val="001F430A"/>
    <w:rsid w:val="002100DD"/>
    <w:rsid w:val="00223E4D"/>
    <w:rsid w:val="00240078"/>
    <w:rsid w:val="002A447D"/>
    <w:rsid w:val="002B2608"/>
    <w:rsid w:val="002B6128"/>
    <w:rsid w:val="002C0D5E"/>
    <w:rsid w:val="002F5561"/>
    <w:rsid w:val="003014E9"/>
    <w:rsid w:val="00302AC4"/>
    <w:rsid w:val="003174C5"/>
    <w:rsid w:val="00320822"/>
    <w:rsid w:val="00350A7D"/>
    <w:rsid w:val="00354E68"/>
    <w:rsid w:val="003804FA"/>
    <w:rsid w:val="003A57E8"/>
    <w:rsid w:val="003D07D4"/>
    <w:rsid w:val="004335EA"/>
    <w:rsid w:val="0049648A"/>
    <w:rsid w:val="004A3B0A"/>
    <w:rsid w:val="004A3B5B"/>
    <w:rsid w:val="004F196F"/>
    <w:rsid w:val="005922CA"/>
    <w:rsid w:val="005A6C49"/>
    <w:rsid w:val="005C2553"/>
    <w:rsid w:val="005D50BF"/>
    <w:rsid w:val="005E0F3B"/>
    <w:rsid w:val="00621C24"/>
    <w:rsid w:val="0068632D"/>
    <w:rsid w:val="006C593A"/>
    <w:rsid w:val="006F096B"/>
    <w:rsid w:val="00737CE7"/>
    <w:rsid w:val="00766579"/>
    <w:rsid w:val="00766655"/>
    <w:rsid w:val="007A523F"/>
    <w:rsid w:val="007C31E8"/>
    <w:rsid w:val="00810FF8"/>
    <w:rsid w:val="008310CC"/>
    <w:rsid w:val="008461DC"/>
    <w:rsid w:val="00891E50"/>
    <w:rsid w:val="008A322F"/>
    <w:rsid w:val="008B0844"/>
    <w:rsid w:val="008B1715"/>
    <w:rsid w:val="009111A5"/>
    <w:rsid w:val="00913E2B"/>
    <w:rsid w:val="00923BEA"/>
    <w:rsid w:val="009875C3"/>
    <w:rsid w:val="00A11950"/>
    <w:rsid w:val="00A37B9A"/>
    <w:rsid w:val="00A47BF8"/>
    <w:rsid w:val="00A52F18"/>
    <w:rsid w:val="00A54BC5"/>
    <w:rsid w:val="00A63685"/>
    <w:rsid w:val="00A75C08"/>
    <w:rsid w:val="00AC363C"/>
    <w:rsid w:val="00B1132A"/>
    <w:rsid w:val="00B33B1A"/>
    <w:rsid w:val="00B736E9"/>
    <w:rsid w:val="00B74590"/>
    <w:rsid w:val="00BE68B8"/>
    <w:rsid w:val="00C673BC"/>
    <w:rsid w:val="00C75F9D"/>
    <w:rsid w:val="00CD6A3B"/>
    <w:rsid w:val="00D161CF"/>
    <w:rsid w:val="00D871F3"/>
    <w:rsid w:val="00D876A1"/>
    <w:rsid w:val="00DE410F"/>
    <w:rsid w:val="00E34BC1"/>
    <w:rsid w:val="00E83BC7"/>
    <w:rsid w:val="00E90160"/>
    <w:rsid w:val="00E90575"/>
    <w:rsid w:val="00EA0CF1"/>
    <w:rsid w:val="00EB05B4"/>
    <w:rsid w:val="00F13006"/>
    <w:rsid w:val="00F30296"/>
    <w:rsid w:val="00F3629E"/>
    <w:rsid w:val="00F40AEA"/>
    <w:rsid w:val="00F532E2"/>
    <w:rsid w:val="00F5678E"/>
    <w:rsid w:val="00F60F0B"/>
    <w:rsid w:val="00F854E4"/>
    <w:rsid w:val="00FE6321"/>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DADB0"/>
  <w15:chartTrackingRefBased/>
  <w15:docId w15:val="{B74F94F8-B6ED-433E-939F-E671C635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CommentReference">
    <w:name w:val="annotation reference"/>
    <w:basedOn w:val="DefaultParagraphFont"/>
    <w:uiPriority w:val="99"/>
    <w:semiHidden/>
    <w:unhideWhenUsed/>
    <w:rsid w:val="00DE410F"/>
    <w:rPr>
      <w:sz w:val="16"/>
      <w:szCs w:val="16"/>
    </w:rPr>
  </w:style>
  <w:style w:type="paragraph" w:styleId="CommentText">
    <w:name w:val="annotation text"/>
    <w:basedOn w:val="Normal"/>
    <w:link w:val="CommentTextChar"/>
    <w:uiPriority w:val="99"/>
    <w:unhideWhenUsed/>
    <w:rsid w:val="00DE410F"/>
    <w:pPr>
      <w:spacing w:line="240" w:lineRule="auto"/>
    </w:pPr>
    <w:rPr>
      <w:sz w:val="20"/>
      <w:szCs w:val="20"/>
    </w:rPr>
  </w:style>
  <w:style w:type="character" w:customStyle="1" w:styleId="CommentTextChar">
    <w:name w:val="Comment Text Char"/>
    <w:basedOn w:val="DefaultParagraphFont"/>
    <w:link w:val="CommentText"/>
    <w:uiPriority w:val="99"/>
    <w:rsid w:val="00DE410F"/>
    <w:rPr>
      <w:rFonts w:ascii="Calibri" w:eastAsia="Times New Roman"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E410F"/>
    <w:rPr>
      <w:b/>
      <w:bCs/>
    </w:rPr>
  </w:style>
  <w:style w:type="character" w:customStyle="1" w:styleId="CommentSubjectChar">
    <w:name w:val="Comment Subject Char"/>
    <w:basedOn w:val="CommentTextChar"/>
    <w:link w:val="CommentSubject"/>
    <w:uiPriority w:val="99"/>
    <w:semiHidden/>
    <w:rsid w:val="00DE410F"/>
    <w:rPr>
      <w:rFonts w:ascii="Calibri" w:eastAsia="Times New Roman" w:hAnsi="Calibri" w:cs="Times New Roman"/>
      <w:b/>
      <w:bCs/>
      <w:color w:val="000000"/>
      <w:sz w:val="20"/>
      <w:szCs w:val="20"/>
    </w:rPr>
  </w:style>
  <w:style w:type="character" w:styleId="Hyperlink">
    <w:name w:val="Hyperlink"/>
    <w:basedOn w:val="DefaultParagraphFont"/>
    <w:uiPriority w:val="99"/>
    <w:unhideWhenUsed/>
    <w:rsid w:val="004A3B5B"/>
    <w:rPr>
      <w:color w:val="2CA6C2" w:themeColor="hyperlink"/>
      <w:u w:val="single"/>
    </w:rPr>
  </w:style>
  <w:style w:type="character" w:styleId="UnresolvedMention">
    <w:name w:val="Unresolved Mention"/>
    <w:basedOn w:val="DefaultParagraphFont"/>
    <w:uiPriority w:val="99"/>
    <w:semiHidden/>
    <w:unhideWhenUsed/>
    <w:rsid w:val="004A3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mc-uk.org/-/media/documents/good-medical-practice---equality-analysis---part-two_docx-102616243.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mc-uk.org/-/media/documents/equality-analysis-for-the-good-medical-practice-consultation_docx-90357877.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94E57910E867A408A6ECA161D10FBE8" ma:contentTypeVersion="5" ma:contentTypeDescription="Create a new document." ma:contentTypeScope="" ma:versionID="649f64d224c542e9eac3112370559aa3">
  <xsd:schema xmlns:xsd="http://www.w3.org/2001/XMLSchema" xmlns:xs="http://www.w3.org/2001/XMLSchema" xmlns:p="http://schemas.microsoft.com/office/2006/metadata/properties" xmlns:ns2="db9e56bb-7a88-4bc0-871a-331a353295c3" xmlns:ns3="af5d46ab-e901-4201-8eea-273c31a25ac3" targetNamespace="http://schemas.microsoft.com/office/2006/metadata/properties" ma:root="true" ma:fieldsID="047996b1aba20ac22d1dd132d7bc2520" ns2:_="" ns3:_="">
    <xsd:import namespace="db9e56bb-7a88-4bc0-871a-331a353295c3"/>
    <xsd:import namespace="af5d46ab-e901-4201-8eea-273c31a25a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e56bb-7a88-4bc0-871a-331a353295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5d46ab-e901-4201-8eea-273c31a25a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b9e56bb-7a88-4bc0-871a-331a353295c3">KFS3VSS5MWWX-469314745-39</_dlc_DocId>
    <_dlc_DocIdUrl xmlns="db9e56bb-7a88-4bc0-871a-331a353295c3">
      <Url>https://genmedcouncil.sharepoint.com/sites/Branding/_layouts/15/DocIdRedir.aspx?ID=KFS3VSS5MWWX-469314745-39</Url>
      <Description>KFS3VSS5MWWX-469314745-39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5DF30-594E-479E-BA72-C276EEF51C5B}">
  <ds:schemaRefs>
    <ds:schemaRef ds:uri="http://schemas.microsoft.com/sharepoint/events"/>
  </ds:schemaRefs>
</ds:datastoreItem>
</file>

<file path=customXml/itemProps2.xml><?xml version="1.0" encoding="utf-8"?>
<ds:datastoreItem xmlns:ds="http://schemas.openxmlformats.org/officeDocument/2006/customXml" ds:itemID="{D3D2AE82-8710-496F-B67A-E7F71A9E4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e56bb-7a88-4bc0-871a-331a353295c3"/>
    <ds:schemaRef ds:uri="af5d46ab-e901-4201-8eea-273c31a25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 ds:uri="db9e56bb-7a88-4bc0-871a-331a353295c3"/>
  </ds:schemaRefs>
</ds:datastoreItem>
</file>

<file path=customXml/itemProps4.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5.xml><?xml version="1.0" encoding="utf-8"?>
<ds:datastoreItem xmlns:ds="http://schemas.openxmlformats.org/officeDocument/2006/customXml" ds:itemID="{D94A063C-65D1-4C9D-9EBE-BA31989FE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GMC General</Template>
  <TotalTime>806</TotalTime>
  <Pages>5</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Tivey (0161 240 8211)</dc:creator>
  <cp:keywords/>
  <dc:description/>
  <cp:lastModifiedBy>Kyle Green</cp:lastModifiedBy>
  <cp:revision>4</cp:revision>
  <dcterms:created xsi:type="dcterms:W3CDTF">2023-08-21T10:32:00Z</dcterms:created>
  <dcterms:modified xsi:type="dcterms:W3CDTF">2023-08-21T23:59:00Z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0x010100E94E57910E867A408A6ECA161D10FBE8</vt:lpwstr>
  </property>
  <property fmtid="{D5CDD505-2E9C-101B-9397-08002B2CF9AE}" pid="3" name="_dlc_DocIdItemGuid">
    <vt:lpwstr>1513d4a1-8dd4-4e19-937e-26018c3ccdb3</vt:lpwstr>
  </property>
</Properties>
</file>