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7033"/>
        <w:gridCol w:w="2748"/>
      </w:tblGrid>
      <w:tr w:rsidR="00DB12A7" w14:paraId="500D0B26" w14:textId="77777777" w:rsidTr="006443CA">
        <w:trPr>
          <w:trHeight w:val="2268"/>
        </w:trPr>
        <w:tc>
          <w:tcPr>
            <w:tcW w:w="6476" w:type="dxa"/>
            <w:tcMar>
              <w:left w:w="0" w:type="dxa"/>
              <w:right w:w="0" w:type="dxa"/>
            </w:tcMar>
          </w:tcPr>
          <w:p w14:paraId="07A528D1" w14:textId="34A5E492" w:rsidR="008C59B1" w:rsidRDefault="008C59B1" w:rsidP="009C7228">
            <w:pPr>
              <w:pStyle w:val="Heading3"/>
            </w:pPr>
          </w:p>
          <w:p w14:paraId="661B86F5" w14:textId="77777777" w:rsidR="00DB12A7" w:rsidRPr="008C59B1" w:rsidRDefault="008C59B1" w:rsidP="008C59B1">
            <w:pPr>
              <w:tabs>
                <w:tab w:val="left" w:pos="4873"/>
              </w:tabs>
            </w:pPr>
            <w:r>
              <w:tab/>
            </w:r>
          </w:p>
        </w:tc>
        <w:tc>
          <w:tcPr>
            <w:tcW w:w="2530" w:type="dxa"/>
          </w:tcPr>
          <w:p w14:paraId="49154536" w14:textId="77777777" w:rsidR="00DB12A7" w:rsidRDefault="00DB12A7" w:rsidP="003E4806">
            <w:pPr>
              <w:pStyle w:val="GMCNumberheadingstyle"/>
              <w:jc w:val="center"/>
            </w:pPr>
          </w:p>
        </w:tc>
      </w:tr>
    </w:tbl>
    <w:p w14:paraId="1F71852D" w14:textId="10735532" w:rsidR="0023757D" w:rsidRDefault="003716EB" w:rsidP="008B0C91">
      <w:pPr>
        <w:pStyle w:val="Heading1"/>
      </w:pPr>
      <w:r>
        <w:t xml:space="preserve">Equality </w:t>
      </w:r>
      <w:r w:rsidR="00E3009A">
        <w:t>a</w:t>
      </w:r>
      <w:r>
        <w:t>nalysis</w:t>
      </w:r>
      <w:r w:rsidR="00E3009A">
        <w:t xml:space="preserve"> for the </w:t>
      </w:r>
      <w:r w:rsidR="00E3009A" w:rsidRPr="00E3009A">
        <w:rPr>
          <w:i/>
          <w:iCs/>
        </w:rPr>
        <w:t>Good medical practice</w:t>
      </w:r>
      <w:r w:rsidR="00E3009A">
        <w:t xml:space="preserve"> consultation </w:t>
      </w:r>
    </w:p>
    <w:p w14:paraId="57476796" w14:textId="77777777" w:rsidR="003716EB" w:rsidRDefault="003716EB" w:rsidP="00E3009A">
      <w:pPr>
        <w:pStyle w:val="Heading2"/>
      </w:pPr>
      <w:r>
        <w:t>Background</w:t>
      </w:r>
    </w:p>
    <w:p w14:paraId="4A8331E4" w14:textId="38A6E94B" w:rsidR="00906B43" w:rsidRPr="0073569D" w:rsidRDefault="00906B43" w:rsidP="00906B43">
      <w:pPr>
        <w:pStyle w:val="GMCNumbertext"/>
      </w:pPr>
      <w:r w:rsidRPr="0073569D">
        <w:t>This equality analysis (</w:t>
      </w:r>
      <w:r w:rsidR="00165650">
        <w:t>‘</w:t>
      </w:r>
      <w:r w:rsidRPr="0073569D">
        <w:t>EA</w:t>
      </w:r>
      <w:r w:rsidR="00165650">
        <w:t>’</w:t>
      </w:r>
      <w:r w:rsidRPr="0073569D">
        <w:t xml:space="preserve">) sets out the steps we are taking to comply with the public sector equality duty under the </w:t>
      </w:r>
      <w:r w:rsidRPr="0073569D">
        <w:rPr>
          <w:i/>
        </w:rPr>
        <w:t>Equality Act 2010</w:t>
      </w:r>
      <w:r w:rsidRPr="0073569D">
        <w:t xml:space="preserve"> in reviewing our guidance</w:t>
      </w:r>
      <w:r w:rsidR="000021FC">
        <w:t xml:space="preserve"> </w:t>
      </w:r>
      <w:r w:rsidR="000021FC" w:rsidRPr="00362333">
        <w:rPr>
          <w:i/>
          <w:iCs/>
        </w:rPr>
        <w:t xml:space="preserve">Good </w:t>
      </w:r>
      <w:r w:rsidR="0026525C">
        <w:rPr>
          <w:i/>
          <w:iCs/>
        </w:rPr>
        <w:t>m</w:t>
      </w:r>
      <w:r w:rsidR="000021FC" w:rsidRPr="00362333">
        <w:rPr>
          <w:i/>
          <w:iCs/>
        </w:rPr>
        <w:t xml:space="preserve">edical </w:t>
      </w:r>
      <w:r w:rsidR="0026525C">
        <w:rPr>
          <w:i/>
          <w:iCs/>
        </w:rPr>
        <w:t>p</w:t>
      </w:r>
      <w:r w:rsidR="000021FC" w:rsidRPr="00362333">
        <w:rPr>
          <w:i/>
          <w:iCs/>
        </w:rPr>
        <w:t>ractice</w:t>
      </w:r>
      <w:r w:rsidRPr="0073569D">
        <w:t xml:space="preserve"> </w:t>
      </w:r>
      <w:r w:rsidR="00165650">
        <w:t xml:space="preserve">(‘GMP’). </w:t>
      </w:r>
      <w:r w:rsidRPr="0073569D">
        <w:t xml:space="preserve">This EA </w:t>
      </w:r>
      <w:r>
        <w:t>will be</w:t>
      </w:r>
      <w:r w:rsidRPr="0073569D">
        <w:t xml:space="preserve"> updated as our work develop</w:t>
      </w:r>
      <w:r>
        <w:t>s.</w:t>
      </w:r>
    </w:p>
    <w:p w14:paraId="5D74DC07" w14:textId="60B4ACF6" w:rsidR="00906B43" w:rsidRPr="00F85B6C" w:rsidRDefault="00906B43" w:rsidP="003839D5">
      <w:pPr>
        <w:pStyle w:val="GMCNumbertext"/>
      </w:pPr>
      <w:r>
        <w:t xml:space="preserve">From 2021-23 the GMP review team will be reviewing and updating </w:t>
      </w:r>
      <w:r w:rsidR="00822205">
        <w:t xml:space="preserve">our core guidance for doctors, </w:t>
      </w:r>
      <w:r w:rsidR="00165650">
        <w:t>GMP</w:t>
      </w:r>
      <w:r w:rsidR="00B4644A">
        <w:t xml:space="preserve"> </w:t>
      </w:r>
      <w:r w:rsidR="00822205">
        <w:t xml:space="preserve">before its </w:t>
      </w:r>
      <w:r w:rsidR="00B4644A">
        <w:t xml:space="preserve">tenth </w:t>
      </w:r>
      <w:r w:rsidR="00822205">
        <w:t>anniversary to ensure our approach remains relevant and effective</w:t>
      </w:r>
      <w:r>
        <w:t xml:space="preserve"> and keeps pace</w:t>
      </w:r>
      <w:r w:rsidRPr="00906B43">
        <w:rPr>
          <w:rFonts w:cs="Tahoma"/>
        </w:rPr>
        <w:t xml:space="preserve"> with the changes in </w:t>
      </w:r>
      <w:r>
        <w:rPr>
          <w:rFonts w:cs="Tahoma"/>
        </w:rPr>
        <w:t>delivering healthcare for the professionals we regulate.</w:t>
      </w:r>
    </w:p>
    <w:p w14:paraId="0E5C3B74" w14:textId="40699AD0" w:rsidR="00F85B6C" w:rsidRDefault="00F85B6C" w:rsidP="003839D5">
      <w:pPr>
        <w:pStyle w:val="GMCNumbertext"/>
      </w:pPr>
      <w:r>
        <w:t xml:space="preserve">Physician </w:t>
      </w:r>
      <w:r w:rsidR="0010338B">
        <w:t>a</w:t>
      </w:r>
      <w:r>
        <w:t xml:space="preserve">ssociates (‘PAs’) and </w:t>
      </w:r>
      <w:r w:rsidR="0010338B">
        <w:t>a</w:t>
      </w:r>
      <w:r>
        <w:t xml:space="preserve">naesthesia </w:t>
      </w:r>
      <w:r w:rsidR="0010338B">
        <w:t>a</w:t>
      </w:r>
      <w:r>
        <w:t xml:space="preserve">ssociates (‘AAs’) will in future be regulated by </w:t>
      </w:r>
      <w:r w:rsidR="00E3009A">
        <w:t>us</w:t>
      </w:r>
      <w:r>
        <w:t xml:space="preserve"> and will follow the updated GMP.</w:t>
      </w:r>
      <w:r w:rsidRPr="00F85B6C">
        <w:t xml:space="preserve"> </w:t>
      </w:r>
      <w:r>
        <w:t xml:space="preserve">In this EA we </w:t>
      </w:r>
      <w:r w:rsidRPr="00610A85">
        <w:t>use the term medical professionals to collectively describe all three professional gro</w:t>
      </w:r>
      <w:r>
        <w:t>ups.</w:t>
      </w:r>
    </w:p>
    <w:p w14:paraId="4571DCFA" w14:textId="2115E0AA" w:rsidR="00877478" w:rsidRDefault="0010338B" w:rsidP="003716EB">
      <w:pPr>
        <w:pStyle w:val="GMCNumbertext"/>
      </w:pPr>
      <w:r>
        <w:t xml:space="preserve">The updated </w:t>
      </w:r>
      <w:r w:rsidR="000021FC">
        <w:t>GMP</w:t>
      </w:r>
      <w:r>
        <w:t xml:space="preserve"> will set</w:t>
      </w:r>
      <w:r w:rsidR="000021FC">
        <w:t xml:space="preserve"> out the standards expected of</w:t>
      </w:r>
      <w:r w:rsidR="001D6A41">
        <w:t xml:space="preserve"> doctors, PAs and AAs</w:t>
      </w:r>
      <w:r w:rsidR="000021FC">
        <w:t xml:space="preserve"> working in the UK</w:t>
      </w:r>
      <w:r w:rsidR="001D6A41">
        <w:t>,</w:t>
      </w:r>
      <w:r w:rsidR="000021FC">
        <w:t xml:space="preserve"> </w:t>
      </w:r>
      <w:r w:rsidR="001D6A41">
        <w:t xml:space="preserve">no matter which specialty, grade, role type or sector they work in. It also applies </w:t>
      </w:r>
      <w:proofErr w:type="gramStart"/>
      <w:r w:rsidR="001D6A41">
        <w:t>whether or not</w:t>
      </w:r>
      <w:proofErr w:type="gramEnd"/>
      <w:r w:rsidR="001D6A41">
        <w:t xml:space="preserve"> they routinely see patients. GMP </w:t>
      </w:r>
      <w:r w:rsidR="000021FC">
        <w:t xml:space="preserve">is embedded in </w:t>
      </w:r>
      <w:r>
        <w:t xml:space="preserve">our </w:t>
      </w:r>
      <w:r w:rsidR="000021FC">
        <w:t xml:space="preserve">functions such as </w:t>
      </w:r>
      <w:r w:rsidR="004526AB">
        <w:t xml:space="preserve">education, </w:t>
      </w:r>
      <w:r w:rsidR="000021FC">
        <w:t>registration, revalidation and fitness to practi</w:t>
      </w:r>
      <w:r w:rsidR="00B4644A">
        <w:t>s</w:t>
      </w:r>
      <w:r w:rsidR="000021FC">
        <w:t>e</w:t>
      </w:r>
      <w:r w:rsidR="00165650">
        <w:t xml:space="preserve"> (‘FTP</w:t>
      </w:r>
      <w:proofErr w:type="gramStart"/>
      <w:r w:rsidR="00165650">
        <w:t xml:space="preserve">’) </w:t>
      </w:r>
      <w:r w:rsidR="000021FC">
        <w:t xml:space="preserve"> as</w:t>
      </w:r>
      <w:proofErr w:type="gramEnd"/>
      <w:r w:rsidR="000021FC">
        <w:t xml:space="preserve"> well as external uses such as in curricula set by </w:t>
      </w:r>
      <w:r w:rsidR="003D005B">
        <w:t>medical schools</w:t>
      </w:r>
      <w:r w:rsidR="000021FC">
        <w:t xml:space="preserve">. </w:t>
      </w:r>
    </w:p>
    <w:p w14:paraId="5706B560" w14:textId="36239913" w:rsidR="00877478" w:rsidRPr="008D4F06" w:rsidRDefault="000021FC" w:rsidP="00877478">
      <w:pPr>
        <w:pStyle w:val="GMCNumbertext"/>
      </w:pPr>
      <w:r>
        <w:t>We are aware of differential outcomes in</w:t>
      </w:r>
      <w:r w:rsidR="00877478">
        <w:t>cluding in</w:t>
      </w:r>
      <w:r>
        <w:t xml:space="preserve"> education and F</w:t>
      </w:r>
      <w:r w:rsidR="00165650">
        <w:t>T</w:t>
      </w:r>
      <w:r>
        <w:t xml:space="preserve">P procedures where </w:t>
      </w:r>
      <w:r w:rsidR="00F85B6C">
        <w:t>medical professionals</w:t>
      </w:r>
      <w:r>
        <w:t xml:space="preserve"> share protected characteristics. Within this review we will explore </w:t>
      </w:r>
      <w:r w:rsidR="004526AB">
        <w:t>the extent to which how our standards are developed and applied in different contexts may contribute to these differences</w:t>
      </w:r>
      <w:r w:rsidR="001475A8">
        <w:t>. We will also look at</w:t>
      </w:r>
      <w:r>
        <w:t xml:space="preserve"> </w:t>
      </w:r>
      <w:r w:rsidR="00877478">
        <w:rPr>
          <w:rFonts w:cs="Tahoma"/>
        </w:rPr>
        <w:t xml:space="preserve">other ways in which we can better meet our duties under the equality and human rights acts </w:t>
      </w:r>
      <w:proofErr w:type="gramStart"/>
      <w:r w:rsidR="00877478">
        <w:rPr>
          <w:rFonts w:cs="Tahoma"/>
        </w:rPr>
        <w:t>in order</w:t>
      </w:r>
      <w:r w:rsidR="00877478" w:rsidRPr="006C263F">
        <w:rPr>
          <w:rFonts w:cs="Tahoma"/>
        </w:rPr>
        <w:t xml:space="preserve"> to</w:t>
      </w:r>
      <w:proofErr w:type="gramEnd"/>
      <w:r w:rsidR="00877478" w:rsidRPr="006C263F">
        <w:rPr>
          <w:rFonts w:cs="Tahoma"/>
        </w:rPr>
        <w:t xml:space="preserve"> </w:t>
      </w:r>
      <w:r w:rsidR="00877478">
        <w:rPr>
          <w:rFonts w:cs="Tahoma"/>
        </w:rPr>
        <w:t xml:space="preserve">ensure that the revised GMP </w:t>
      </w:r>
      <w:r w:rsidR="00877478" w:rsidRPr="006C263F">
        <w:rPr>
          <w:rFonts w:cs="Tahoma"/>
        </w:rPr>
        <w:t xml:space="preserve">can </w:t>
      </w:r>
      <w:r w:rsidR="004526AB">
        <w:rPr>
          <w:rFonts w:cs="Tahoma"/>
        </w:rPr>
        <w:t>more fairly</w:t>
      </w:r>
      <w:r w:rsidR="004526AB" w:rsidRPr="006C263F">
        <w:rPr>
          <w:rFonts w:cs="Tahoma"/>
        </w:rPr>
        <w:t xml:space="preserve"> </w:t>
      </w:r>
      <w:r w:rsidR="00877478" w:rsidRPr="006C263F">
        <w:rPr>
          <w:rFonts w:cs="Tahoma"/>
        </w:rPr>
        <w:t xml:space="preserve">serve all </w:t>
      </w:r>
      <w:r w:rsidR="00F85B6C">
        <w:rPr>
          <w:rFonts w:cs="Tahoma"/>
        </w:rPr>
        <w:t>medi</w:t>
      </w:r>
      <w:r w:rsidR="00881A64">
        <w:rPr>
          <w:rFonts w:cs="Tahoma"/>
        </w:rPr>
        <w:t>c</w:t>
      </w:r>
      <w:r w:rsidR="00F85B6C">
        <w:rPr>
          <w:rFonts w:cs="Tahoma"/>
        </w:rPr>
        <w:t>al professionals</w:t>
      </w:r>
      <w:r w:rsidR="004526AB">
        <w:rPr>
          <w:rFonts w:cs="Tahoma"/>
        </w:rPr>
        <w:t xml:space="preserve"> and patients</w:t>
      </w:r>
      <w:r w:rsidR="00877478" w:rsidRPr="006C263F">
        <w:rPr>
          <w:rFonts w:cs="Tahoma"/>
        </w:rPr>
        <w:t>.</w:t>
      </w:r>
    </w:p>
    <w:p w14:paraId="5439275D" w14:textId="02EFB5E7" w:rsidR="008D4F06" w:rsidRPr="00CC531F" w:rsidRDefault="008D4F06" w:rsidP="00877478">
      <w:pPr>
        <w:pStyle w:val="GMCNumbertext"/>
      </w:pPr>
      <w:r w:rsidRPr="00CC531F">
        <w:rPr>
          <w:rFonts w:cs="Tahoma"/>
        </w:rPr>
        <w:t xml:space="preserve">In </w:t>
      </w:r>
      <w:r w:rsidR="00E3009A">
        <w:rPr>
          <w:rFonts w:cs="Tahoma"/>
        </w:rPr>
        <w:t xml:space="preserve">our </w:t>
      </w:r>
      <w:hyperlink r:id="rId8" w:history="1">
        <w:r w:rsidR="00E3009A">
          <w:rPr>
            <w:rStyle w:val="Hyperlink"/>
            <w:rFonts w:cs="Tahoma"/>
          </w:rPr>
          <w:t>2021-25 corporate strategy</w:t>
        </w:r>
      </w:hyperlink>
      <w:r w:rsidRPr="00CC531F">
        <w:rPr>
          <w:rFonts w:cs="Tahoma"/>
        </w:rPr>
        <w:t xml:space="preserve"> we committed to </w:t>
      </w:r>
      <w:r w:rsidR="00272116" w:rsidRPr="00CC531F">
        <w:rPr>
          <w:rFonts w:cs="Tahoma"/>
        </w:rPr>
        <w:t xml:space="preserve">having </w:t>
      </w:r>
      <w:r w:rsidR="00657AD0">
        <w:rPr>
          <w:rFonts w:cs="Tahoma"/>
        </w:rPr>
        <w:t>‘</w:t>
      </w:r>
      <w:r w:rsidRPr="00CC531F">
        <w:rPr>
          <w:rFonts w:cs="Tahoma"/>
        </w:rPr>
        <w:t xml:space="preserve">ethical standards and </w:t>
      </w:r>
      <w:r w:rsidRPr="00881A64">
        <w:rPr>
          <w:rFonts w:cs="Tahoma"/>
        </w:rPr>
        <w:t xml:space="preserve">guidance </w:t>
      </w:r>
      <w:r w:rsidR="00272116" w:rsidRPr="00881A64">
        <w:rPr>
          <w:rFonts w:cs="Tahoma"/>
        </w:rPr>
        <w:t>[that]</w:t>
      </w:r>
      <w:r w:rsidR="00272116" w:rsidRPr="00CC531F">
        <w:rPr>
          <w:rFonts w:cs="Tahoma"/>
        </w:rPr>
        <w:t xml:space="preserve"> </w:t>
      </w:r>
      <w:r w:rsidRPr="00CC531F">
        <w:rPr>
          <w:rFonts w:cs="Tahoma"/>
        </w:rPr>
        <w:t>better align across professions, reflect diverse people’s needs and effectively promote the professional behaviours that patients expect</w:t>
      </w:r>
      <w:r w:rsidR="00657AD0">
        <w:rPr>
          <w:rFonts w:cs="Tahoma"/>
        </w:rPr>
        <w:t>’</w:t>
      </w:r>
      <w:r w:rsidR="00272116" w:rsidRPr="00CC531F">
        <w:rPr>
          <w:rFonts w:cs="Tahoma"/>
        </w:rPr>
        <w:t>.</w:t>
      </w:r>
      <w:r w:rsidR="00CC531F">
        <w:rPr>
          <w:rFonts w:cs="Tahoma"/>
        </w:rPr>
        <w:t xml:space="preserve"> The review of GMP will be an important part of meeting this commitment.</w:t>
      </w:r>
    </w:p>
    <w:p w14:paraId="3362B4BA" w14:textId="27A4C1D6" w:rsidR="00B648BB" w:rsidRDefault="000021FC" w:rsidP="00DC4390">
      <w:pPr>
        <w:pStyle w:val="GMCNumbertext"/>
      </w:pPr>
      <w:r>
        <w:lastRenderedPageBreak/>
        <w:t>The review will include scoping, research,</w:t>
      </w:r>
      <w:r w:rsidR="001C0C34">
        <w:t xml:space="preserve"> public</w:t>
      </w:r>
      <w:r>
        <w:t xml:space="preserve"> consultation</w:t>
      </w:r>
      <w:r w:rsidR="008C6D35">
        <w:t xml:space="preserve"> and engagement,</w:t>
      </w:r>
      <w:r>
        <w:t xml:space="preserve"> and implementation.</w:t>
      </w:r>
      <w:r w:rsidR="000E6766">
        <w:t xml:space="preserve"> At each stage we will draw out issues </w:t>
      </w:r>
      <w:r w:rsidR="000E6766" w:rsidRPr="00206F5C">
        <w:t>which might</w:t>
      </w:r>
      <w:r w:rsidR="000E6766">
        <w:t xml:space="preserve"> have a differential </w:t>
      </w:r>
      <w:r w:rsidR="000E6766" w:rsidRPr="00206F5C">
        <w:t xml:space="preserve">impact </w:t>
      </w:r>
      <w:r w:rsidR="000E6766">
        <w:t xml:space="preserve">on individuals </w:t>
      </w:r>
      <w:r w:rsidR="000E6766" w:rsidRPr="00206F5C">
        <w:t>who share protected characteristics</w:t>
      </w:r>
      <w:r w:rsidR="000E6766">
        <w:t xml:space="preserve">. The findings will be used to develop recommendations for updates to </w:t>
      </w:r>
      <w:r w:rsidR="00763C5D">
        <w:t xml:space="preserve">GMP </w:t>
      </w:r>
      <w:r w:rsidR="000E6766">
        <w:t xml:space="preserve">and </w:t>
      </w:r>
      <w:r w:rsidR="00763C5D">
        <w:t xml:space="preserve">its </w:t>
      </w:r>
      <w:r w:rsidR="000E6766">
        <w:t>implementation</w:t>
      </w:r>
      <w:r w:rsidR="00763C5D">
        <w:t>.</w:t>
      </w:r>
      <w:r w:rsidR="000E6766">
        <w:t xml:space="preserve"> </w:t>
      </w:r>
      <w:r w:rsidR="00E2660B" w:rsidDel="00E2660B">
        <w:t xml:space="preserve"> </w:t>
      </w:r>
      <w:r w:rsidR="00B648BB">
        <w:t>This will include</w:t>
      </w:r>
      <w:r w:rsidR="00763C5D">
        <w:t>:</w:t>
      </w:r>
    </w:p>
    <w:p w14:paraId="391A3194" w14:textId="34521273" w:rsidR="00B648BB" w:rsidRDefault="00763C5D" w:rsidP="00B648BB">
      <w:pPr>
        <w:pStyle w:val="GMCNumbertext"/>
        <w:numPr>
          <w:ilvl w:val="1"/>
          <w:numId w:val="3"/>
        </w:numPr>
      </w:pPr>
      <w:r>
        <w:t>C</w:t>
      </w:r>
      <w:r w:rsidR="00B648BB">
        <w:t xml:space="preserve">entring </w:t>
      </w:r>
      <w:r>
        <w:t xml:space="preserve">equality, </w:t>
      </w:r>
      <w:proofErr w:type="gramStart"/>
      <w:r>
        <w:t>diversity</w:t>
      </w:r>
      <w:proofErr w:type="gramEnd"/>
      <w:r>
        <w:t xml:space="preserve"> and inclusion (‘</w:t>
      </w:r>
      <w:r w:rsidR="00B648BB">
        <w:t>ED&amp;I</w:t>
      </w:r>
      <w:r>
        <w:t>’)</w:t>
      </w:r>
      <w:r w:rsidR="00B648BB">
        <w:t xml:space="preserve"> in early scoping. This led to ED&amp;I being adopted as one of the themes in the intelligence and evidence gathering stage.</w:t>
      </w:r>
    </w:p>
    <w:p w14:paraId="0A6AC582" w14:textId="7DDA25BD" w:rsidR="00B648BB" w:rsidRDefault="00B648BB" w:rsidP="00735B02">
      <w:pPr>
        <w:pStyle w:val="GMCNumbertext"/>
        <w:numPr>
          <w:ilvl w:val="1"/>
          <w:numId w:val="3"/>
        </w:numPr>
      </w:pPr>
      <w:r>
        <w:t>Establishing a</w:t>
      </w:r>
      <w:r w:rsidR="00F46626">
        <w:t xml:space="preserve"> GMP</w:t>
      </w:r>
      <w:r>
        <w:t xml:space="preserve"> advisory forum (</w:t>
      </w:r>
      <w:r w:rsidR="00763C5D">
        <w:t>‘</w:t>
      </w:r>
      <w:r>
        <w:t>GMPAF</w:t>
      </w:r>
      <w:r w:rsidR="00763C5D">
        <w:t>’</w:t>
      </w:r>
      <w:r>
        <w:t>) with ED&amp;I at the centre through recruiting members with a diversity of perspective and understanding of ED&amp;I.</w:t>
      </w:r>
    </w:p>
    <w:p w14:paraId="7B0FAD75" w14:textId="463AC83A" w:rsidR="008C6D35" w:rsidRDefault="00B648BB" w:rsidP="003071D0">
      <w:pPr>
        <w:pStyle w:val="GMCNumbertext"/>
        <w:numPr>
          <w:ilvl w:val="1"/>
          <w:numId w:val="3"/>
        </w:numPr>
      </w:pPr>
      <w:r>
        <w:t xml:space="preserve">Establishing an </w:t>
      </w:r>
      <w:r w:rsidR="00232C1D">
        <w:t xml:space="preserve">ED&amp;I working group within the </w:t>
      </w:r>
      <w:r w:rsidR="00881A64">
        <w:t>review</w:t>
      </w:r>
      <w:r w:rsidR="00F46626">
        <w:t xml:space="preserve"> </w:t>
      </w:r>
      <w:r w:rsidR="00232C1D">
        <w:t xml:space="preserve">to help us work collaboratively and achieve a joined-up, consistent approach to address these issues across all GMP review workstreams and other </w:t>
      </w:r>
      <w:r w:rsidR="003D005B">
        <w:t xml:space="preserve">related </w:t>
      </w:r>
      <w:r w:rsidR="00232C1D">
        <w:t>projects.</w:t>
      </w:r>
    </w:p>
    <w:p w14:paraId="25E787CC" w14:textId="0AC32B16" w:rsidR="00B648BB" w:rsidRDefault="00B648BB" w:rsidP="003071D0">
      <w:pPr>
        <w:pStyle w:val="GMCNumbertext"/>
        <w:numPr>
          <w:ilvl w:val="1"/>
          <w:numId w:val="3"/>
        </w:numPr>
      </w:pPr>
      <w:r>
        <w:t xml:space="preserve">Holding meetings and webinars with the </w:t>
      </w:r>
      <w:hyperlink r:id="rId9" w:history="1">
        <w:r w:rsidRPr="0010338B">
          <w:rPr>
            <w:rStyle w:val="Hyperlink"/>
          </w:rPr>
          <w:t>Strategic ED&amp;I Advisory forum</w:t>
        </w:r>
      </w:hyperlink>
      <w:r w:rsidR="004C2644">
        <w:t xml:space="preserve"> (‘SEDIAF’)</w:t>
      </w:r>
      <w:r>
        <w:t xml:space="preserve"> (made up of external representatives of the </w:t>
      </w:r>
      <w:r w:rsidR="00763C5D">
        <w:t xml:space="preserve">medical </w:t>
      </w:r>
      <w:r>
        <w:t>profession) to gain insight into our approach to ED&amp;I</w:t>
      </w:r>
      <w:r w:rsidR="00763C5D">
        <w:t>.</w:t>
      </w:r>
    </w:p>
    <w:p w14:paraId="27AA9CFF" w14:textId="7EE7F221" w:rsidR="00B648BB" w:rsidRDefault="00B648BB" w:rsidP="003071D0">
      <w:pPr>
        <w:pStyle w:val="GMCNumbertext"/>
        <w:numPr>
          <w:ilvl w:val="1"/>
          <w:numId w:val="3"/>
        </w:numPr>
      </w:pPr>
      <w:r>
        <w:t>Engaging with a range of stakeholders and patient groups in pre-engagement</w:t>
      </w:r>
      <w:r w:rsidR="00763C5D">
        <w:t>.</w:t>
      </w:r>
    </w:p>
    <w:p w14:paraId="7C7304CF" w14:textId="0059F621" w:rsidR="00B648BB" w:rsidRDefault="00B648BB" w:rsidP="003071D0">
      <w:pPr>
        <w:pStyle w:val="GMCNumbertext"/>
        <w:numPr>
          <w:ilvl w:val="1"/>
          <w:numId w:val="3"/>
        </w:numPr>
      </w:pPr>
      <w:r>
        <w:t xml:space="preserve">Targeting groups and individuals representing those with protected characteristics in the three </w:t>
      </w:r>
      <w:r w:rsidR="001C0C34">
        <w:t xml:space="preserve">public </w:t>
      </w:r>
      <w:r>
        <w:t>consultation surveys</w:t>
      </w:r>
      <w:r w:rsidR="00763C5D">
        <w:t>.</w:t>
      </w:r>
    </w:p>
    <w:p w14:paraId="66CB7445" w14:textId="0846ACD4" w:rsidR="00B648BB" w:rsidRDefault="00B648BB" w:rsidP="001E365C">
      <w:pPr>
        <w:pStyle w:val="GMCNumbertext"/>
        <w:numPr>
          <w:ilvl w:val="1"/>
          <w:numId w:val="23"/>
        </w:numPr>
        <w:tabs>
          <w:tab w:val="clear" w:pos="792"/>
        </w:tabs>
      </w:pPr>
      <w:r>
        <w:t>Commission</w:t>
      </w:r>
      <w:r w:rsidR="001E365C">
        <w:t>ing</w:t>
      </w:r>
      <w:r>
        <w:t xml:space="preserve"> </w:t>
      </w:r>
      <w:r w:rsidR="001E365C">
        <w:t>an external organisation (</w:t>
      </w:r>
      <w:hyperlink r:id="rId10" w:history="1">
        <w:r w:rsidR="001E365C" w:rsidRPr="00F46626">
          <w:rPr>
            <w:rStyle w:val="Hyperlink"/>
          </w:rPr>
          <w:t>ICE</w:t>
        </w:r>
        <w:r w:rsidR="00F46626" w:rsidRPr="00F46626">
          <w:rPr>
            <w:rStyle w:val="Hyperlink"/>
          </w:rPr>
          <w:t xml:space="preserve"> Creates</w:t>
        </w:r>
      </w:hyperlink>
      <w:r w:rsidR="001E365C">
        <w:t xml:space="preserve">) to complete patient </w:t>
      </w:r>
      <w:r>
        <w:t>research</w:t>
      </w:r>
      <w:r w:rsidR="001E365C">
        <w:t xml:space="preserve"> to understand how the proposed changes to GMP could affect patients from identified target groups</w:t>
      </w:r>
      <w:r w:rsidR="00763C5D">
        <w:t>.</w:t>
      </w:r>
    </w:p>
    <w:p w14:paraId="5011288E" w14:textId="19538E0D" w:rsidR="003716EB" w:rsidRDefault="003716EB" w:rsidP="00A532AA">
      <w:pPr>
        <w:pStyle w:val="Heading1"/>
      </w:pPr>
      <w:r>
        <w:t>Evidence</w:t>
      </w:r>
    </w:p>
    <w:p w14:paraId="18351E0F" w14:textId="1D88C76A" w:rsidR="00FB49C6" w:rsidRPr="00FB49C6" w:rsidRDefault="00B2483F" w:rsidP="00FB49C6">
      <w:pPr>
        <w:pStyle w:val="GMCNumbertext"/>
      </w:pPr>
      <w:r>
        <w:t xml:space="preserve">The equality impact assessment </w:t>
      </w:r>
      <w:r w:rsidR="004C2644">
        <w:t>(‘</w:t>
      </w:r>
      <w:proofErr w:type="spellStart"/>
      <w:r w:rsidR="004C2644">
        <w:t>E</w:t>
      </w:r>
      <w:r w:rsidR="00B4644A">
        <w:t>q</w:t>
      </w:r>
      <w:r w:rsidR="004C2644">
        <w:t>IA</w:t>
      </w:r>
      <w:proofErr w:type="spellEnd"/>
      <w:r w:rsidR="004C2644">
        <w:t xml:space="preserve">’) </w:t>
      </w:r>
      <w:r>
        <w:t xml:space="preserve">is a dynamic process through which this document (the </w:t>
      </w:r>
      <w:r w:rsidR="00763C5D">
        <w:t>‘</w:t>
      </w:r>
      <w:r>
        <w:t>EA</w:t>
      </w:r>
      <w:r w:rsidR="00763C5D">
        <w:t>’</w:t>
      </w:r>
      <w:r>
        <w:t xml:space="preserve">) will be updated throughout the review, including through scoping, engagement, </w:t>
      </w:r>
      <w:r w:rsidR="003F0D97">
        <w:t xml:space="preserve">public </w:t>
      </w:r>
      <w:r>
        <w:t>consultation, drafting and implementation, to take account of the evolving picture as the review progresses.</w:t>
      </w:r>
    </w:p>
    <w:p w14:paraId="16098AB7" w14:textId="6ED68602" w:rsidR="006847D9" w:rsidRDefault="006847D9" w:rsidP="00A532AA">
      <w:pPr>
        <w:pStyle w:val="Heading2"/>
      </w:pPr>
      <w:r>
        <w:t>Intelligence</w:t>
      </w:r>
      <w:r w:rsidR="006A0EFB">
        <w:t xml:space="preserve">, </w:t>
      </w:r>
      <w:r>
        <w:t>evidence gathering</w:t>
      </w:r>
      <w:r w:rsidR="006A0EFB">
        <w:t xml:space="preserve"> and scoping</w:t>
      </w:r>
    </w:p>
    <w:p w14:paraId="30132394" w14:textId="134E3FF2" w:rsidR="000A3DEE" w:rsidRDefault="000A3DEE" w:rsidP="00FB49C6">
      <w:pPr>
        <w:pStyle w:val="GMCNumbertext"/>
      </w:pPr>
      <w:r>
        <w:t>In the initial stage of scoping all colleagues were responsible for highlighting any ED&amp;I issues that came through the scoping.</w:t>
      </w:r>
    </w:p>
    <w:p w14:paraId="3BF7EE8C" w14:textId="0D8C5E2D" w:rsidR="000A3DEE" w:rsidRDefault="000A3DEE" w:rsidP="00FB49C6">
      <w:pPr>
        <w:pStyle w:val="GMCNumbertext"/>
      </w:pPr>
      <w:r>
        <w:t>In the intelligence and evidence gathering stage ED&amp;I was identified as a specific workstream. All intelligence and data from stage one was considered to identify issues we will need to include within the review.</w:t>
      </w:r>
    </w:p>
    <w:p w14:paraId="1AD2C2AE" w14:textId="044D016A" w:rsidR="00FF10A5" w:rsidRDefault="00CA2304" w:rsidP="00FB49C6">
      <w:pPr>
        <w:pStyle w:val="GMCNumbertext"/>
      </w:pPr>
      <w:r>
        <w:lastRenderedPageBreak/>
        <w:t>During scoping the following two areas were identified which we</w:t>
      </w:r>
      <w:r w:rsidR="00F81CFA">
        <w:t xml:space="preserve"> </w:t>
      </w:r>
      <w:r w:rsidR="00763C5D">
        <w:t xml:space="preserve">consider in addition to </w:t>
      </w:r>
      <w:r w:rsidR="00F81CFA">
        <w:t>the statutory protected characteristics.</w:t>
      </w:r>
    </w:p>
    <w:p w14:paraId="65E621D6" w14:textId="4E8B29DF" w:rsidR="00F81CFA" w:rsidRDefault="00F81CFA" w:rsidP="00583053">
      <w:pPr>
        <w:pStyle w:val="GMCNumbertext"/>
        <w:numPr>
          <w:ilvl w:val="1"/>
          <w:numId w:val="3"/>
        </w:numPr>
        <w:tabs>
          <w:tab w:val="clear" w:pos="792"/>
          <w:tab w:val="num" w:pos="1418"/>
        </w:tabs>
        <w:ind w:left="1418" w:hanging="992"/>
      </w:pPr>
      <w:r>
        <w:t>Socio economic status</w:t>
      </w:r>
      <w:r w:rsidR="00763C5D">
        <w:t>:</w:t>
      </w:r>
      <w:r>
        <w:t xml:space="preserve"> </w:t>
      </w:r>
      <w:r w:rsidR="00F46626">
        <w:t>T</w:t>
      </w:r>
      <w:r>
        <w:t>here is evidence that</w:t>
      </w:r>
      <w:r w:rsidR="00255994">
        <w:t>,</w:t>
      </w:r>
      <w:r>
        <w:t xml:space="preserve"> for both patients and </w:t>
      </w:r>
      <w:r w:rsidR="00763C5D">
        <w:t>medical pr</w:t>
      </w:r>
      <w:r w:rsidR="000D5CC1">
        <w:t>o</w:t>
      </w:r>
      <w:r w:rsidR="00763C5D">
        <w:t>fessionals</w:t>
      </w:r>
      <w:r w:rsidR="00255994">
        <w:t>,</w:t>
      </w:r>
      <w:r>
        <w:t xml:space="preserve"> socio economic status acts as a barrier.</w:t>
      </w:r>
      <w:r w:rsidR="00F46626">
        <w:t xml:space="preserve"> There</w:t>
      </w:r>
      <w:r w:rsidR="00F46626" w:rsidRPr="00F46626">
        <w:t xml:space="preserve"> is</w:t>
      </w:r>
      <w:r w:rsidR="00F46626">
        <w:t xml:space="preserve"> also</w:t>
      </w:r>
      <w:r w:rsidR="00F46626" w:rsidRPr="00F46626">
        <w:t xml:space="preserve"> a duty for public authorities in Scotland and Wales</w:t>
      </w:r>
      <w:r w:rsidR="004D4356">
        <w:t xml:space="preserve"> to consider socio-economic inequalities when carrying out certain functions. </w:t>
      </w:r>
    </w:p>
    <w:p w14:paraId="32C7094A" w14:textId="3FA3234F" w:rsidR="000A3DEE" w:rsidRDefault="00F81CFA" w:rsidP="00583053">
      <w:pPr>
        <w:pStyle w:val="GMCNumbertext"/>
        <w:numPr>
          <w:ilvl w:val="1"/>
          <w:numId w:val="3"/>
        </w:numPr>
        <w:tabs>
          <w:tab w:val="clear" w:pos="792"/>
          <w:tab w:val="num" w:pos="1418"/>
        </w:tabs>
        <w:ind w:left="1418" w:hanging="992"/>
      </w:pPr>
      <w:r>
        <w:t>Country of primary medical qualification</w:t>
      </w:r>
      <w:r w:rsidR="000D5CC1">
        <w:t xml:space="preserve"> (‘PMQ’)</w:t>
      </w:r>
      <w:r w:rsidR="001D6A41">
        <w:t>:</w:t>
      </w:r>
      <w:r>
        <w:t xml:space="preserve"> In scoping it became apparent that </w:t>
      </w:r>
      <w:r w:rsidR="001D6A41">
        <w:t>medical professionals</w:t>
      </w:r>
      <w:r>
        <w:t xml:space="preserve"> who received their </w:t>
      </w:r>
      <w:r w:rsidR="000D5CC1">
        <w:t xml:space="preserve">PMQ </w:t>
      </w:r>
      <w:r>
        <w:t xml:space="preserve">outside the UK are </w:t>
      </w:r>
      <w:r w:rsidR="000D5CC1">
        <w:t xml:space="preserve">viewed </w:t>
      </w:r>
      <w:r>
        <w:t>and treated differently, and less favourably, than their peers who qualified in the UK.</w:t>
      </w:r>
      <w:r w:rsidR="000A3DEE" w:rsidRPr="000A3DEE">
        <w:t xml:space="preserve"> </w:t>
      </w:r>
    </w:p>
    <w:p w14:paraId="739164BC" w14:textId="79477193" w:rsidR="000A3DEE" w:rsidRDefault="000A3DEE" w:rsidP="000A3DEE">
      <w:pPr>
        <w:pStyle w:val="GMCNumbertext"/>
      </w:pPr>
      <w:r>
        <w:t xml:space="preserve">For a list of intelligence and evidence referenced in scoping see </w:t>
      </w:r>
      <w:hyperlink w:anchor="_Annex_A_-" w:history="1">
        <w:r w:rsidRPr="00215D9F">
          <w:rPr>
            <w:rStyle w:val="Hyperlink"/>
          </w:rPr>
          <w:t>annex A</w:t>
        </w:r>
      </w:hyperlink>
      <w:r w:rsidR="000D5CC1">
        <w:rPr>
          <w:rStyle w:val="Hyperlink"/>
        </w:rPr>
        <w:t>.</w:t>
      </w:r>
    </w:p>
    <w:p w14:paraId="30482CA2" w14:textId="45F62F84" w:rsidR="00F81CFA" w:rsidRDefault="00AD682F" w:rsidP="00583053">
      <w:pPr>
        <w:pStyle w:val="GMCNumbertext"/>
      </w:pPr>
      <w:r>
        <w:t xml:space="preserve">PAs and </w:t>
      </w:r>
      <w:r w:rsidR="001305C5">
        <w:t>AAs will</w:t>
      </w:r>
      <w:r w:rsidR="004D4356">
        <w:t xml:space="preserve"> in future</w:t>
      </w:r>
      <w:r w:rsidR="001305C5">
        <w:t xml:space="preserve"> be regulated by </w:t>
      </w:r>
      <w:r w:rsidR="00E3009A">
        <w:t>us</w:t>
      </w:r>
      <w:r w:rsidR="001305C5">
        <w:t xml:space="preserve"> and will follow the updated GMP. To understand if there </w:t>
      </w:r>
      <w:r w:rsidR="000D5CC1">
        <w:t xml:space="preserve">are </w:t>
      </w:r>
      <w:r w:rsidR="001305C5">
        <w:t xml:space="preserve">any differences experienced by PAs </w:t>
      </w:r>
      <w:r w:rsidR="0038122F">
        <w:t xml:space="preserve">or AAs </w:t>
      </w:r>
      <w:r w:rsidR="001305C5">
        <w:t>who share protected characteristics</w:t>
      </w:r>
      <w:r w:rsidR="000D5CC1">
        <w:t>,</w:t>
      </w:r>
      <w:r w:rsidR="001305C5">
        <w:t xml:space="preserve"> we analysed responses to 13 questions in the 2020 </w:t>
      </w:r>
      <w:r w:rsidR="0038122F">
        <w:t>PA/</w:t>
      </w:r>
      <w:r w:rsidR="001305C5">
        <w:t>AA survey.</w:t>
      </w:r>
      <w:r w:rsidR="00AE29D1">
        <w:t xml:space="preserve"> </w:t>
      </w:r>
      <w:r w:rsidR="001305C5">
        <w:t xml:space="preserve">The </w:t>
      </w:r>
      <w:r w:rsidR="001305C5" w:rsidRPr="0042688F">
        <w:t>results</w:t>
      </w:r>
      <w:r w:rsidR="001305C5">
        <w:t xml:space="preserve"> showed that there were no significant differences </w:t>
      </w:r>
      <w:r w:rsidR="00255994">
        <w:t xml:space="preserve">by protected characteristic </w:t>
      </w:r>
      <w:r w:rsidR="001305C5">
        <w:t xml:space="preserve">reported by </w:t>
      </w:r>
      <w:r w:rsidR="0038122F">
        <w:t xml:space="preserve">PAs </w:t>
      </w:r>
      <w:r w:rsidR="001305C5">
        <w:t xml:space="preserve">and </w:t>
      </w:r>
      <w:r w:rsidR="0038122F">
        <w:t xml:space="preserve">AAs </w:t>
      </w:r>
      <w:r w:rsidR="001305C5">
        <w:t>in the survey.</w:t>
      </w:r>
    </w:p>
    <w:p w14:paraId="48D4C5B4" w14:textId="719E3877" w:rsidR="003E54BE" w:rsidRDefault="00AE29D1" w:rsidP="003E54BE">
      <w:pPr>
        <w:pStyle w:val="GMCNumbertext"/>
      </w:pPr>
      <w:r>
        <w:t xml:space="preserve">The interim guidance for </w:t>
      </w:r>
      <w:r w:rsidR="0038122F">
        <w:t xml:space="preserve">PAs </w:t>
      </w:r>
      <w:r>
        <w:t xml:space="preserve">and </w:t>
      </w:r>
      <w:r w:rsidR="0038122F">
        <w:t xml:space="preserve">AAs </w:t>
      </w:r>
      <w:r>
        <w:t xml:space="preserve">is subject to a dedicated EA that has holistically assessed the </w:t>
      </w:r>
      <w:r w:rsidR="000D5CC1">
        <w:t xml:space="preserve">ED&amp;I </w:t>
      </w:r>
      <w:r>
        <w:t xml:space="preserve">considerations of commencing regulation for these groups of professionals. This EA will be published alongside the </w:t>
      </w:r>
      <w:r w:rsidR="000D5CC1">
        <w:t xml:space="preserve">public </w:t>
      </w:r>
      <w:r>
        <w:t xml:space="preserve">consultation for </w:t>
      </w:r>
      <w:hyperlink r:id="rId11" w:history="1">
        <w:r w:rsidRPr="001D6A41">
          <w:rPr>
            <w:rStyle w:val="Hyperlink"/>
          </w:rPr>
          <w:t>regulatory reform</w:t>
        </w:r>
      </w:hyperlink>
      <w:r>
        <w:t>.</w:t>
      </w:r>
    </w:p>
    <w:p w14:paraId="51CA6084" w14:textId="5401B117" w:rsidR="003E54BE" w:rsidRDefault="006847D9" w:rsidP="003E54BE">
      <w:pPr>
        <w:pStyle w:val="Heading2"/>
      </w:pPr>
      <w:r>
        <w:t>Engagemen</w:t>
      </w:r>
      <w:r w:rsidR="003E54BE">
        <w:t>t</w:t>
      </w:r>
    </w:p>
    <w:p w14:paraId="71327035" w14:textId="531CE115" w:rsidR="006D4FF4" w:rsidRDefault="006D4FF4" w:rsidP="006D4FF4">
      <w:pPr>
        <w:pStyle w:val="GMCNumbertext"/>
        <w:numPr>
          <w:ilvl w:val="0"/>
          <w:numId w:val="1"/>
        </w:numPr>
      </w:pPr>
      <w:r w:rsidRPr="007B7774">
        <w:t xml:space="preserve">We attended a </w:t>
      </w:r>
      <w:r>
        <w:t>workshop hosted by the British Association of Physicians of Indian Origin (</w:t>
      </w:r>
      <w:r w:rsidR="000D5CC1">
        <w:t>‘</w:t>
      </w:r>
      <w:r>
        <w:t>BAPIO</w:t>
      </w:r>
      <w:r w:rsidR="000D5CC1">
        <w:t>’</w:t>
      </w:r>
      <w:r>
        <w:t xml:space="preserve">) </w:t>
      </w:r>
      <w:r w:rsidRPr="007B7774">
        <w:t xml:space="preserve">on 3 March 2021 during which the paper </w:t>
      </w:r>
      <w:r w:rsidR="00657AD0">
        <w:t>‘</w:t>
      </w:r>
      <w:r w:rsidRPr="007B7774">
        <w:t>Does a Narrow Definition of Medical Professionalism lead to Systemic Bias and Differential Outcomes?</w:t>
      </w:r>
      <w:r w:rsidR="00657AD0">
        <w:t>’</w:t>
      </w:r>
      <w:r w:rsidRPr="007B7774">
        <w:t xml:space="preserve"> was presented. This</w:t>
      </w:r>
      <w:r>
        <w:t xml:space="preserve"> challenge was taken into the scoping work.</w:t>
      </w:r>
    </w:p>
    <w:p w14:paraId="5BE5779A" w14:textId="484D98B3" w:rsidR="003E54BE" w:rsidRDefault="003E54BE" w:rsidP="003E54BE">
      <w:pPr>
        <w:pStyle w:val="GMCNumbertext"/>
        <w:numPr>
          <w:ilvl w:val="0"/>
          <w:numId w:val="1"/>
        </w:numPr>
      </w:pPr>
      <w:r>
        <w:t xml:space="preserve">We presented at SEDIAF initially in April 2021 and the BME doctors forum in June 2021. At </w:t>
      </w:r>
      <w:proofErr w:type="gramStart"/>
      <w:r>
        <w:t>both of these</w:t>
      </w:r>
      <w:proofErr w:type="gramEnd"/>
      <w:r>
        <w:t xml:space="preserve"> forums we gave an overview of the </w:t>
      </w:r>
      <w:r w:rsidR="00881A64">
        <w:t>review</w:t>
      </w:r>
      <w:r>
        <w:t xml:space="preserve"> and signposted ways for members to get involved.</w:t>
      </w:r>
    </w:p>
    <w:p w14:paraId="39C28103" w14:textId="46871B27" w:rsidR="006D4FF4" w:rsidRDefault="00B963D0" w:rsidP="006D4FF4">
      <w:pPr>
        <w:pStyle w:val="GMCNumbertext"/>
        <w:numPr>
          <w:ilvl w:val="0"/>
          <w:numId w:val="1"/>
        </w:numPr>
      </w:pPr>
      <w:r>
        <w:t xml:space="preserve">We delivered a webinar for members of </w:t>
      </w:r>
      <w:r w:rsidR="003E54BE">
        <w:t>SEDIAF</w:t>
      </w:r>
      <w:r>
        <w:t xml:space="preserve"> in early May 2021 to seek views on how we ensure an ED</w:t>
      </w:r>
      <w:r w:rsidR="004C2644">
        <w:t>&amp;</w:t>
      </w:r>
      <w:r>
        <w:t xml:space="preserve">I perspective is appropriately represented in our approach to </w:t>
      </w:r>
      <w:r w:rsidR="004C2644">
        <w:t xml:space="preserve">the </w:t>
      </w:r>
      <w:r w:rsidR="00881A64">
        <w:t>review’s</w:t>
      </w:r>
      <w:r>
        <w:t xml:space="preserve"> governance. This included seeking views on the composition of and model for an external stakeholder advisory function to provide independent advice and support across the life of the </w:t>
      </w:r>
      <w:r w:rsidR="00881A64">
        <w:t>review</w:t>
      </w:r>
      <w:r>
        <w:t>.</w:t>
      </w:r>
      <w:r w:rsidR="006D4FF4" w:rsidRPr="006D4FF4">
        <w:t xml:space="preserve"> </w:t>
      </w:r>
    </w:p>
    <w:p w14:paraId="257D497A" w14:textId="708E64FD" w:rsidR="00B963D0" w:rsidRDefault="006D4FF4" w:rsidP="006D4FF4">
      <w:pPr>
        <w:pStyle w:val="GMCNumbertext"/>
        <w:numPr>
          <w:ilvl w:val="0"/>
          <w:numId w:val="1"/>
        </w:numPr>
      </w:pPr>
      <w:r>
        <w:t>In July 2021 w</w:t>
      </w:r>
      <w:r w:rsidRPr="007B7774">
        <w:t xml:space="preserve">e invited 48 stakeholder organisations to respond to nine questions including a question relating to ED&amp;I in a </w:t>
      </w:r>
      <w:r w:rsidRPr="0042688F">
        <w:t>pre-consultation survey</w:t>
      </w:r>
      <w:r w:rsidRPr="007B7774">
        <w:t xml:space="preserve">. We received 24 </w:t>
      </w:r>
      <w:r>
        <w:t>full and 16 partial</w:t>
      </w:r>
      <w:r w:rsidRPr="007B7774">
        <w:t xml:space="preserve"> responses which were analysed to understand the issues raised for </w:t>
      </w:r>
      <w:r w:rsidRPr="007B7774">
        <w:lastRenderedPageBreak/>
        <w:t xml:space="preserve">different groups of </w:t>
      </w:r>
      <w:r w:rsidR="004C2644">
        <w:t>medical professionals</w:t>
      </w:r>
      <w:r w:rsidRPr="007B7774">
        <w:t>. The survey responses were fed into the scoping work.</w:t>
      </w:r>
    </w:p>
    <w:p w14:paraId="527896AD" w14:textId="2FB6D3CC" w:rsidR="00B963D0" w:rsidRDefault="004C2644" w:rsidP="00B963D0">
      <w:pPr>
        <w:pStyle w:val="GMCNumbertext"/>
        <w:numPr>
          <w:ilvl w:val="0"/>
          <w:numId w:val="1"/>
        </w:numPr>
      </w:pPr>
      <w:r>
        <w:t xml:space="preserve">The </w:t>
      </w:r>
      <w:r w:rsidR="00B963D0">
        <w:t xml:space="preserve">membership </w:t>
      </w:r>
      <w:r>
        <w:t xml:space="preserve">of GMPAF </w:t>
      </w:r>
      <w:r w:rsidR="00B963D0">
        <w:t>was designed with ED&amp;I at the centre and part of the criteria for recruitment of members was their diversity of perspective and understanding of ED&amp;I.</w:t>
      </w:r>
    </w:p>
    <w:p w14:paraId="77393E04" w14:textId="54142DAD" w:rsidR="00B963D0" w:rsidRDefault="004D4356" w:rsidP="004D4356">
      <w:pPr>
        <w:pStyle w:val="GMCNumbertext"/>
        <w:numPr>
          <w:ilvl w:val="0"/>
          <w:numId w:val="1"/>
        </w:numPr>
      </w:pPr>
      <w:r>
        <w:t>Our approach to ED&amp;I was first set out to GMPAF at an in</w:t>
      </w:r>
      <w:r w:rsidR="003E54BE">
        <w:t>troductory</w:t>
      </w:r>
      <w:r>
        <w:t xml:space="preserve"> call in August 2021. Four</w:t>
      </w:r>
      <w:r w:rsidR="003E54BE">
        <w:t xml:space="preserve"> full</w:t>
      </w:r>
      <w:r>
        <w:t xml:space="preserve"> </w:t>
      </w:r>
      <w:r w:rsidR="00B963D0">
        <w:t>GMPAF meeting</w:t>
      </w:r>
      <w:r w:rsidR="0038122F">
        <w:t xml:space="preserve">s were held between </w:t>
      </w:r>
      <w:r>
        <w:t xml:space="preserve">September </w:t>
      </w:r>
      <w:r w:rsidR="0038122F">
        <w:t xml:space="preserve">and December 2021. </w:t>
      </w:r>
      <w:r>
        <w:t>O</w:t>
      </w:r>
      <w:r w:rsidR="0038122F">
        <w:t>ur approach to ED&amp;I</w:t>
      </w:r>
      <w:r>
        <w:t xml:space="preserve"> was </w:t>
      </w:r>
      <w:r w:rsidR="003E54BE">
        <w:t>discussed</w:t>
      </w:r>
      <w:r>
        <w:t xml:space="preserve"> in detail in the October meeting</w:t>
      </w:r>
      <w:r w:rsidR="0038122F">
        <w:t xml:space="preserve">, and other meetings included points raised through scoping, engagement and the </w:t>
      </w:r>
      <w:proofErr w:type="spellStart"/>
      <w:r w:rsidR="0038122F">
        <w:t>EqIA</w:t>
      </w:r>
      <w:proofErr w:type="spellEnd"/>
      <w:r w:rsidR="0038122F">
        <w:t xml:space="preserve"> where we wanted to test our thinking on ED&amp;I topics.</w:t>
      </w:r>
      <w:r>
        <w:t xml:space="preserve"> Notes of the meetings are published </w:t>
      </w:r>
      <w:bookmarkStart w:id="0" w:name="_Hlk97129349"/>
      <w:r w:rsidRPr="006E12E6">
        <w:fldChar w:fldCharType="begin"/>
      </w:r>
      <w:r>
        <w:instrText>HYPERLINK "http://www.gmc-uk.org/ethical-guidance/good-medical-practice-review"</w:instrText>
      </w:r>
      <w:r w:rsidRPr="006E12E6">
        <w:fldChar w:fldCharType="separate"/>
      </w:r>
      <w:r>
        <w:rPr>
          <w:rStyle w:val="Hyperlink"/>
        </w:rPr>
        <w:t xml:space="preserve">on our website pages about the </w:t>
      </w:r>
      <w:r w:rsidRPr="004D4356">
        <w:rPr>
          <w:rStyle w:val="Hyperlink"/>
          <w:i/>
          <w:iCs/>
        </w:rPr>
        <w:t>Good medical pra</w:t>
      </w:r>
      <w:r w:rsidRPr="003E54BE">
        <w:rPr>
          <w:rStyle w:val="Hyperlink"/>
          <w:i/>
          <w:iCs/>
        </w:rPr>
        <w:t>ctice</w:t>
      </w:r>
      <w:r>
        <w:rPr>
          <w:rStyle w:val="Hyperlink"/>
        </w:rPr>
        <w:t xml:space="preserve"> review.</w:t>
      </w:r>
      <w:r w:rsidRPr="006E12E6">
        <w:rPr>
          <w:rStyle w:val="Hyperlink"/>
        </w:rPr>
        <w:fldChar w:fldCharType="end"/>
      </w:r>
      <w:bookmarkEnd w:id="0"/>
    </w:p>
    <w:p w14:paraId="724C8CA8" w14:textId="7C58B338" w:rsidR="006D4FF4" w:rsidRDefault="006D4FF4" w:rsidP="006D4FF4">
      <w:pPr>
        <w:pStyle w:val="GMCNumbertext"/>
        <w:numPr>
          <w:ilvl w:val="0"/>
          <w:numId w:val="1"/>
        </w:numPr>
      </w:pPr>
      <w:r>
        <w:t>In September 2021, we also set up a community of interest (COI) for the review. So far, over 1,700 individuals have signed up. The majority are doctors</w:t>
      </w:r>
      <w:r w:rsidR="001C0C34">
        <w:t>, PAs, or AAs</w:t>
      </w:r>
      <w:r>
        <w:t xml:space="preserve"> from various career stages and across the four countries of the UK. The group also includes patients,</w:t>
      </w:r>
      <w:r w:rsidR="001C0C34">
        <w:t xml:space="preserve"> </w:t>
      </w:r>
      <w:r w:rsidR="004C2644">
        <w:t>R</w:t>
      </w:r>
      <w:r>
        <w:t xml:space="preserve">esponsible </w:t>
      </w:r>
      <w:r w:rsidR="004C2644">
        <w:t>O</w:t>
      </w:r>
      <w:r>
        <w:t xml:space="preserve">fficers </w:t>
      </w:r>
      <w:r w:rsidR="00EE4C58">
        <w:t xml:space="preserve">(ROs) </w:t>
      </w:r>
      <w:r>
        <w:t xml:space="preserve">and those who support implementation of </w:t>
      </w:r>
      <w:r w:rsidR="004C2644">
        <w:t>GMP</w:t>
      </w:r>
      <w:r>
        <w:t xml:space="preserve">. Our regular newsletter for the COI </w:t>
      </w:r>
      <w:r w:rsidR="001C0C34">
        <w:t>has</w:t>
      </w:r>
      <w:r>
        <w:t xml:space="preserve"> strong </w:t>
      </w:r>
      <w:r w:rsidR="001C0C34">
        <w:t>engagement</w:t>
      </w:r>
      <w:r>
        <w:t xml:space="preserve"> rates, which suggests we’re building an engaged and interested group who will participate in and champion the </w:t>
      </w:r>
      <w:r w:rsidR="003F0D97">
        <w:t xml:space="preserve">public </w:t>
      </w:r>
      <w:r>
        <w:t xml:space="preserve">consultation. </w:t>
      </w:r>
    </w:p>
    <w:p w14:paraId="1D2F66BC" w14:textId="7F51C25E" w:rsidR="0042688F" w:rsidRDefault="00B963D0" w:rsidP="0042688F">
      <w:pPr>
        <w:pStyle w:val="GMCNumbertext"/>
        <w:numPr>
          <w:ilvl w:val="0"/>
          <w:numId w:val="1"/>
        </w:numPr>
      </w:pPr>
      <w:r>
        <w:t xml:space="preserve">We hosted two webinars on the subject </w:t>
      </w:r>
      <w:r w:rsidR="00657AD0">
        <w:t>‘</w:t>
      </w:r>
      <w:r w:rsidRPr="009C5ECE">
        <w:t xml:space="preserve">How can </w:t>
      </w:r>
      <w:r w:rsidRPr="0026525C">
        <w:rPr>
          <w:i/>
          <w:iCs/>
        </w:rPr>
        <w:t xml:space="preserve">Good </w:t>
      </w:r>
      <w:r w:rsidR="0026525C" w:rsidRPr="0026525C">
        <w:rPr>
          <w:i/>
          <w:iCs/>
        </w:rPr>
        <w:t>m</w:t>
      </w:r>
      <w:r w:rsidRPr="0026525C">
        <w:rPr>
          <w:i/>
          <w:iCs/>
        </w:rPr>
        <w:t xml:space="preserve">edical </w:t>
      </w:r>
      <w:r w:rsidR="0026525C" w:rsidRPr="0026525C">
        <w:rPr>
          <w:i/>
          <w:iCs/>
        </w:rPr>
        <w:t>p</w:t>
      </w:r>
      <w:r w:rsidRPr="0026525C">
        <w:rPr>
          <w:i/>
          <w:iCs/>
        </w:rPr>
        <w:t>ractice</w:t>
      </w:r>
      <w:r w:rsidRPr="009C5ECE">
        <w:t xml:space="preserve"> more directly engage with the needs and interests of our diverse patient population and healthcare workforce?</w:t>
      </w:r>
      <w:r w:rsidR="00657AD0">
        <w:t>’</w:t>
      </w:r>
      <w:r>
        <w:t xml:space="preserve"> in early November 2021. Invitations to attend this webinar included SEDIAF</w:t>
      </w:r>
      <w:r w:rsidR="00255994">
        <w:t xml:space="preserve"> members</w:t>
      </w:r>
      <w:r>
        <w:t xml:space="preserve">, </w:t>
      </w:r>
      <w:r w:rsidR="00255994">
        <w:t xml:space="preserve">the </w:t>
      </w:r>
      <w:r>
        <w:t>BME D</w:t>
      </w:r>
      <w:r w:rsidR="004C2644">
        <w:t>octors</w:t>
      </w:r>
      <w:r>
        <w:t xml:space="preserve"> forum </w:t>
      </w:r>
      <w:r w:rsidR="00255994">
        <w:t xml:space="preserve">members and the </w:t>
      </w:r>
      <w:r>
        <w:t>internal central ED</w:t>
      </w:r>
      <w:r w:rsidR="004C2644">
        <w:t>&amp;</w:t>
      </w:r>
      <w:r>
        <w:t>I contacts list</w:t>
      </w:r>
      <w:r w:rsidR="004C2644">
        <w:t xml:space="preserve"> members</w:t>
      </w:r>
      <w:r>
        <w:t xml:space="preserve">. External stakeholders attending this meeting represented </w:t>
      </w:r>
      <w:r w:rsidR="00E3009A">
        <w:t xml:space="preserve">ethnic minority </w:t>
      </w:r>
      <w:r>
        <w:t>doctors, disabled doctors, doctors from faith groups and the BMA.</w:t>
      </w:r>
    </w:p>
    <w:p w14:paraId="3E28AA72" w14:textId="62100F7F" w:rsidR="0042688F" w:rsidRDefault="00AE29D1" w:rsidP="0042688F">
      <w:pPr>
        <w:pStyle w:val="GMCNumbertext"/>
        <w:numPr>
          <w:ilvl w:val="0"/>
          <w:numId w:val="1"/>
        </w:numPr>
      </w:pPr>
      <w:r>
        <w:t xml:space="preserve">Topics covered in </w:t>
      </w:r>
      <w:r w:rsidR="00B963D0">
        <w:t>webinar</w:t>
      </w:r>
      <w:r w:rsidR="0038122F">
        <w:t>s</w:t>
      </w:r>
      <w:r w:rsidR="00B963D0">
        <w:t xml:space="preserve"> </w:t>
      </w:r>
    </w:p>
    <w:p w14:paraId="79002FE3" w14:textId="477BBC4C" w:rsidR="00AE29D1" w:rsidRPr="00AE29D1" w:rsidRDefault="00AE29D1" w:rsidP="00641544">
      <w:pPr>
        <w:pStyle w:val="GMCNumbertext"/>
        <w:numPr>
          <w:ilvl w:val="1"/>
          <w:numId w:val="3"/>
        </w:numPr>
        <w:tabs>
          <w:tab w:val="clear" w:pos="792"/>
          <w:tab w:val="num" w:pos="1418"/>
        </w:tabs>
        <w:ind w:left="1418" w:hanging="992"/>
      </w:pPr>
      <w:r w:rsidRPr="00AE29D1">
        <w:t>Strengthening support in ou</w:t>
      </w:r>
      <w:r w:rsidR="006D4FF4">
        <w:t>r</w:t>
      </w:r>
      <w:r w:rsidRPr="00AE29D1">
        <w:t xml:space="preserve"> ethical guidance for disabled patients and colleagues</w:t>
      </w:r>
      <w:r w:rsidR="004C2644">
        <w:t>.</w:t>
      </w:r>
    </w:p>
    <w:p w14:paraId="3828330F" w14:textId="16B21A7B" w:rsidR="00AE29D1" w:rsidRPr="00665CEA" w:rsidRDefault="00AE29D1" w:rsidP="00583053">
      <w:pPr>
        <w:pStyle w:val="GMCNumbertext"/>
        <w:numPr>
          <w:ilvl w:val="1"/>
          <w:numId w:val="3"/>
        </w:numPr>
        <w:tabs>
          <w:tab w:val="clear" w:pos="792"/>
          <w:tab w:val="num" w:pos="1418"/>
        </w:tabs>
        <w:ind w:left="1418" w:hanging="992"/>
      </w:pPr>
      <w:r w:rsidRPr="00665CEA">
        <w:t xml:space="preserve">Should we expect </w:t>
      </w:r>
      <w:r w:rsidR="00F85B6C">
        <w:t>medical professionals</w:t>
      </w:r>
      <w:r w:rsidRPr="00665CEA">
        <w:t xml:space="preserve"> to demonstrate competency in cultural awareness? What would be the benefits of this? How can </w:t>
      </w:r>
      <w:r w:rsidR="001D6A41">
        <w:t>medical professionals</w:t>
      </w:r>
      <w:r w:rsidRPr="00665CEA">
        <w:t xml:space="preserve"> meet this expectation? </w:t>
      </w:r>
    </w:p>
    <w:p w14:paraId="62C7448A" w14:textId="5C60173E" w:rsidR="0038122F" w:rsidRPr="00665CEA" w:rsidRDefault="0038122F" w:rsidP="00583053">
      <w:pPr>
        <w:pStyle w:val="GMCNumbertext"/>
        <w:numPr>
          <w:ilvl w:val="1"/>
          <w:numId w:val="3"/>
        </w:numPr>
        <w:tabs>
          <w:tab w:val="clear" w:pos="792"/>
          <w:tab w:val="num" w:pos="1418"/>
        </w:tabs>
        <w:ind w:left="1418" w:hanging="992"/>
      </w:pPr>
      <w:r w:rsidRPr="00BD6555">
        <w:t xml:space="preserve">Should GMP set expectations around </w:t>
      </w:r>
      <w:r w:rsidR="00F85B6C">
        <w:t>medical professionals’</w:t>
      </w:r>
      <w:r w:rsidRPr="00BD6555">
        <w:t xml:space="preserve"> responsibilities to understand the wider determinants of poor health and to tackle health inequalities? </w:t>
      </w:r>
    </w:p>
    <w:p w14:paraId="06448145" w14:textId="719B6724" w:rsidR="00AE29D1" w:rsidRPr="00665CEA" w:rsidRDefault="00AE29D1" w:rsidP="00583053">
      <w:pPr>
        <w:pStyle w:val="GMCNumbertext"/>
        <w:numPr>
          <w:ilvl w:val="1"/>
          <w:numId w:val="3"/>
        </w:numPr>
        <w:tabs>
          <w:tab w:val="clear" w:pos="792"/>
          <w:tab w:val="num" w:pos="1418"/>
        </w:tabs>
        <w:ind w:left="1418" w:hanging="992"/>
      </w:pPr>
      <w:r w:rsidRPr="00665CEA">
        <w:t xml:space="preserve">Do we provide enough advice to support </w:t>
      </w:r>
      <w:r w:rsidR="00F85B6C">
        <w:t>medical professionals</w:t>
      </w:r>
      <w:r w:rsidRPr="00665CEA">
        <w:t xml:space="preserve"> experiencing discrimination or unfair treatment in the workplace?</w:t>
      </w:r>
    </w:p>
    <w:p w14:paraId="6083047C" w14:textId="77777777" w:rsidR="00AE29D1" w:rsidRDefault="00AE29D1" w:rsidP="00583053">
      <w:pPr>
        <w:pStyle w:val="GMCNumbertext"/>
        <w:numPr>
          <w:ilvl w:val="1"/>
          <w:numId w:val="3"/>
        </w:numPr>
        <w:tabs>
          <w:tab w:val="clear" w:pos="792"/>
          <w:tab w:val="num" w:pos="1418"/>
        </w:tabs>
        <w:ind w:left="1418" w:hanging="992"/>
      </w:pPr>
      <w:r w:rsidRPr="00BD6555">
        <w:t>Should we include specific duties in relation to fairness in providing training/mentoring opportunities?</w:t>
      </w:r>
    </w:p>
    <w:p w14:paraId="76F541DD" w14:textId="1BEBDA5B" w:rsidR="00AE29D1" w:rsidRDefault="00AE29D1" w:rsidP="00583053">
      <w:pPr>
        <w:pStyle w:val="GMCNumbertext"/>
        <w:numPr>
          <w:ilvl w:val="1"/>
          <w:numId w:val="3"/>
        </w:numPr>
        <w:tabs>
          <w:tab w:val="clear" w:pos="792"/>
          <w:tab w:val="num" w:pos="1418"/>
        </w:tabs>
        <w:ind w:left="1418" w:hanging="992"/>
      </w:pPr>
      <w:r>
        <w:lastRenderedPageBreak/>
        <w:t>Balance between personal beliefs and professional duties</w:t>
      </w:r>
      <w:r w:rsidR="004C2644">
        <w:t>.</w:t>
      </w:r>
    </w:p>
    <w:p w14:paraId="453EDBAD" w14:textId="42249E90" w:rsidR="00AE29D1" w:rsidRDefault="00AE29D1" w:rsidP="00583053">
      <w:pPr>
        <w:pStyle w:val="GMCNumbertext"/>
        <w:numPr>
          <w:ilvl w:val="1"/>
          <w:numId w:val="3"/>
        </w:numPr>
        <w:tabs>
          <w:tab w:val="clear" w:pos="792"/>
          <w:tab w:val="num" w:pos="1418"/>
        </w:tabs>
        <w:ind w:left="1418" w:hanging="992"/>
      </w:pPr>
      <w:r w:rsidRPr="00BD6555">
        <w:t>Speaking up/raising concerns</w:t>
      </w:r>
      <w:r w:rsidR="004C2644">
        <w:t>.</w:t>
      </w:r>
    </w:p>
    <w:p w14:paraId="5FFEAA7B" w14:textId="500C3570" w:rsidR="00B963D0" w:rsidRDefault="00AE29D1" w:rsidP="00583053">
      <w:pPr>
        <w:pStyle w:val="GMCNumbertext"/>
        <w:numPr>
          <w:ilvl w:val="1"/>
          <w:numId w:val="3"/>
        </w:numPr>
        <w:tabs>
          <w:tab w:val="clear" w:pos="792"/>
          <w:tab w:val="num" w:pos="1418"/>
        </w:tabs>
        <w:ind w:left="1418" w:hanging="992"/>
      </w:pPr>
      <w:r w:rsidRPr="00665CEA">
        <w:t xml:space="preserve">Do we need to make any other changes to our guidance in relation to protected characteristics, </w:t>
      </w:r>
      <w:r w:rsidR="004C2644">
        <w:t xml:space="preserve">ED&amp;I </w:t>
      </w:r>
      <w:r w:rsidRPr="00665CEA">
        <w:t>including socio-economic disadvantage?</w:t>
      </w:r>
    </w:p>
    <w:p w14:paraId="47DF183C" w14:textId="6130DDA4" w:rsidR="00B963D0" w:rsidRDefault="00B963D0" w:rsidP="00B963D0">
      <w:pPr>
        <w:pStyle w:val="GMCNumbertext"/>
        <w:numPr>
          <w:ilvl w:val="0"/>
          <w:numId w:val="1"/>
        </w:numPr>
      </w:pPr>
      <w:r>
        <w:t>Following the webinar</w:t>
      </w:r>
      <w:r w:rsidR="006D4FF4">
        <w:t>s,</w:t>
      </w:r>
      <w:r>
        <w:t xml:space="preserve"> we did a gap analysis and reached out separately to </w:t>
      </w:r>
      <w:r w:rsidR="001C0C34" w:rsidRPr="001C0C34">
        <w:t>Gay and Lesbian Association of Doctors and Dentists</w:t>
      </w:r>
      <w:r w:rsidR="00E3009A">
        <w:t xml:space="preserve"> (GLADD</w:t>
      </w:r>
      <w:r w:rsidR="001C0C34" w:rsidRPr="001C0C34">
        <w:t>)</w:t>
      </w:r>
      <w:r>
        <w:t xml:space="preserve"> and Women’s doctors</w:t>
      </w:r>
      <w:r w:rsidR="00255994">
        <w:t>’</w:t>
      </w:r>
      <w:r>
        <w:t xml:space="preserve"> groups, to facilitate joint working around </w:t>
      </w:r>
      <w:r w:rsidR="003F0D97">
        <w:t xml:space="preserve">public </w:t>
      </w:r>
      <w:r>
        <w:t xml:space="preserve">consultation events. </w:t>
      </w:r>
    </w:p>
    <w:p w14:paraId="54B190AF" w14:textId="7EA1F060" w:rsidR="00B963D0" w:rsidRDefault="00B963D0" w:rsidP="00B963D0">
      <w:pPr>
        <w:pStyle w:val="GMCNumbertext"/>
        <w:numPr>
          <w:ilvl w:val="0"/>
          <w:numId w:val="1"/>
        </w:numPr>
      </w:pPr>
      <w:r>
        <w:t xml:space="preserve">Where there are gaps in patient </w:t>
      </w:r>
      <w:r w:rsidR="0038122F">
        <w:t xml:space="preserve">and </w:t>
      </w:r>
      <w:r w:rsidR="00F85B6C">
        <w:t>medical professionals’</w:t>
      </w:r>
      <w:r w:rsidR="0038122F">
        <w:t xml:space="preserve"> </w:t>
      </w:r>
      <w:r>
        <w:t>research</w:t>
      </w:r>
      <w:r w:rsidR="00632DB2">
        <w:t xml:space="preserve">, our </w:t>
      </w:r>
      <w:hyperlink r:id="rId12" w:history="1">
        <w:r w:rsidR="00632DB2">
          <w:rPr>
            <w:rStyle w:val="Hyperlink"/>
          </w:rPr>
          <w:t>Outreach team</w:t>
        </w:r>
      </w:hyperlink>
      <w:r>
        <w:t xml:space="preserve"> will look at providing additional sessions within </w:t>
      </w:r>
      <w:r w:rsidR="000D1831">
        <w:t xml:space="preserve">the </w:t>
      </w:r>
      <w:r w:rsidR="003F0D97">
        <w:t xml:space="preserve">public </w:t>
      </w:r>
      <w:r>
        <w:t>consultation.</w:t>
      </w:r>
      <w:r w:rsidR="0038122F">
        <w:t xml:space="preserve"> See</w:t>
      </w:r>
      <w:r w:rsidR="00881A64">
        <w:t xml:space="preserve"> </w:t>
      </w:r>
      <w:hyperlink w:anchor="_Consultation,_analysis_and" w:history="1">
        <w:r w:rsidR="00881A64" w:rsidRPr="00881A64">
          <w:rPr>
            <w:rStyle w:val="Hyperlink"/>
          </w:rPr>
          <w:t xml:space="preserve">Consultation, </w:t>
        </w:r>
        <w:proofErr w:type="gramStart"/>
        <w:r w:rsidR="00881A64" w:rsidRPr="00881A64">
          <w:rPr>
            <w:rStyle w:val="Hyperlink"/>
          </w:rPr>
          <w:t>analysis</w:t>
        </w:r>
        <w:proofErr w:type="gramEnd"/>
        <w:r w:rsidR="00881A64" w:rsidRPr="00881A64">
          <w:rPr>
            <w:rStyle w:val="Hyperlink"/>
          </w:rPr>
          <w:t xml:space="preserve"> and quality assurance</w:t>
        </w:r>
      </w:hyperlink>
      <w:r w:rsidR="00881A64">
        <w:t xml:space="preserve"> </w:t>
      </w:r>
      <w:r w:rsidR="0038122F">
        <w:t>for further details.</w:t>
      </w:r>
    </w:p>
    <w:p w14:paraId="62B07949" w14:textId="0260F784" w:rsidR="006847D9" w:rsidRDefault="00A31BE6" w:rsidP="00A532AA">
      <w:pPr>
        <w:pStyle w:val="Heading2"/>
      </w:pPr>
      <w:r>
        <w:t>Guidance development/d</w:t>
      </w:r>
      <w:r w:rsidR="006A0EFB">
        <w:t>rafting</w:t>
      </w:r>
    </w:p>
    <w:p w14:paraId="3D34CC64" w14:textId="6F337C7F" w:rsidR="0018332F" w:rsidRDefault="0018332F" w:rsidP="00E31453">
      <w:pPr>
        <w:pStyle w:val="GMCNumbertext"/>
        <w:rPr>
          <w:rFonts w:ascii="Calibri" w:hAnsi="Calibri"/>
          <w:color w:val="auto"/>
          <w:sz w:val="22"/>
          <w:szCs w:val="22"/>
        </w:rPr>
      </w:pPr>
      <w:r>
        <w:t>We set up an internal drafting steering group which include</w:t>
      </w:r>
      <w:r w:rsidR="006D4FF4">
        <w:t>d</w:t>
      </w:r>
      <w:r>
        <w:t xml:space="preserve">: </w:t>
      </w:r>
    </w:p>
    <w:p w14:paraId="53C4C4A1" w14:textId="6CFC7D25" w:rsidR="0018332F" w:rsidRDefault="0018332F" w:rsidP="00583053">
      <w:pPr>
        <w:pStyle w:val="GMCNumbertext"/>
        <w:numPr>
          <w:ilvl w:val="1"/>
          <w:numId w:val="3"/>
        </w:numPr>
        <w:tabs>
          <w:tab w:val="clear" w:pos="792"/>
          <w:tab w:val="num" w:pos="1418"/>
        </w:tabs>
        <w:ind w:left="1418" w:hanging="992"/>
      </w:pPr>
      <w:r>
        <w:t>Members of the GMP review team from policy/implementation and experienced drafters who worked on previous reviews of GMP</w:t>
      </w:r>
      <w:r w:rsidR="000D1831">
        <w:t>.</w:t>
      </w:r>
      <w:r>
        <w:t xml:space="preserve"> </w:t>
      </w:r>
    </w:p>
    <w:p w14:paraId="3EB8264F" w14:textId="4D437F47" w:rsidR="0018332F" w:rsidRDefault="0018332F" w:rsidP="00583053">
      <w:pPr>
        <w:pStyle w:val="GMCNumbertext"/>
        <w:numPr>
          <w:ilvl w:val="1"/>
          <w:numId w:val="3"/>
        </w:numPr>
        <w:tabs>
          <w:tab w:val="clear" w:pos="792"/>
          <w:tab w:val="num" w:pos="1418"/>
        </w:tabs>
        <w:ind w:left="1418" w:hanging="992"/>
      </w:pPr>
      <w:r>
        <w:t xml:space="preserve">Users of the guidance: </w:t>
      </w:r>
      <w:r w:rsidR="0026525C">
        <w:t>two</w:t>
      </w:r>
      <w:r>
        <w:t xml:space="preserve"> case examiners with a medical background </w:t>
      </w:r>
      <w:r w:rsidR="0026525C">
        <w:t>and two</w:t>
      </w:r>
      <w:r>
        <w:t xml:space="preserve"> clinical fellows</w:t>
      </w:r>
      <w:r w:rsidR="0086048A">
        <w:t>.</w:t>
      </w:r>
    </w:p>
    <w:p w14:paraId="2BE2AE87" w14:textId="5B722747" w:rsidR="0018332F" w:rsidRPr="00E31453" w:rsidRDefault="0026525C" w:rsidP="00583053">
      <w:pPr>
        <w:pStyle w:val="GMCNumbertext"/>
        <w:numPr>
          <w:ilvl w:val="1"/>
          <w:numId w:val="3"/>
        </w:numPr>
        <w:tabs>
          <w:tab w:val="clear" w:pos="792"/>
          <w:tab w:val="num" w:pos="1418"/>
        </w:tabs>
        <w:ind w:left="1418" w:hanging="992"/>
      </w:pPr>
      <w:r>
        <w:t>Two</w:t>
      </w:r>
      <w:r w:rsidR="0018332F">
        <w:t xml:space="preserve"> education team members (to help explore links with M</w:t>
      </w:r>
      <w:r w:rsidR="006D4FF4">
        <w:t xml:space="preserve">edical </w:t>
      </w:r>
      <w:r w:rsidR="0018332F">
        <w:t>L</w:t>
      </w:r>
      <w:r w:rsidR="006D4FF4">
        <w:t xml:space="preserve">icensing </w:t>
      </w:r>
      <w:r w:rsidR="0018332F">
        <w:t>A</w:t>
      </w:r>
      <w:r w:rsidR="006D4FF4">
        <w:t>ssessment</w:t>
      </w:r>
      <w:r w:rsidR="0018332F">
        <w:t xml:space="preserve"> </w:t>
      </w:r>
      <w:r w:rsidR="0086048A">
        <w:t xml:space="preserve">(‘MLA’) </w:t>
      </w:r>
      <w:r w:rsidR="0018332F">
        <w:t>and education outcomes documents)</w:t>
      </w:r>
    </w:p>
    <w:p w14:paraId="324E3D8C" w14:textId="74978DA6" w:rsidR="0018332F" w:rsidRDefault="0018332F" w:rsidP="00E31453">
      <w:pPr>
        <w:pStyle w:val="GMCNumbertext"/>
      </w:pPr>
      <w:r>
        <w:t xml:space="preserve">The group met weekly for </w:t>
      </w:r>
      <w:r w:rsidR="0026525C">
        <w:t>two</w:t>
      </w:r>
      <w:r>
        <w:t xml:space="preserve"> hours throughout November/early Dec</w:t>
      </w:r>
      <w:r w:rsidR="0038122F">
        <w:t>ember</w:t>
      </w:r>
      <w:r>
        <w:t xml:space="preserve"> </w:t>
      </w:r>
      <w:r w:rsidR="00E31453">
        <w:t xml:space="preserve">2021 </w:t>
      </w:r>
      <w:r>
        <w:t xml:space="preserve">to discuss points and recommendations from scoping, </w:t>
      </w:r>
      <w:proofErr w:type="gramStart"/>
      <w:r>
        <w:t>engagement</w:t>
      </w:r>
      <w:proofErr w:type="gramEnd"/>
      <w:r>
        <w:t xml:space="preserve"> and ED</w:t>
      </w:r>
      <w:r w:rsidR="0086048A">
        <w:t>&amp;</w:t>
      </w:r>
      <w:r>
        <w:t>I</w:t>
      </w:r>
      <w:r w:rsidR="00255994">
        <w:t xml:space="preserve"> –</w:t>
      </w:r>
      <w:r>
        <w:t xml:space="preserve"> with a particular focus on the advice received from GMPAF. The purpose of the drafting steering group </w:t>
      </w:r>
      <w:r w:rsidR="0038122F">
        <w:t>wa</w:t>
      </w:r>
      <w:r>
        <w:t>s to</w:t>
      </w:r>
      <w:r w:rsidR="006D4FF4">
        <w:t xml:space="preserve"> help</w:t>
      </w:r>
      <w:r>
        <w:t xml:space="preserve"> formulate potential new or updated duties which will be tested in the </w:t>
      </w:r>
      <w:r w:rsidR="003F0D97">
        <w:t xml:space="preserve">public </w:t>
      </w:r>
      <w:r>
        <w:t>consultation.</w:t>
      </w:r>
    </w:p>
    <w:p w14:paraId="34B5FBAD" w14:textId="4C8CC548" w:rsidR="006A0EFB" w:rsidRDefault="006A0EFB" w:rsidP="00A532AA">
      <w:pPr>
        <w:pStyle w:val="Heading2"/>
      </w:pPr>
      <w:bookmarkStart w:id="1" w:name="_Consultation,_analysis_and"/>
      <w:bookmarkStart w:id="2" w:name="_Ref100146657"/>
      <w:bookmarkEnd w:id="1"/>
      <w:r>
        <w:t xml:space="preserve">Consultation, </w:t>
      </w:r>
      <w:proofErr w:type="gramStart"/>
      <w:r>
        <w:t>analysis</w:t>
      </w:r>
      <w:proofErr w:type="gramEnd"/>
      <w:r>
        <w:t xml:space="preserve"> and quality assurance</w:t>
      </w:r>
      <w:bookmarkEnd w:id="2"/>
    </w:p>
    <w:p w14:paraId="78ABCFC7" w14:textId="5D8609EC" w:rsidR="005D3DB5" w:rsidRDefault="005D3DB5" w:rsidP="005D3DB5">
      <w:pPr>
        <w:pStyle w:val="GMCNumbertext"/>
      </w:pPr>
      <w:r w:rsidRPr="00D71D2F">
        <w:t xml:space="preserve">We will hold a public consultation on the revised guidance running </w:t>
      </w:r>
      <w:r w:rsidR="00135287">
        <w:t>27 April – 20 July 2022</w:t>
      </w:r>
      <w:r w:rsidRPr="00D71D2F">
        <w:t>. During this time, we’ll aim to facilitate an open dialogue with those who could be affected by our proposals and check that our proposals are lawful, practical and that there are no unintended or negative impacts</w:t>
      </w:r>
      <w:r w:rsidR="00EE4C58">
        <w:t xml:space="preserve">, </w:t>
      </w:r>
      <w:r w:rsidRPr="00D71D2F">
        <w:t xml:space="preserve">particularly on those in groups that share protected characteristics. </w:t>
      </w:r>
    </w:p>
    <w:p w14:paraId="724EEE91" w14:textId="77777777" w:rsidR="005D3DB5" w:rsidRPr="00D71D2F" w:rsidRDefault="005D3DB5" w:rsidP="005D3DB5">
      <w:pPr>
        <w:pStyle w:val="GMCNumbertext"/>
      </w:pPr>
      <w:r w:rsidRPr="00D71D2F">
        <w:t xml:space="preserve">Using a range of complementary methods, we hope to gather views, insight, and evidence on the revised version of GMP, the issues it deals with and how we can best implement the final guidance. </w:t>
      </w:r>
    </w:p>
    <w:p w14:paraId="59231275" w14:textId="7A377E5E" w:rsidR="005D3DB5" w:rsidRPr="00D71D2F" w:rsidRDefault="005D3DB5" w:rsidP="005D3DB5">
      <w:pPr>
        <w:pStyle w:val="GMCNumbertext"/>
      </w:pPr>
      <w:r w:rsidRPr="00D71D2F">
        <w:lastRenderedPageBreak/>
        <w:t>We will gather views on the revised guidance using a detailed</w:t>
      </w:r>
      <w:r>
        <w:t xml:space="preserve"> </w:t>
      </w:r>
      <w:r w:rsidR="0086048A">
        <w:t>main</w:t>
      </w:r>
      <w:r w:rsidRPr="00D71D2F">
        <w:t xml:space="preserve"> survey aimed at </w:t>
      </w:r>
      <w:r w:rsidR="0086048A">
        <w:t xml:space="preserve">stakeholder </w:t>
      </w:r>
      <w:r w:rsidRPr="00D71D2F">
        <w:t>organisations and individuals that work</w:t>
      </w:r>
      <w:r>
        <w:t xml:space="preserve"> most closely</w:t>
      </w:r>
      <w:r w:rsidRPr="00D71D2F">
        <w:t xml:space="preserve"> with </w:t>
      </w:r>
      <w:r w:rsidR="0086048A">
        <w:t>GMP</w:t>
      </w:r>
      <w:r>
        <w:t xml:space="preserve">. </w:t>
      </w:r>
    </w:p>
    <w:p w14:paraId="3187EDFE" w14:textId="16365141" w:rsidR="005D3DB5" w:rsidRPr="00D71D2F" w:rsidRDefault="005D3DB5" w:rsidP="005D3DB5">
      <w:pPr>
        <w:pStyle w:val="GMCNumbertext"/>
      </w:pPr>
      <w:r w:rsidRPr="00D71D2F">
        <w:t>To supplement th</w:t>
      </w:r>
      <w:r w:rsidR="003F0D97">
        <w:t xml:space="preserve">e </w:t>
      </w:r>
      <w:r w:rsidR="0086048A">
        <w:t xml:space="preserve">main </w:t>
      </w:r>
      <w:r w:rsidRPr="00D71D2F">
        <w:t>survey, we will also develop two shorter surveys for:</w:t>
      </w:r>
    </w:p>
    <w:p w14:paraId="46C1FACC" w14:textId="3DF7E1F9" w:rsidR="005D3DB5" w:rsidRPr="00D71D2F" w:rsidRDefault="0086048A" w:rsidP="00583053">
      <w:pPr>
        <w:pStyle w:val="GMCNumbertext"/>
        <w:numPr>
          <w:ilvl w:val="1"/>
          <w:numId w:val="3"/>
        </w:numPr>
        <w:tabs>
          <w:tab w:val="clear" w:pos="792"/>
          <w:tab w:val="num" w:pos="1418"/>
        </w:tabs>
        <w:ind w:left="1418" w:hanging="992"/>
      </w:pPr>
      <w:r>
        <w:t>Healthcare professionals</w:t>
      </w:r>
      <w:r w:rsidR="005D3DB5" w:rsidRPr="00D71D2F">
        <w:t xml:space="preserve"> (including </w:t>
      </w:r>
      <w:r w:rsidR="0038122F">
        <w:t xml:space="preserve">PAs and </w:t>
      </w:r>
      <w:r w:rsidR="005D3DB5" w:rsidRPr="00D71D2F">
        <w:t xml:space="preserve">AAs who will, </w:t>
      </w:r>
      <w:r>
        <w:t xml:space="preserve">when they are </w:t>
      </w:r>
      <w:r w:rsidR="005D3DB5" w:rsidRPr="00D71D2F">
        <w:t>regulated by us</w:t>
      </w:r>
      <w:r w:rsidR="003F0D97">
        <w:t>,</w:t>
      </w:r>
      <w:r w:rsidR="005D3DB5" w:rsidRPr="00D71D2F">
        <w:t xml:space="preserve"> </w:t>
      </w:r>
      <w:r>
        <w:t xml:space="preserve">be </w:t>
      </w:r>
      <w:r w:rsidR="005D3DB5" w:rsidRPr="00D71D2F">
        <w:t>expected to follow GMP) and other professionals</w:t>
      </w:r>
      <w:r>
        <w:t xml:space="preserve"> working in healthcare such nurses, social workers etc.</w:t>
      </w:r>
    </w:p>
    <w:p w14:paraId="1ABF2F91" w14:textId="4A19CD14" w:rsidR="005D3DB5" w:rsidRPr="00D71D2F" w:rsidRDefault="00EE4C58" w:rsidP="00583053">
      <w:pPr>
        <w:pStyle w:val="GMCNumbertext"/>
        <w:numPr>
          <w:ilvl w:val="1"/>
          <w:numId w:val="3"/>
        </w:numPr>
        <w:tabs>
          <w:tab w:val="clear" w:pos="792"/>
          <w:tab w:val="num" w:pos="1418"/>
        </w:tabs>
        <w:ind w:left="1418" w:hanging="992"/>
      </w:pPr>
      <w:r>
        <w:t>P</w:t>
      </w:r>
      <w:r w:rsidR="005D3DB5" w:rsidRPr="00D71D2F">
        <w:t>atients</w:t>
      </w:r>
      <w:r>
        <w:t xml:space="preserve">, </w:t>
      </w:r>
      <w:r w:rsidR="005D3DB5" w:rsidRPr="00D71D2F">
        <w:t>carers</w:t>
      </w:r>
      <w:r>
        <w:t xml:space="preserve">, </w:t>
      </w:r>
      <w:r w:rsidR="005D3DB5" w:rsidRPr="00D71D2F">
        <w:t xml:space="preserve">relatives, members of the public and </w:t>
      </w:r>
      <w:r w:rsidR="007F3E4D">
        <w:t xml:space="preserve">community </w:t>
      </w:r>
      <w:r w:rsidR="0069375C">
        <w:t xml:space="preserve">patient </w:t>
      </w:r>
      <w:r w:rsidR="0069375C" w:rsidRPr="00D71D2F">
        <w:t>organisations</w:t>
      </w:r>
      <w:r w:rsidR="005D3DB5" w:rsidRPr="00D71D2F">
        <w:t>/charities</w:t>
      </w:r>
      <w:r w:rsidR="007F3E4D">
        <w:t xml:space="preserve"> with an advocacy role</w:t>
      </w:r>
      <w:r w:rsidR="005D3DB5" w:rsidRPr="00D71D2F">
        <w:t xml:space="preserve"> which will explore the issues raised, in an accessible and engaging way. </w:t>
      </w:r>
    </w:p>
    <w:p w14:paraId="33907DC8" w14:textId="5EDEFB82" w:rsidR="005D3DB5" w:rsidRPr="00D71D2F" w:rsidRDefault="00665CEA" w:rsidP="005D3DB5">
      <w:pPr>
        <w:pStyle w:val="GMCNumbertext"/>
      </w:pPr>
      <w:r>
        <w:t xml:space="preserve">We will widely promote the </w:t>
      </w:r>
      <w:r w:rsidR="0086048A">
        <w:t xml:space="preserve">public </w:t>
      </w:r>
      <w:r w:rsidR="0069375C">
        <w:t>consultation,</w:t>
      </w:r>
      <w:r>
        <w:t xml:space="preserve"> but </w:t>
      </w:r>
      <w:r w:rsidR="005D3DB5">
        <w:t>respondents will always be largely self</w:t>
      </w:r>
      <w:r w:rsidR="005D3DB5">
        <w:noBreakHyphen/>
        <w:t xml:space="preserve">selecting. And we </w:t>
      </w:r>
      <w:r>
        <w:t>recognise that some groups w</w:t>
      </w:r>
      <w:r w:rsidR="005D3DB5">
        <w:t>ho share protected characteristics</w:t>
      </w:r>
      <w:r>
        <w:t xml:space="preserve"> may be less likely to </w:t>
      </w:r>
      <w:r w:rsidR="005D3DB5" w:rsidRPr="00D71D2F">
        <w:t>respond to written consultative exercises</w:t>
      </w:r>
      <w:r w:rsidR="005D3DB5">
        <w:t xml:space="preserve">. </w:t>
      </w:r>
      <w:proofErr w:type="gramStart"/>
      <w:r w:rsidR="005D3DB5">
        <w:t>So</w:t>
      </w:r>
      <w:proofErr w:type="gramEnd"/>
      <w:r w:rsidR="00255994">
        <w:t xml:space="preserve"> </w:t>
      </w:r>
      <w:r w:rsidR="005D3DB5">
        <w:t>we will aim to reach these i</w:t>
      </w:r>
      <w:r w:rsidR="005D3DB5" w:rsidRPr="00D71D2F">
        <w:t xml:space="preserve">ndividuals </w:t>
      </w:r>
      <w:r w:rsidR="005D3DB5">
        <w:t>and groups in other ways</w:t>
      </w:r>
      <w:r w:rsidR="005D3DB5" w:rsidRPr="00D71D2F">
        <w:t xml:space="preserve">. </w:t>
      </w:r>
    </w:p>
    <w:p w14:paraId="08CF3B67" w14:textId="1586A6B2" w:rsidR="00F62D6D" w:rsidRPr="00F62D6D" w:rsidRDefault="00F62D6D" w:rsidP="00583053">
      <w:pPr>
        <w:pStyle w:val="GMCNumbertext"/>
        <w:numPr>
          <w:ilvl w:val="1"/>
          <w:numId w:val="3"/>
        </w:numPr>
        <w:tabs>
          <w:tab w:val="clear" w:pos="792"/>
          <w:tab w:val="num" w:pos="1418"/>
        </w:tabs>
        <w:ind w:left="1418" w:hanging="992"/>
      </w:pPr>
      <w:r w:rsidRPr="00F62D6D">
        <w:rPr>
          <w:b/>
          <w:bCs/>
        </w:rPr>
        <w:t>Patient research</w:t>
      </w:r>
      <w:r>
        <w:t xml:space="preserve">. </w:t>
      </w:r>
      <w:r w:rsidRPr="005B1749">
        <w:t>We have commissioned an external behavioural insight specialist (ICE Creates) to conduct research and engagement with over 200 patients with lived experience of the healthcare system. During the public consultation they will run dedicated online focus groups for people living in English regions, Northern Ireland</w:t>
      </w:r>
      <w:r w:rsidR="00EE4C58">
        <w:t>,</w:t>
      </w:r>
      <w:r w:rsidRPr="005B1749">
        <w:t xml:space="preserve"> </w:t>
      </w:r>
      <w:proofErr w:type="gramStart"/>
      <w:r w:rsidRPr="005B1749">
        <w:t>Scotland</w:t>
      </w:r>
      <w:proofErr w:type="gramEnd"/>
      <w:r w:rsidRPr="005B1749">
        <w:t xml:space="preserve"> </w:t>
      </w:r>
      <w:r w:rsidR="00EE4C58">
        <w:t xml:space="preserve">and </w:t>
      </w:r>
      <w:r w:rsidR="00EE4C58" w:rsidRPr="005B1749">
        <w:t>Wales</w:t>
      </w:r>
      <w:r w:rsidR="00EE4C58">
        <w:t xml:space="preserve"> </w:t>
      </w:r>
      <w:r w:rsidRPr="005B1749">
        <w:t>to act as a sounding board for policy ideas</w:t>
      </w:r>
      <w:r>
        <w:t xml:space="preserve">. ICE Creates will also run </w:t>
      </w:r>
      <w:r w:rsidRPr="005B1749">
        <w:t xml:space="preserve">over 20 focus groups and one to one </w:t>
      </w:r>
      <w:proofErr w:type="gramStart"/>
      <w:r w:rsidRPr="005B1749">
        <w:t>interviews</w:t>
      </w:r>
      <w:proofErr w:type="gramEnd"/>
      <w:r w:rsidRPr="005B1749">
        <w:t xml:space="preserve"> as appropriate with priority cohorts</w:t>
      </w:r>
      <w:r w:rsidRPr="00665CEA">
        <w:footnoteReference w:id="2"/>
      </w:r>
      <w:r w:rsidRPr="005B1749">
        <w:t xml:space="preserve"> of patients who are unlikely to participate in the written </w:t>
      </w:r>
      <w:r w:rsidR="003F0D97">
        <w:t xml:space="preserve">public </w:t>
      </w:r>
      <w:r w:rsidRPr="005B1749">
        <w:t xml:space="preserve">consultation on </w:t>
      </w:r>
      <w:r w:rsidR="0086048A">
        <w:t xml:space="preserve">GMP </w:t>
      </w:r>
      <w:r w:rsidRPr="005B1749">
        <w:t>and who we think we would find it difficult to reach ourselves.</w:t>
      </w:r>
    </w:p>
    <w:p w14:paraId="3E5C226A" w14:textId="089DD0C6" w:rsidR="005D3DB5" w:rsidRPr="00D71D2F" w:rsidRDefault="005D3DB5" w:rsidP="00583053">
      <w:pPr>
        <w:pStyle w:val="GMCNumbertext"/>
        <w:numPr>
          <w:ilvl w:val="1"/>
          <w:numId w:val="3"/>
        </w:numPr>
        <w:tabs>
          <w:tab w:val="clear" w:pos="792"/>
          <w:tab w:val="num" w:pos="1418"/>
        </w:tabs>
        <w:ind w:left="1418" w:hanging="992"/>
      </w:pPr>
      <w:r w:rsidRPr="00665CEA">
        <w:rPr>
          <w:b/>
          <w:bCs/>
        </w:rPr>
        <w:t>Targeted outreach</w:t>
      </w:r>
      <w:r w:rsidRPr="00665CEA">
        <w:t>:</w:t>
      </w:r>
      <w:r w:rsidRPr="00D71D2F">
        <w:t xml:space="preserve"> deliberative sessions across the UK, run by </w:t>
      </w:r>
      <w:r>
        <w:t>o</w:t>
      </w:r>
      <w:r w:rsidRPr="00D71D2F">
        <w:t xml:space="preserve">ur Outreach Service </w:t>
      </w:r>
      <w:r>
        <w:t xml:space="preserve">with </w:t>
      </w:r>
      <w:r w:rsidR="001D6A41">
        <w:t>medical professionals’</w:t>
      </w:r>
      <w:r w:rsidRPr="00D71D2F">
        <w:t xml:space="preserve"> groups we’ve identified as priority groups</w:t>
      </w:r>
      <w:r>
        <w:t>,</w:t>
      </w:r>
      <w:r w:rsidRPr="00665CEA">
        <w:footnoteReference w:id="3"/>
      </w:r>
      <w:r w:rsidRPr="00D71D2F">
        <w:t xml:space="preserve"> </w:t>
      </w:r>
      <w:r>
        <w:t xml:space="preserve">on the issues in the guidance that are most relevant to </w:t>
      </w:r>
      <w:r>
        <w:lastRenderedPageBreak/>
        <w:t>them</w:t>
      </w:r>
      <w:r w:rsidR="003F0D97">
        <w:t xml:space="preserve">. They will also have </w:t>
      </w:r>
      <w:r>
        <w:t xml:space="preserve">an opportunity to respond to the </w:t>
      </w:r>
      <w:r w:rsidR="003F0D97">
        <w:t>healthcare professionals</w:t>
      </w:r>
      <w:r>
        <w:t xml:space="preserve"> survey. </w:t>
      </w:r>
    </w:p>
    <w:p w14:paraId="6FA1203C" w14:textId="77777777" w:rsidR="005D3DB5" w:rsidRPr="00D71D2F" w:rsidRDefault="005D3DB5" w:rsidP="00583053">
      <w:pPr>
        <w:pStyle w:val="GMCNumbertext"/>
        <w:numPr>
          <w:ilvl w:val="1"/>
          <w:numId w:val="3"/>
        </w:numPr>
        <w:tabs>
          <w:tab w:val="clear" w:pos="792"/>
          <w:tab w:val="num" w:pos="1418"/>
        </w:tabs>
        <w:ind w:left="1418" w:hanging="992"/>
      </w:pPr>
      <w:r w:rsidRPr="00665CEA">
        <w:rPr>
          <w:b/>
          <w:bCs/>
        </w:rPr>
        <w:t>Stakeholder meetings</w:t>
      </w:r>
      <w:r w:rsidRPr="00665CEA">
        <w:t>:</w:t>
      </w:r>
      <w:r w:rsidRPr="00D71D2F">
        <w:t xml:space="preserve"> to facilitate discussion of the issues and encourage responses from key stakeholders across the UK. </w:t>
      </w:r>
    </w:p>
    <w:p w14:paraId="135E94F0" w14:textId="0F59EB3B" w:rsidR="005D3DB5" w:rsidRDefault="005D3DB5" w:rsidP="00583053">
      <w:pPr>
        <w:pStyle w:val="GMCNumbertext"/>
        <w:numPr>
          <w:ilvl w:val="1"/>
          <w:numId w:val="3"/>
        </w:numPr>
        <w:tabs>
          <w:tab w:val="clear" w:pos="792"/>
          <w:tab w:val="num" w:pos="1418"/>
        </w:tabs>
        <w:ind w:left="1418" w:hanging="992"/>
      </w:pPr>
      <w:r w:rsidRPr="00665CEA">
        <w:rPr>
          <w:b/>
          <w:bCs/>
        </w:rPr>
        <w:t>Online promotion</w:t>
      </w:r>
      <w:r w:rsidRPr="00665CEA">
        <w:t>:</w:t>
      </w:r>
      <w:r w:rsidRPr="00D71D2F">
        <w:t xml:space="preserve"> to promote the </w:t>
      </w:r>
      <w:r w:rsidR="003F0D97">
        <w:t xml:space="preserve">public </w:t>
      </w:r>
      <w:r w:rsidRPr="00D71D2F">
        <w:t>consultation to those who might not normally engage with us and/or on these issues</w:t>
      </w:r>
      <w:r>
        <w:t xml:space="preserve">, </w:t>
      </w:r>
      <w:r w:rsidRPr="00D71D2F">
        <w:t>using our social media channels</w:t>
      </w:r>
      <w:r>
        <w:t>/</w:t>
      </w:r>
      <w:r w:rsidRPr="00D71D2F">
        <w:t>website and</w:t>
      </w:r>
      <w:r>
        <w:t xml:space="preserve"> encourage them to share their v</w:t>
      </w:r>
      <w:r w:rsidRPr="00D71D2F">
        <w:t xml:space="preserve">iews in a light touch way such as online polls, </w:t>
      </w:r>
      <w:proofErr w:type="gramStart"/>
      <w:r w:rsidRPr="00D71D2F">
        <w:t>blogs</w:t>
      </w:r>
      <w:proofErr w:type="gramEnd"/>
      <w:r w:rsidRPr="00D71D2F">
        <w:t xml:space="preserve"> and community specific discussions. </w:t>
      </w:r>
    </w:p>
    <w:p w14:paraId="1B8667F6" w14:textId="31C249A4" w:rsidR="00902AEA" w:rsidRPr="00D71D2F" w:rsidRDefault="00902AEA" w:rsidP="00902AEA">
      <w:pPr>
        <w:pStyle w:val="GMCNumbertext"/>
      </w:pPr>
      <w:r>
        <w:t xml:space="preserve">We will also engage with </w:t>
      </w:r>
      <w:r w:rsidR="0010338B">
        <w:t>our</w:t>
      </w:r>
      <w:r w:rsidR="0086048A">
        <w:t xml:space="preserve"> </w:t>
      </w:r>
      <w:r>
        <w:t>staff networks through consultation engagement activities.</w:t>
      </w:r>
    </w:p>
    <w:p w14:paraId="2E846779" w14:textId="77777777" w:rsidR="005D3DB5" w:rsidRPr="00D71D2F" w:rsidRDefault="005D3DB5" w:rsidP="005D3DB5">
      <w:pPr>
        <w:pStyle w:val="GMCNumbertext"/>
      </w:pPr>
      <w:r w:rsidRPr="00D71D2F">
        <w:t>Our analysis exercise – which will be externally audited to confirm it has been run fairly and transparently – will review all the data gathered, considering the source of each response</w:t>
      </w:r>
      <w:r>
        <w:t xml:space="preserve">, and reflecting the fact that </w:t>
      </w:r>
      <w:r w:rsidRPr="00D71D2F">
        <w:t xml:space="preserve">different respondent types bring different levels and types of expertise and experience. </w:t>
      </w:r>
    </w:p>
    <w:p w14:paraId="28824DD9" w14:textId="77777777" w:rsidR="005D3DB5" w:rsidRPr="00D71D2F" w:rsidRDefault="005D3DB5" w:rsidP="00AC5651">
      <w:pPr>
        <w:pStyle w:val="GMCNumbertext"/>
        <w:numPr>
          <w:ilvl w:val="0"/>
          <w:numId w:val="0"/>
        </w:numPr>
        <w:rPr>
          <w:b/>
          <w:bCs/>
        </w:rPr>
      </w:pPr>
      <w:r w:rsidRPr="00D71D2F">
        <w:rPr>
          <w:b/>
          <w:bCs/>
        </w:rPr>
        <w:t xml:space="preserve">Highlighting equality, </w:t>
      </w:r>
      <w:proofErr w:type="gramStart"/>
      <w:r w:rsidRPr="00D71D2F">
        <w:rPr>
          <w:b/>
          <w:bCs/>
        </w:rPr>
        <w:t>diversity</w:t>
      </w:r>
      <w:proofErr w:type="gramEnd"/>
      <w:r w:rsidRPr="00D71D2F">
        <w:rPr>
          <w:b/>
          <w:bCs/>
        </w:rPr>
        <w:t xml:space="preserve"> and inclusion</w:t>
      </w:r>
    </w:p>
    <w:p w14:paraId="29F13CD9" w14:textId="3B8EA962" w:rsidR="005D3DB5" w:rsidRPr="00D71D2F" w:rsidRDefault="005D3DB5" w:rsidP="005D3DB5">
      <w:pPr>
        <w:pStyle w:val="GMCNumbertext"/>
      </w:pPr>
      <w:r w:rsidRPr="00D71D2F">
        <w:t xml:space="preserve">Following our usual process, we will ask for views in the surveys about the potential impact of our proposals on those in groups that share protected characteristics. In addition, tackling bias and discrimination is a key theme of the review and we will ask questions about changes we’ve made to </w:t>
      </w:r>
      <w:r w:rsidR="0086048A">
        <w:t xml:space="preserve">GMP </w:t>
      </w:r>
      <w:r w:rsidRPr="00D71D2F">
        <w:t xml:space="preserve">to strengthen the duty for all </w:t>
      </w:r>
      <w:r w:rsidR="0086048A">
        <w:t>medical professionals</w:t>
      </w:r>
      <w:r w:rsidRPr="00D71D2F">
        <w:t xml:space="preserve"> to </w:t>
      </w:r>
      <w:r w:rsidR="0086048A">
        <w:t xml:space="preserve">support them when </w:t>
      </w:r>
      <w:r w:rsidRPr="00D71D2F">
        <w:t>deal</w:t>
      </w:r>
      <w:r w:rsidR="0086048A">
        <w:t>ing</w:t>
      </w:r>
      <w:r w:rsidRPr="00D71D2F">
        <w:t xml:space="preserve"> with bias and discrimination.</w:t>
      </w:r>
    </w:p>
    <w:p w14:paraId="26B82175" w14:textId="02F8010C" w:rsidR="005D3DB5" w:rsidRPr="00D71D2F" w:rsidRDefault="005D3DB5" w:rsidP="005D3DB5">
      <w:pPr>
        <w:pStyle w:val="GMCNumbertext"/>
      </w:pPr>
      <w:r w:rsidRPr="00D71D2F">
        <w:t xml:space="preserve">With all our </w:t>
      </w:r>
      <w:r w:rsidR="003F0D97">
        <w:t xml:space="preserve">public </w:t>
      </w:r>
      <w:r w:rsidRPr="00D71D2F">
        <w:t>consultations, we give individual respondents the opportunity to tell us about themselves by including industry standard demographic questions on areas such as religion and ethnicity. This data will be used in our analysis exercise, to understand more about respondents’ responses and how the issues may impact people with a protected characteristic.</w:t>
      </w:r>
    </w:p>
    <w:p w14:paraId="00E84A11" w14:textId="77777777" w:rsidR="005D3DB5" w:rsidRPr="00D71D2F" w:rsidRDefault="005D3DB5" w:rsidP="005D3DB5">
      <w:pPr>
        <w:pStyle w:val="GMCNumbertext"/>
        <w:numPr>
          <w:ilvl w:val="0"/>
          <w:numId w:val="0"/>
        </w:numPr>
        <w:rPr>
          <w:b/>
          <w:bCs/>
        </w:rPr>
      </w:pPr>
      <w:r w:rsidRPr="00D71D2F">
        <w:rPr>
          <w:b/>
          <w:bCs/>
        </w:rPr>
        <w:t>Accessibility of the consultation process</w:t>
      </w:r>
    </w:p>
    <w:p w14:paraId="7212EA32" w14:textId="70D64831" w:rsidR="005D3DB5" w:rsidRPr="00D71D2F" w:rsidRDefault="005D3DB5" w:rsidP="005D3DB5">
      <w:pPr>
        <w:pStyle w:val="GMCNumbertext"/>
        <w:rPr>
          <w:lang w:eastAsia="en-GB"/>
        </w:rPr>
      </w:pPr>
      <w:r w:rsidRPr="00D71D2F">
        <w:rPr>
          <w:lang w:eastAsia="en-GB"/>
        </w:rPr>
        <w:t xml:space="preserve">We encourage respondents to use our online consultation portal/surveys to share their responses as this makes it easier to collect and analyse the data. </w:t>
      </w:r>
      <w:r w:rsidR="00C62705">
        <w:rPr>
          <w:lang w:eastAsia="en-GB"/>
        </w:rPr>
        <w:t>T</w:t>
      </w:r>
      <w:r w:rsidRPr="00D71D2F">
        <w:rPr>
          <w:lang w:eastAsia="en-GB"/>
        </w:rPr>
        <w:t>he</w:t>
      </w:r>
      <w:r>
        <w:rPr>
          <w:lang w:eastAsia="en-GB"/>
        </w:rPr>
        <w:t xml:space="preserve"> </w:t>
      </w:r>
      <w:r w:rsidR="00FB6D19">
        <w:rPr>
          <w:lang w:eastAsia="en-GB"/>
        </w:rPr>
        <w:t>surveys w</w:t>
      </w:r>
      <w:r w:rsidRPr="00D71D2F">
        <w:rPr>
          <w:lang w:eastAsia="en-GB"/>
        </w:rPr>
        <w:t xml:space="preserve">ill be made available electronically, in print and on request in other formats such as large print.  </w:t>
      </w:r>
    </w:p>
    <w:p w14:paraId="16F3E952" w14:textId="7561DC0E" w:rsidR="005D3DB5" w:rsidRPr="00D71D2F" w:rsidRDefault="005D3DB5" w:rsidP="005D3DB5">
      <w:pPr>
        <w:pStyle w:val="GMCNumbertext"/>
        <w:rPr>
          <w:lang w:eastAsia="en-GB"/>
        </w:rPr>
      </w:pPr>
      <w:r w:rsidRPr="00D71D2F">
        <w:rPr>
          <w:lang w:eastAsia="en-GB"/>
        </w:rPr>
        <w:lastRenderedPageBreak/>
        <w:t>We also ask stand</w:t>
      </w:r>
      <w:r>
        <w:rPr>
          <w:lang w:eastAsia="en-GB"/>
        </w:rPr>
        <w:t xml:space="preserve">ing </w:t>
      </w:r>
      <w:r w:rsidRPr="00D71D2F">
        <w:rPr>
          <w:lang w:eastAsia="en-GB"/>
        </w:rPr>
        <w:t xml:space="preserve">questions about the consultation documentation and process to understand how we can improve the process. We’ve reviewed responses to the last </w:t>
      </w:r>
      <w:r w:rsidR="003F0D97">
        <w:rPr>
          <w:lang w:eastAsia="en-GB"/>
        </w:rPr>
        <w:t xml:space="preserve">public </w:t>
      </w:r>
      <w:r w:rsidRPr="00D71D2F">
        <w:rPr>
          <w:lang w:eastAsia="en-GB"/>
        </w:rPr>
        <w:t xml:space="preserve">consultation to makes sure we’ve fixed any issues that were raised with us about the process. </w:t>
      </w:r>
    </w:p>
    <w:p w14:paraId="40AD073A" w14:textId="37BCF927" w:rsidR="006A0EFB" w:rsidRDefault="006A0EFB" w:rsidP="00A532AA">
      <w:pPr>
        <w:pStyle w:val="Heading2"/>
      </w:pPr>
      <w:r>
        <w:t>Finalised guidance</w:t>
      </w:r>
    </w:p>
    <w:p w14:paraId="42391F47" w14:textId="369A4210" w:rsidR="006A0EFB" w:rsidRPr="00C14DE5" w:rsidRDefault="00665CEA" w:rsidP="006A0EFB">
      <w:pPr>
        <w:pStyle w:val="GMCNumbertext"/>
      </w:pPr>
      <w:r w:rsidRPr="00C14DE5">
        <w:t>Narrative on further changes will be added post-consultation</w:t>
      </w:r>
      <w:r w:rsidR="00C14DE5" w:rsidRPr="00C14DE5">
        <w:t>.</w:t>
      </w:r>
    </w:p>
    <w:p w14:paraId="7715298C" w14:textId="46839D5F" w:rsidR="006A0EFB" w:rsidRDefault="006A0EFB" w:rsidP="00A532AA">
      <w:pPr>
        <w:pStyle w:val="Heading2"/>
      </w:pPr>
      <w:r>
        <w:t>Publication, launch and implementation</w:t>
      </w:r>
    </w:p>
    <w:p w14:paraId="38B332A6" w14:textId="491DA38B" w:rsidR="006A0EFB" w:rsidRDefault="00FB49C6" w:rsidP="00FB49C6">
      <w:pPr>
        <w:pStyle w:val="GMCNumbertext"/>
      </w:pPr>
      <w:r>
        <w:rPr>
          <w:rFonts w:cs="Tahoma"/>
        </w:rPr>
        <w:t xml:space="preserve">Evaluation of implementation interventions will include and be mapped against </w:t>
      </w:r>
      <w:r w:rsidR="00FB6D19">
        <w:rPr>
          <w:rFonts w:cs="Tahoma"/>
        </w:rPr>
        <w:t xml:space="preserve">ED&amp;I </w:t>
      </w:r>
      <w:r>
        <w:rPr>
          <w:rFonts w:cs="Tahoma"/>
        </w:rPr>
        <w:t xml:space="preserve">to measure if the interventions have positively/negatively impacted </w:t>
      </w:r>
      <w:r w:rsidR="001D6A41">
        <w:rPr>
          <w:rFonts w:cs="Tahoma"/>
        </w:rPr>
        <w:t>medical professionals</w:t>
      </w:r>
      <w:r>
        <w:rPr>
          <w:rFonts w:cs="Tahoma"/>
        </w:rPr>
        <w:t xml:space="preserve"> or patients with protected characteristics.</w:t>
      </w:r>
    </w:p>
    <w:p w14:paraId="6CED60E5" w14:textId="164E92C5" w:rsidR="006847D9" w:rsidRPr="006847D9" w:rsidRDefault="006A0EFB" w:rsidP="00A532AA">
      <w:pPr>
        <w:pStyle w:val="Heading2"/>
      </w:pPr>
      <w:r>
        <w:t>Project governance</w:t>
      </w:r>
    </w:p>
    <w:p w14:paraId="6702B7D8" w14:textId="344C0A63" w:rsidR="007A4C5C" w:rsidRDefault="007A4C5C" w:rsidP="003716EB">
      <w:pPr>
        <w:pStyle w:val="GMCNumbertext"/>
      </w:pPr>
      <w:r>
        <w:t>The monthly GMP review ED&amp;I working group will be used to shape discussions and direction of travel.</w:t>
      </w:r>
    </w:p>
    <w:p w14:paraId="6FC73438" w14:textId="6A05E73D" w:rsidR="001F5963" w:rsidRDefault="001F5963" w:rsidP="003716EB">
      <w:pPr>
        <w:pStyle w:val="GMCNumbertext"/>
      </w:pPr>
      <w:r>
        <w:t>Claire Light</w:t>
      </w:r>
      <w:r w:rsidR="002158AF">
        <w:t xml:space="preserve">, </w:t>
      </w:r>
      <w:r w:rsidR="00632DB2">
        <w:t>our</w:t>
      </w:r>
      <w:r w:rsidR="00FB6D19">
        <w:t xml:space="preserve"> </w:t>
      </w:r>
      <w:r w:rsidR="002158AF">
        <w:t xml:space="preserve">Head of Equality, </w:t>
      </w:r>
      <w:proofErr w:type="gramStart"/>
      <w:r w:rsidR="002158AF">
        <w:t>Diversity</w:t>
      </w:r>
      <w:proofErr w:type="gramEnd"/>
      <w:r w:rsidR="002158AF">
        <w:t xml:space="preserve"> and Inclusion,</w:t>
      </w:r>
      <w:r>
        <w:t xml:space="preserve"> will attend project board meetings within our governance structure. Issues raised or discussed, and advice given at those meetings will be included in this EA.</w:t>
      </w:r>
    </w:p>
    <w:p w14:paraId="2DCDA692" w14:textId="73DDC711" w:rsidR="00C01873" w:rsidRDefault="00C01873" w:rsidP="003716EB">
      <w:pPr>
        <w:pStyle w:val="GMCNumbertext"/>
      </w:pPr>
      <w:r>
        <w:t xml:space="preserve">We have used the </w:t>
      </w:r>
      <w:r w:rsidR="00FB6D19">
        <w:t xml:space="preserve">SEDIAF </w:t>
      </w:r>
      <w:r>
        <w:t xml:space="preserve">(made up of external representatives of the profession) to gain insight </w:t>
      </w:r>
      <w:r w:rsidR="00902AEA">
        <w:t xml:space="preserve">into our approach to ED&amp;I </w:t>
      </w:r>
      <w:r>
        <w:t>through</w:t>
      </w:r>
      <w:r w:rsidR="00902AEA">
        <w:t xml:space="preserve"> meetings and</w:t>
      </w:r>
      <w:r>
        <w:t xml:space="preserve"> webinars.</w:t>
      </w:r>
      <w:r w:rsidR="00902AEA">
        <w:t xml:space="preserve"> Advice gained from </w:t>
      </w:r>
      <w:r w:rsidR="00FB6D19">
        <w:t xml:space="preserve">SEDIAF members </w:t>
      </w:r>
      <w:r w:rsidR="00902AEA">
        <w:t>ha</w:t>
      </w:r>
      <w:r w:rsidR="00FB6D19">
        <w:t>s</w:t>
      </w:r>
      <w:r w:rsidR="00902AEA">
        <w:t xml:space="preserve"> been factored into </w:t>
      </w:r>
      <w:r w:rsidR="00FB6D19">
        <w:t xml:space="preserve">the </w:t>
      </w:r>
      <w:r w:rsidR="00902AEA">
        <w:t>governance</w:t>
      </w:r>
      <w:r w:rsidR="00FB6D19">
        <w:t xml:space="preserve"> of the </w:t>
      </w:r>
      <w:r w:rsidR="00881A64">
        <w:t>review</w:t>
      </w:r>
      <w:r w:rsidR="00FB6D19">
        <w:t>.</w:t>
      </w:r>
    </w:p>
    <w:p w14:paraId="59BAA294" w14:textId="49293665" w:rsidR="00C01873" w:rsidRDefault="00C01873" w:rsidP="003716EB">
      <w:pPr>
        <w:pStyle w:val="GMCNumbertext"/>
      </w:pPr>
      <w:r>
        <w:t xml:space="preserve">We have </w:t>
      </w:r>
      <w:r w:rsidR="00902AEA">
        <w:t xml:space="preserve">presented at </w:t>
      </w:r>
      <w:r>
        <w:t>the</w:t>
      </w:r>
      <w:r w:rsidR="00902AEA">
        <w:t xml:space="preserve"> internal cross-GMC</w:t>
      </w:r>
      <w:r>
        <w:t xml:space="preserve"> ED&amp;I Steering group </w:t>
      </w:r>
      <w:r w:rsidR="00902AEA">
        <w:t>and insights from this group have fed into this EA and our thinking around ED&amp;I.</w:t>
      </w:r>
    </w:p>
    <w:p w14:paraId="670AB089" w14:textId="13C82381" w:rsidR="003716EB" w:rsidRDefault="003716EB" w:rsidP="00A532AA">
      <w:pPr>
        <w:pStyle w:val="Heading1"/>
      </w:pPr>
      <w:r>
        <w:t>Equality analysis</w:t>
      </w:r>
    </w:p>
    <w:p w14:paraId="5101AF60" w14:textId="2D3BD3C8" w:rsidR="00FB49C6" w:rsidRDefault="00FB49C6" w:rsidP="00FB49C6">
      <w:pPr>
        <w:pStyle w:val="GMCNumbertext"/>
      </w:pPr>
      <w:r>
        <w:t>The research, scoping and</w:t>
      </w:r>
      <w:r w:rsidR="003F0D97">
        <w:t xml:space="preserve"> public</w:t>
      </w:r>
      <w:r>
        <w:t xml:space="preserve"> consultation exercises identified </w:t>
      </w:r>
      <w:proofErr w:type="gramStart"/>
      <w:r>
        <w:t>a number of</w:t>
      </w:r>
      <w:proofErr w:type="gramEnd"/>
      <w:r>
        <w:t xml:space="preserve"> recommendations to update </w:t>
      </w:r>
      <w:r w:rsidR="00FB6D19">
        <w:t xml:space="preserve">GMP </w:t>
      </w:r>
      <w:r>
        <w:t>and our implementation approach.</w:t>
      </w:r>
      <w:r w:rsidR="006A454C">
        <w:t xml:space="preserve"> </w:t>
      </w:r>
    </w:p>
    <w:p w14:paraId="69188A0A" w14:textId="7B4687BE" w:rsidR="00FB49C6" w:rsidRDefault="00FB49C6" w:rsidP="00FB49C6">
      <w:pPr>
        <w:pStyle w:val="GMCNumbertext"/>
      </w:pPr>
      <w:r>
        <w:t xml:space="preserve">We have </w:t>
      </w:r>
      <w:r w:rsidR="00EE4C58">
        <w:t>completed scoping</w:t>
      </w:r>
      <w:r w:rsidR="00787CE8">
        <w:t xml:space="preserve"> </w:t>
      </w:r>
      <w:proofErr w:type="gramStart"/>
      <w:r w:rsidR="00787CE8">
        <w:t>in order</w:t>
      </w:r>
      <w:r w:rsidR="00B216E2">
        <w:t xml:space="preserve"> to</w:t>
      </w:r>
      <w:proofErr w:type="gramEnd"/>
      <w:r w:rsidR="00B216E2">
        <w:t xml:space="preserve"> update</w:t>
      </w:r>
      <w:r>
        <w:t xml:space="preserve"> </w:t>
      </w:r>
      <w:r w:rsidR="00FB6D19">
        <w:t xml:space="preserve">GMP </w:t>
      </w:r>
      <w:r>
        <w:t>to reflect the current healthcare landscape, regulatory framework and legislation.</w:t>
      </w:r>
    </w:p>
    <w:p w14:paraId="1A646858" w14:textId="76DEC4E2" w:rsidR="006A454C" w:rsidRDefault="006A454C" w:rsidP="006A454C">
      <w:pPr>
        <w:pStyle w:val="GMCNumbertext"/>
      </w:pPr>
      <w:r>
        <w:t xml:space="preserve">The full list of sources reviewed is at </w:t>
      </w:r>
      <w:hyperlink w:anchor="_Annex_A_-" w:history="1">
        <w:r w:rsidRPr="0069375C">
          <w:rPr>
            <w:rStyle w:val="Hyperlink"/>
          </w:rPr>
          <w:t>Annex A</w:t>
        </w:r>
      </w:hyperlink>
      <w:r>
        <w:t>.</w:t>
      </w:r>
    </w:p>
    <w:p w14:paraId="3D9C7B9D" w14:textId="3572511A" w:rsidR="00E63B60" w:rsidRPr="005324A5" w:rsidRDefault="00E63B60" w:rsidP="00E63B60">
      <w:pPr>
        <w:pStyle w:val="Heading2"/>
      </w:pPr>
      <w:r w:rsidRPr="005324A5">
        <w:lastRenderedPageBreak/>
        <w:t>Overview by protected characteristic</w:t>
      </w:r>
    </w:p>
    <w:p w14:paraId="7D9E2EE7" w14:textId="531955E9" w:rsidR="00E63B60" w:rsidRPr="005324A5" w:rsidRDefault="005324A5" w:rsidP="005324A5">
      <w:pPr>
        <w:pStyle w:val="Heading3"/>
      </w:pPr>
      <w:r w:rsidRPr="005324A5">
        <w:t>Age</w:t>
      </w:r>
    </w:p>
    <w:p w14:paraId="2C43C3F7" w14:textId="2A74D7E1" w:rsidR="0052645E" w:rsidRDefault="0052645E" w:rsidP="0052645E">
      <w:pPr>
        <w:pStyle w:val="GMCNumbertext"/>
        <w:numPr>
          <w:ilvl w:val="0"/>
          <w:numId w:val="1"/>
        </w:numPr>
        <w:rPr>
          <w:lang w:eastAsia="en-GB"/>
        </w:rPr>
      </w:pPr>
      <w:r>
        <w:rPr>
          <w:lang w:eastAsia="en-GB"/>
        </w:rPr>
        <w:t>The doctor population is changing, with more doctors retiring and returning to practice, more doctors over the age of 70 working as locums, and older doctors choosing to work less than full time or in job shares.</w:t>
      </w:r>
    </w:p>
    <w:p w14:paraId="5F8AA1F0" w14:textId="5CB4B090" w:rsidR="0052645E" w:rsidRDefault="0038122F" w:rsidP="0052645E">
      <w:pPr>
        <w:pStyle w:val="GMCNumbertext"/>
        <w:numPr>
          <w:ilvl w:val="0"/>
          <w:numId w:val="1"/>
        </w:numPr>
        <w:rPr>
          <w:lang w:eastAsia="en-GB"/>
        </w:rPr>
      </w:pPr>
      <w:r>
        <w:rPr>
          <w:lang w:eastAsia="en-GB"/>
        </w:rPr>
        <w:t xml:space="preserve">PAs and </w:t>
      </w:r>
      <w:r w:rsidR="0052645E">
        <w:rPr>
          <w:lang w:eastAsia="en-GB"/>
        </w:rPr>
        <w:t>AAs are younger groups, with 75% of AAs aged between 30 and 49 and 60% of PAs under 30.</w:t>
      </w:r>
    </w:p>
    <w:p w14:paraId="0F7F9C52" w14:textId="749D85CB" w:rsidR="0052645E" w:rsidRPr="00F272FD" w:rsidRDefault="0052645E" w:rsidP="0052645E">
      <w:pPr>
        <w:pStyle w:val="GMCNumbertext"/>
        <w:numPr>
          <w:ilvl w:val="0"/>
          <w:numId w:val="1"/>
        </w:numPr>
      </w:pPr>
      <w:bookmarkStart w:id="3" w:name="_Hlk79758398"/>
      <w:r w:rsidRPr="00F272FD">
        <w:t>Ag</w:t>
      </w:r>
      <w:r w:rsidR="007453B8">
        <w:t>e</w:t>
      </w:r>
      <w:r w:rsidRPr="00F272FD">
        <w:t xml:space="preserve"> is highlighted as a factor in the over referral to </w:t>
      </w:r>
      <w:r w:rsidR="00FB6D19">
        <w:t xml:space="preserve">our FTP procedures </w:t>
      </w:r>
      <w:r w:rsidRPr="00F272FD">
        <w:t xml:space="preserve">of older doctors, with a perception that older doctors have a less reflective attitude while working to standards of practice that have </w:t>
      </w:r>
      <w:r w:rsidR="00787CE8" w:rsidRPr="00F272FD">
        <w:t>changed</w:t>
      </w:r>
      <w:r w:rsidR="00787CE8">
        <w:t xml:space="preserve"> and</w:t>
      </w:r>
      <w:r w:rsidRPr="00F272FD">
        <w:t xml:space="preserve"> </w:t>
      </w:r>
      <w:r w:rsidR="007453B8">
        <w:t xml:space="preserve">may </w:t>
      </w:r>
      <w:r w:rsidRPr="00F272FD">
        <w:t>not keep up with these changes to make practice safer.</w:t>
      </w:r>
    </w:p>
    <w:p w14:paraId="2D9CAB5D" w14:textId="04947AFF" w:rsidR="0052645E" w:rsidRDefault="0052645E" w:rsidP="0052645E">
      <w:pPr>
        <w:pStyle w:val="GMCNumbertext"/>
        <w:numPr>
          <w:ilvl w:val="0"/>
          <w:numId w:val="1"/>
        </w:numPr>
      </w:pPr>
      <w:bookmarkStart w:id="4" w:name="_Hlk77335559"/>
      <w:bookmarkEnd w:id="3"/>
      <w:r>
        <w:t>A growing and aging population means that the health service will need to adapt for patients with multi-morbidity and long-term conditions.</w:t>
      </w:r>
      <w:bookmarkEnd w:id="4"/>
    </w:p>
    <w:p w14:paraId="4F3F40C2" w14:textId="501E2A45" w:rsidR="0052645E" w:rsidRDefault="0052645E" w:rsidP="0052645E">
      <w:pPr>
        <w:pStyle w:val="Heading3"/>
      </w:pPr>
      <w:r>
        <w:t>Disability</w:t>
      </w:r>
    </w:p>
    <w:p w14:paraId="67BD50D2" w14:textId="77777777" w:rsidR="00C14DE5" w:rsidRDefault="00C14DE5" w:rsidP="00C14DE5">
      <w:pPr>
        <w:pStyle w:val="GMCNumbertext"/>
        <w:numPr>
          <w:ilvl w:val="0"/>
          <w:numId w:val="1"/>
        </w:numPr>
      </w:pPr>
      <w:r>
        <w:t>Patients’ poor healthcare literacy, assumptions around patients’ understanding and lack of support around/following bad news were all identified as barriers to access for patients.</w:t>
      </w:r>
    </w:p>
    <w:p w14:paraId="3416536E" w14:textId="06B80708" w:rsidR="007453B8" w:rsidRDefault="00AD682F" w:rsidP="007453B8">
      <w:pPr>
        <w:pStyle w:val="GMCNumbertext"/>
        <w:numPr>
          <w:ilvl w:val="0"/>
          <w:numId w:val="1"/>
        </w:numPr>
      </w:pPr>
      <w:r>
        <w:t>Medical professionals</w:t>
      </w:r>
      <w:r w:rsidR="007453B8">
        <w:t xml:space="preserve"> with a disability are more likely to feel unsupported by their colleagues. They are also the group most likely to have taken a leave of absence.</w:t>
      </w:r>
    </w:p>
    <w:p w14:paraId="3592BDA5" w14:textId="5340D44C" w:rsidR="0052645E" w:rsidRDefault="00AD682F" w:rsidP="0052645E">
      <w:pPr>
        <w:pStyle w:val="GMCNumbertext"/>
        <w:numPr>
          <w:ilvl w:val="0"/>
          <w:numId w:val="1"/>
        </w:numPr>
      </w:pPr>
      <w:r>
        <w:t>Medical professionals</w:t>
      </w:r>
      <w:r w:rsidR="0052645E">
        <w:t xml:space="preserve"> with a disability may be more likely to train or work less than full time, have a job share or be out of work for periods of time.</w:t>
      </w:r>
    </w:p>
    <w:p w14:paraId="229FAB57" w14:textId="686537DB" w:rsidR="007453B8" w:rsidRDefault="007453B8">
      <w:pPr>
        <w:pStyle w:val="GMCNumbertext"/>
        <w:numPr>
          <w:ilvl w:val="0"/>
          <w:numId w:val="1"/>
        </w:numPr>
      </w:pPr>
      <w:r>
        <w:t xml:space="preserve">Artificial blocks which can prevent doctors with disabilities from progressing through training have been identified and steps have been taken to address them through our </w:t>
      </w:r>
      <w:hyperlink r:id="rId13" w:history="1">
        <w:r w:rsidR="0010338B" w:rsidRPr="0010338B">
          <w:rPr>
            <w:rStyle w:val="Hyperlink"/>
            <w:i/>
            <w:iCs/>
          </w:rPr>
          <w:t>Welcomed and valued</w:t>
        </w:r>
      </w:hyperlink>
      <w:r w:rsidRPr="00EA224A">
        <w:t xml:space="preserve"> guidance</w:t>
      </w:r>
      <w:r>
        <w:t>.</w:t>
      </w:r>
    </w:p>
    <w:p w14:paraId="5496F237" w14:textId="4BB26984" w:rsidR="0052645E" w:rsidRDefault="0052645E" w:rsidP="0052645E">
      <w:pPr>
        <w:pStyle w:val="GMCNumbertext"/>
        <w:numPr>
          <w:ilvl w:val="0"/>
          <w:numId w:val="1"/>
        </w:numPr>
      </w:pPr>
      <w:r w:rsidRPr="00BC62F4">
        <w:rPr>
          <w:lang w:eastAsia="en-GB"/>
        </w:rPr>
        <w:t xml:space="preserve">Some doctors had experienced medical schools </w:t>
      </w:r>
      <w:r w:rsidRPr="00BC62F4">
        <w:t xml:space="preserve">conflating welfare and professional issues. Some trainees with underlying health conditions have been advised to change career path due to the complexities of having an underlying condition and working in </w:t>
      </w:r>
      <w:proofErr w:type="gramStart"/>
      <w:r w:rsidRPr="00BC62F4">
        <w:t>high risk</w:t>
      </w:r>
      <w:proofErr w:type="gramEnd"/>
      <w:r w:rsidRPr="00BC62F4">
        <w:t xml:space="preserve"> specialities</w:t>
      </w:r>
      <w:r>
        <w:t xml:space="preserve">. These experiences have led some doctors </w:t>
      </w:r>
      <w:r w:rsidR="00C91C6A">
        <w:t>to be concerned about sharing information about their wellbeing for fear it will be used against them.</w:t>
      </w:r>
    </w:p>
    <w:p w14:paraId="6F7F123A" w14:textId="503BA3E8" w:rsidR="00C91C6A" w:rsidRDefault="00C91C6A" w:rsidP="00C91C6A">
      <w:pPr>
        <w:pStyle w:val="Heading3"/>
      </w:pPr>
      <w:r>
        <w:t>Gender reassignment</w:t>
      </w:r>
    </w:p>
    <w:p w14:paraId="27B5B2F9" w14:textId="30D1A13A" w:rsidR="00DD5D1A" w:rsidRDefault="00DD5D1A" w:rsidP="00DD5D1A">
      <w:pPr>
        <w:pStyle w:val="GMCNumbertext"/>
        <w:numPr>
          <w:ilvl w:val="0"/>
          <w:numId w:val="1"/>
        </w:numPr>
      </w:pPr>
      <w:r>
        <w:t>Scoping raised misunderstandings about the purpose of chaperones</w:t>
      </w:r>
      <w:r w:rsidR="00C14DE5">
        <w:t>,</w:t>
      </w:r>
      <w:r>
        <w:t xml:space="preserve"> the relevance of their gender/gender history</w:t>
      </w:r>
      <w:r w:rsidR="00C14DE5">
        <w:t>,</w:t>
      </w:r>
      <w:r>
        <w:t xml:space="preserve"> and what a patient needs to be told to provide informed consent.</w:t>
      </w:r>
    </w:p>
    <w:p w14:paraId="4371F129" w14:textId="7DEED3AE" w:rsidR="00DD5D1A" w:rsidRDefault="00DD5D1A">
      <w:pPr>
        <w:pStyle w:val="GMCNumbertext"/>
        <w:numPr>
          <w:ilvl w:val="0"/>
          <w:numId w:val="1"/>
        </w:numPr>
      </w:pPr>
      <w:r w:rsidRPr="0087512D">
        <w:lastRenderedPageBreak/>
        <w:t>There are specific issues for trans patients in relation to screening and diagnosis of ovarian and cervical cancer for male trans</w:t>
      </w:r>
      <w:r w:rsidR="00787CE8">
        <w:t xml:space="preserve"> </w:t>
      </w:r>
      <w:r w:rsidRPr="0087512D">
        <w:t>patients and for prostate cancer for female trans patients.</w:t>
      </w:r>
    </w:p>
    <w:p w14:paraId="3B96B4BF" w14:textId="341B973C" w:rsidR="00C91C6A" w:rsidRDefault="00AD682F" w:rsidP="00C91C6A">
      <w:pPr>
        <w:pStyle w:val="GMCNumbertext"/>
        <w:numPr>
          <w:ilvl w:val="0"/>
          <w:numId w:val="1"/>
        </w:numPr>
      </w:pPr>
      <w:r>
        <w:t>Medical professionals</w:t>
      </w:r>
      <w:r w:rsidR="00C91C6A" w:rsidRPr="005F2470">
        <w:t xml:space="preserve"> </w:t>
      </w:r>
      <w:proofErr w:type="gramStart"/>
      <w:r w:rsidR="00C91C6A" w:rsidRPr="005F2470">
        <w:t>are able to</w:t>
      </w:r>
      <w:proofErr w:type="gramEnd"/>
      <w:r w:rsidR="00C91C6A" w:rsidRPr="005F2470">
        <w:t xml:space="preserve"> conscientiously object to procedures but not patients. </w:t>
      </w:r>
      <w:r w:rsidR="00C91C6A">
        <w:t>Scoping revealed that ou</w:t>
      </w:r>
      <w:r w:rsidR="00C91C6A" w:rsidRPr="005F2470">
        <w:t>r personal beliefs guidance</w:t>
      </w:r>
      <w:r w:rsidR="00C91C6A">
        <w:t xml:space="preserve"> may be being applied incorrectly</w:t>
      </w:r>
      <w:r w:rsidR="00C91C6A" w:rsidRPr="005F2470">
        <w:t xml:space="preserve"> in relation to providing care to trans patients. </w:t>
      </w:r>
    </w:p>
    <w:p w14:paraId="3C1EE987" w14:textId="3DCEEFF7" w:rsidR="00C91C6A" w:rsidRPr="005F2470" w:rsidRDefault="00C91C6A" w:rsidP="00C91C6A">
      <w:pPr>
        <w:pStyle w:val="Heading3"/>
      </w:pPr>
      <w:r>
        <w:t>Marriage and civil partnership</w:t>
      </w:r>
    </w:p>
    <w:p w14:paraId="6AAA5081" w14:textId="729C8F65" w:rsidR="00C14DE5" w:rsidRDefault="00C91C6A" w:rsidP="00C14DE5">
      <w:pPr>
        <w:pStyle w:val="GMCNumbertext"/>
        <w:numPr>
          <w:ilvl w:val="0"/>
          <w:numId w:val="1"/>
        </w:numPr>
        <w:rPr>
          <w:lang w:eastAsia="en-GB"/>
        </w:rPr>
      </w:pPr>
      <w:r>
        <w:rPr>
          <w:lang w:eastAsia="en-GB"/>
        </w:rPr>
        <w:t xml:space="preserve">No issues found in scoping. </w:t>
      </w:r>
      <w:r w:rsidR="001222DF">
        <w:rPr>
          <w:lang w:eastAsia="en-GB"/>
        </w:rPr>
        <w:t>Following a long and in-depth period of scoping we believe that this is due to ther</w:t>
      </w:r>
      <w:r w:rsidR="00C14DE5">
        <w:rPr>
          <w:lang w:eastAsia="en-GB"/>
        </w:rPr>
        <w:t>e</w:t>
      </w:r>
      <w:r w:rsidR="001222DF">
        <w:rPr>
          <w:lang w:eastAsia="en-GB"/>
        </w:rPr>
        <w:t xml:space="preserve"> being no specific issues for this group in GMP.</w:t>
      </w:r>
    </w:p>
    <w:p w14:paraId="7023457A" w14:textId="31FCFD43" w:rsidR="001222DF" w:rsidRPr="00F272FD" w:rsidRDefault="001222DF" w:rsidP="001222DF">
      <w:pPr>
        <w:pStyle w:val="Heading3"/>
        <w:rPr>
          <w:lang w:eastAsia="en-GB"/>
        </w:rPr>
      </w:pPr>
      <w:r w:rsidRPr="00F272FD">
        <w:rPr>
          <w:lang w:eastAsia="en-GB"/>
        </w:rPr>
        <w:t>Pregnancy and maternity</w:t>
      </w:r>
    </w:p>
    <w:p w14:paraId="6E8AC205" w14:textId="65C5230A" w:rsidR="00502958" w:rsidRDefault="00502958" w:rsidP="001222DF">
      <w:pPr>
        <w:pStyle w:val="GMCNumbertext"/>
        <w:numPr>
          <w:ilvl w:val="0"/>
          <w:numId w:val="1"/>
        </w:numPr>
      </w:pPr>
      <w:bookmarkStart w:id="5" w:name="_Hlk90554999"/>
      <w:r>
        <w:t xml:space="preserve">We have studied the </w:t>
      </w:r>
      <w:r w:rsidRPr="00B422D5">
        <w:rPr>
          <w:i/>
          <w:iCs/>
        </w:rPr>
        <w:t>Ockenden report</w:t>
      </w:r>
      <w:r>
        <w:t xml:space="preserve"> into maternity services at the Shrewsbury and Telford hospital NHS Trust to identify learning for </w:t>
      </w:r>
      <w:r w:rsidR="00632DB2">
        <w:t>us</w:t>
      </w:r>
      <w:r>
        <w:t xml:space="preserve"> and wider learning for the health system, as highlighted by this report. </w:t>
      </w:r>
      <w:r w:rsidRPr="00502958">
        <w:t>We know that the best care happens when all healthcare professionals feel supported and work within positive workplace cultures. It is on all of us to drive forward changes which will lead to better cultures, where professionals listen to women and are supported to deliver the best possible care.</w:t>
      </w:r>
    </w:p>
    <w:p w14:paraId="097C1F13" w14:textId="0200552B" w:rsidR="0069375C" w:rsidRDefault="00B422D5" w:rsidP="0069375C">
      <w:pPr>
        <w:pStyle w:val="GMCNumbertext"/>
        <w:numPr>
          <w:ilvl w:val="0"/>
          <w:numId w:val="1"/>
        </w:numPr>
        <w:rPr>
          <w:lang w:eastAsia="en-GB"/>
        </w:rPr>
      </w:pPr>
      <w:r>
        <w:t>In scoping t</w:t>
      </w:r>
      <w:r w:rsidR="0069375C">
        <w:t xml:space="preserve">here was a report of conflicting advice being given within a maternity service by different </w:t>
      </w:r>
      <w:r w:rsidR="00093423">
        <w:t>multi-disciplinary team (‘</w:t>
      </w:r>
      <w:r w:rsidR="0069375C">
        <w:t>MDT</w:t>
      </w:r>
      <w:r w:rsidR="00093423">
        <w:t>’)</w:t>
      </w:r>
      <w:r w:rsidR="0069375C">
        <w:t xml:space="preserve"> members. Where there is bullying and conflict between doctors and midwifes on the labour ward there is data to show that this impacts patients.</w:t>
      </w:r>
    </w:p>
    <w:p w14:paraId="27AE8EFF" w14:textId="0F61364E" w:rsidR="0069375C" w:rsidRDefault="0069375C" w:rsidP="0069375C">
      <w:pPr>
        <w:pStyle w:val="GMCNumbertext"/>
        <w:numPr>
          <w:ilvl w:val="0"/>
          <w:numId w:val="1"/>
        </w:numPr>
      </w:pPr>
      <w:r>
        <w:t xml:space="preserve">Concerns </w:t>
      </w:r>
      <w:r w:rsidRPr="00BC62F4">
        <w:t>about the disparity between child protection visits for mother</w:t>
      </w:r>
      <w:r w:rsidR="00787CE8">
        <w:t xml:space="preserve"> and </w:t>
      </w:r>
      <w:r w:rsidRPr="00BC62F4">
        <w:t xml:space="preserve">baby at 28 weeks and the updated </w:t>
      </w:r>
      <w:r>
        <w:t xml:space="preserve">NI abortion </w:t>
      </w:r>
      <w:r w:rsidRPr="00BC62F4">
        <w:t>legislation</w:t>
      </w:r>
      <w:r>
        <w:t xml:space="preserve"> were raised, as were concerns about how</w:t>
      </w:r>
      <w:r w:rsidRPr="00BC62F4">
        <w:t xml:space="preserve"> the updated legislation affects </w:t>
      </w:r>
      <w:r w:rsidR="00F85B6C">
        <w:t>medical professionals’</w:t>
      </w:r>
      <w:r w:rsidRPr="00BC62F4">
        <w:t xml:space="preserve"> right to con</w:t>
      </w:r>
      <w:r>
        <w:t>sci</w:t>
      </w:r>
      <w:r w:rsidRPr="00BC62F4">
        <w:t>entious objection.</w:t>
      </w:r>
    </w:p>
    <w:p w14:paraId="3B8C4A1E" w14:textId="67276CEE" w:rsidR="001222DF" w:rsidRPr="00F272FD" w:rsidRDefault="001222DF" w:rsidP="001222DF">
      <w:pPr>
        <w:pStyle w:val="GMCNumbertext"/>
        <w:numPr>
          <w:ilvl w:val="0"/>
          <w:numId w:val="1"/>
        </w:numPr>
      </w:pPr>
      <w:r w:rsidRPr="00F272FD">
        <w:t>Due to the age and gender profile of PAs and AAs many are likely to be experiencing pregnancy, maternity, or to have young families.</w:t>
      </w:r>
    </w:p>
    <w:p w14:paraId="518CB86C" w14:textId="3ABE86E2" w:rsidR="001222DF" w:rsidRPr="00F272FD" w:rsidRDefault="001222DF" w:rsidP="0052645E">
      <w:pPr>
        <w:pStyle w:val="GMCNumbertext"/>
        <w:numPr>
          <w:ilvl w:val="0"/>
          <w:numId w:val="1"/>
        </w:numPr>
        <w:rPr>
          <w:lang w:eastAsia="en-GB"/>
        </w:rPr>
      </w:pPr>
      <w:r w:rsidRPr="00F272FD">
        <w:t xml:space="preserve">Following maternity leave </w:t>
      </w:r>
      <w:r w:rsidR="00AD682F">
        <w:t>medical professionals</w:t>
      </w:r>
      <w:r w:rsidRPr="00F272FD">
        <w:t xml:space="preserve"> may return to work</w:t>
      </w:r>
      <w:r w:rsidR="000D1B42" w:rsidRPr="00F272FD">
        <w:t xml:space="preserve"> or train</w:t>
      </w:r>
      <w:r w:rsidRPr="00F272FD">
        <w:t xml:space="preserve"> less than full time </w:t>
      </w:r>
      <w:r w:rsidR="00093423">
        <w:t xml:space="preserve">(‘LTFT’) </w:t>
      </w:r>
      <w:r w:rsidRPr="00F272FD">
        <w:t>or have a job share (</w:t>
      </w:r>
      <w:proofErr w:type="spellStart"/>
      <w:proofErr w:type="gramStart"/>
      <w:r w:rsidRPr="00F272FD">
        <w:t>eg</w:t>
      </w:r>
      <w:proofErr w:type="spellEnd"/>
      <w:proofErr w:type="gramEnd"/>
      <w:r w:rsidRPr="00F272FD">
        <w:t xml:space="preserve"> one of the top reasons for choosing LTFT training was childcare). Some female doctors identified experiences of discrimination surrounding maternity leave, and some female GP trainees also reported pressure to have families while in training.</w:t>
      </w:r>
    </w:p>
    <w:bookmarkEnd w:id="5"/>
    <w:p w14:paraId="1807E899" w14:textId="7F9DB5F5" w:rsidR="001222DF" w:rsidRDefault="001222DF" w:rsidP="001222DF">
      <w:pPr>
        <w:pStyle w:val="Heading3"/>
        <w:rPr>
          <w:lang w:eastAsia="en-GB"/>
        </w:rPr>
      </w:pPr>
      <w:r>
        <w:rPr>
          <w:lang w:eastAsia="en-GB"/>
        </w:rPr>
        <w:t>Race</w:t>
      </w:r>
    </w:p>
    <w:p w14:paraId="14FB1491" w14:textId="03C378C2" w:rsidR="009B471C" w:rsidRDefault="009B471C" w:rsidP="001222DF">
      <w:pPr>
        <w:pStyle w:val="GMCNumbertext"/>
        <w:numPr>
          <w:ilvl w:val="0"/>
          <w:numId w:val="1"/>
        </w:numPr>
      </w:pPr>
      <w:r>
        <w:t xml:space="preserve">There is extensive evidence to indicate the overwhelming extent of health inequalities experienced by patients from different groups. A recent </w:t>
      </w:r>
      <w:hyperlink r:id="rId14" w:history="1">
        <w:r w:rsidRPr="009B471C">
          <w:rPr>
            <w:rStyle w:val="Hyperlink"/>
          </w:rPr>
          <w:t>rapid evidence review</w:t>
        </w:r>
      </w:hyperlink>
      <w:r>
        <w:t xml:space="preserve"> concluded that ‘ethnic</w:t>
      </w:r>
      <w:r w:rsidRPr="00C14DE5">
        <w:t xml:space="preserve"> inequalities in access to, experiences of, and outcomes of </w:t>
      </w:r>
      <w:r w:rsidRPr="00C14DE5">
        <w:lastRenderedPageBreak/>
        <w:t>healthcare are longstanding problems in the NHS, and are rooted in experiences of structural, institutional and interpersonal racism</w:t>
      </w:r>
      <w:r>
        <w:t>’</w:t>
      </w:r>
      <w:r w:rsidRPr="00C14DE5">
        <w:t>.</w:t>
      </w:r>
    </w:p>
    <w:p w14:paraId="48F68145" w14:textId="4BE5B388" w:rsidR="009B471C" w:rsidRPr="009B471C" w:rsidRDefault="009B471C">
      <w:pPr>
        <w:pStyle w:val="GMCNumbertext"/>
        <w:numPr>
          <w:ilvl w:val="0"/>
          <w:numId w:val="1"/>
        </w:numPr>
      </w:pPr>
      <w:r>
        <w:t>A more ethnically diverse population means that the health service will need to adapt for patients with different health needs.</w:t>
      </w:r>
    </w:p>
    <w:p w14:paraId="6C9E5CF2" w14:textId="6B0B3545" w:rsidR="00A70EE9" w:rsidRPr="00F272FD" w:rsidRDefault="00A70EE9" w:rsidP="00A70EE9">
      <w:pPr>
        <w:pStyle w:val="GMCNumbertext"/>
        <w:numPr>
          <w:ilvl w:val="0"/>
          <w:numId w:val="1"/>
        </w:numPr>
      </w:pPr>
      <w:proofErr w:type="gramStart"/>
      <w:r>
        <w:rPr>
          <w:lang w:eastAsia="en-GB"/>
        </w:rPr>
        <w:t>O</w:t>
      </w:r>
      <w:r w:rsidRPr="00F272FD">
        <w:rPr>
          <w:lang w:eastAsia="en-GB"/>
        </w:rPr>
        <w:t>n the whole</w:t>
      </w:r>
      <w:proofErr w:type="gramEnd"/>
      <w:r w:rsidRPr="00F272FD">
        <w:rPr>
          <w:lang w:eastAsia="en-GB"/>
        </w:rPr>
        <w:t xml:space="preserve">, doctors are confident in the way </w:t>
      </w:r>
      <w:r w:rsidR="00632DB2">
        <w:rPr>
          <w:lang w:eastAsia="en-GB"/>
        </w:rPr>
        <w:t>we</w:t>
      </w:r>
      <w:r w:rsidRPr="00F272FD">
        <w:rPr>
          <w:lang w:eastAsia="en-GB"/>
        </w:rPr>
        <w:t xml:space="preserve"> discharge</w:t>
      </w:r>
      <w:r w:rsidR="00632DB2">
        <w:rPr>
          <w:lang w:eastAsia="en-GB"/>
        </w:rPr>
        <w:t xml:space="preserve"> our</w:t>
      </w:r>
      <w:r w:rsidRPr="00F272FD">
        <w:rPr>
          <w:lang w:eastAsia="en-GB"/>
        </w:rPr>
        <w:t xml:space="preserve"> duties</w:t>
      </w:r>
      <w:r w:rsidR="00C14DE5">
        <w:rPr>
          <w:lang w:eastAsia="en-GB"/>
        </w:rPr>
        <w:t xml:space="preserve">. </w:t>
      </w:r>
      <w:proofErr w:type="gramStart"/>
      <w:r w:rsidR="00C14DE5">
        <w:rPr>
          <w:lang w:eastAsia="en-GB"/>
        </w:rPr>
        <w:t>T</w:t>
      </w:r>
      <w:r w:rsidRPr="00F272FD">
        <w:rPr>
          <w:lang w:eastAsia="en-GB"/>
        </w:rPr>
        <w:t>he majority of</w:t>
      </w:r>
      <w:proofErr w:type="gramEnd"/>
      <w:r w:rsidRPr="00F272FD">
        <w:rPr>
          <w:lang w:eastAsia="en-GB"/>
        </w:rPr>
        <w:t xml:space="preserve"> </w:t>
      </w:r>
      <w:r w:rsidR="00E3009A">
        <w:rPr>
          <w:lang w:eastAsia="en-GB"/>
        </w:rPr>
        <w:t xml:space="preserve">ethnic minority </w:t>
      </w:r>
      <w:r w:rsidRPr="00F272FD">
        <w:rPr>
          <w:lang w:eastAsia="en-GB"/>
        </w:rPr>
        <w:t xml:space="preserve">doctors and non-UK qualified doctors (both white and </w:t>
      </w:r>
      <w:r w:rsidR="00E3009A">
        <w:rPr>
          <w:lang w:eastAsia="en-GB"/>
        </w:rPr>
        <w:t>ethnic minorities</w:t>
      </w:r>
      <w:r w:rsidRPr="00F272FD">
        <w:rPr>
          <w:lang w:eastAsia="en-GB"/>
        </w:rPr>
        <w:t>) think that some groups of doctors may be more likely than others to be treated unfairly across registration, revalidation and</w:t>
      </w:r>
      <w:r w:rsidR="00B422D5">
        <w:rPr>
          <w:lang w:eastAsia="en-GB"/>
        </w:rPr>
        <w:t xml:space="preserve"> </w:t>
      </w:r>
      <w:r w:rsidR="00093423">
        <w:rPr>
          <w:lang w:eastAsia="en-GB"/>
        </w:rPr>
        <w:t>FTP processes.</w:t>
      </w:r>
      <w:r w:rsidRPr="00F272FD">
        <w:rPr>
          <w:lang w:eastAsia="en-GB"/>
        </w:rPr>
        <w:t xml:space="preserve"> Where doctors felt that some groups may be at risk of receiving unfair treatment, three groups were </w:t>
      </w:r>
      <w:proofErr w:type="gramStart"/>
      <w:r w:rsidRPr="00F272FD">
        <w:rPr>
          <w:lang w:eastAsia="en-GB"/>
        </w:rPr>
        <w:t>most commonly reported</w:t>
      </w:r>
      <w:proofErr w:type="gramEnd"/>
      <w:r w:rsidRPr="00F272FD">
        <w:rPr>
          <w:lang w:eastAsia="en-GB"/>
        </w:rPr>
        <w:t xml:space="preserve"> by doctors. In order these were non-UK qualified doctors, </w:t>
      </w:r>
      <w:r w:rsidR="00E3009A">
        <w:rPr>
          <w:lang w:eastAsia="en-GB"/>
        </w:rPr>
        <w:t xml:space="preserve">ethnic minority </w:t>
      </w:r>
      <w:r w:rsidRPr="00F272FD">
        <w:rPr>
          <w:lang w:eastAsia="en-GB"/>
        </w:rPr>
        <w:t>doctors and older doctors.</w:t>
      </w:r>
    </w:p>
    <w:p w14:paraId="2CFB6818" w14:textId="77777777" w:rsidR="00A70EE9" w:rsidRDefault="00A70EE9" w:rsidP="00A70EE9">
      <w:pPr>
        <w:pStyle w:val="GMCNumbertext"/>
        <w:numPr>
          <w:ilvl w:val="0"/>
          <w:numId w:val="1"/>
        </w:numPr>
      </w:pPr>
      <w:r>
        <w:rPr>
          <w:lang w:eastAsia="en-GB"/>
        </w:rPr>
        <w:t xml:space="preserve">There was criticism from </w:t>
      </w:r>
      <w:r>
        <w:t xml:space="preserve">a peer in the house of lords that </w:t>
      </w:r>
      <w:r w:rsidRPr="00BC62F4">
        <w:t>our guidance isn’t clear for doctors from other cultures.</w:t>
      </w:r>
      <w:r>
        <w:t xml:space="preserve"> We also received a challenge from BAPIO that GMP is a codification of </w:t>
      </w:r>
      <w:r w:rsidRPr="00B422D5">
        <w:t>white cultural norms</w:t>
      </w:r>
      <w:r>
        <w:t xml:space="preserve"> and therefore disadvantages doctors from non-white backgrounds.</w:t>
      </w:r>
    </w:p>
    <w:p w14:paraId="0BF8163A" w14:textId="7BD88F02" w:rsidR="00A70EE9" w:rsidRDefault="004E7AB8" w:rsidP="00A70EE9">
      <w:pPr>
        <w:pStyle w:val="GMCNumbertext"/>
        <w:numPr>
          <w:ilvl w:val="0"/>
          <w:numId w:val="1"/>
        </w:numPr>
      </w:pPr>
      <w:r>
        <w:t>Medical professionals</w:t>
      </w:r>
      <w:r w:rsidR="00A70EE9">
        <w:t xml:space="preserve"> from ethnic minority backgrounds face different pressures, for example d</w:t>
      </w:r>
      <w:r w:rsidR="00A70EE9" w:rsidRPr="009B421D">
        <w:t xml:space="preserve">uring the pandemic twice as many </w:t>
      </w:r>
      <w:r w:rsidR="00E3009A">
        <w:t xml:space="preserve">ethnic </w:t>
      </w:r>
      <w:proofErr w:type="spellStart"/>
      <w:r w:rsidR="00E3009A">
        <w:t>monitority</w:t>
      </w:r>
      <w:proofErr w:type="spellEnd"/>
      <w:r w:rsidR="00E3009A">
        <w:t xml:space="preserve"> </w:t>
      </w:r>
      <w:r w:rsidR="00A70EE9" w:rsidRPr="009B421D">
        <w:t>doctors felt under pressure to see patients without adequate PPE compared to their white colleagues and were twice as likely to report bullying</w:t>
      </w:r>
      <w:r w:rsidR="00A70EE9">
        <w:t>.</w:t>
      </w:r>
    </w:p>
    <w:p w14:paraId="61C673F3" w14:textId="716807DC" w:rsidR="00A70EE9" w:rsidRDefault="00A70EE9">
      <w:pPr>
        <w:pStyle w:val="GMCNumbertext"/>
        <w:numPr>
          <w:ilvl w:val="0"/>
          <w:numId w:val="1"/>
        </w:numPr>
      </w:pPr>
      <w:r w:rsidRPr="00694B0C">
        <w:t xml:space="preserve">A significant proportion of </w:t>
      </w:r>
      <w:r w:rsidR="00B422D5">
        <w:t>s</w:t>
      </w:r>
      <w:r w:rsidR="00B422D5" w:rsidRPr="00B422D5">
        <w:t xml:space="preserve">taff grade and </w:t>
      </w:r>
      <w:r w:rsidR="00B422D5">
        <w:t>a</w:t>
      </w:r>
      <w:r w:rsidR="00B422D5" w:rsidRPr="00B422D5">
        <w:t xml:space="preserve">ssociate </w:t>
      </w:r>
      <w:r w:rsidR="00B422D5">
        <w:t>s</w:t>
      </w:r>
      <w:r w:rsidR="00B422D5" w:rsidRPr="00B422D5">
        <w:t>pecialist</w:t>
      </w:r>
      <w:r w:rsidR="00B422D5">
        <w:t xml:space="preserve"> (</w:t>
      </w:r>
      <w:r>
        <w:t>SAS</w:t>
      </w:r>
      <w:r w:rsidR="00B422D5">
        <w:t>)</w:t>
      </w:r>
      <w:r>
        <w:t xml:space="preserve"> and </w:t>
      </w:r>
      <w:r w:rsidR="00B422D5">
        <w:t>locally employed (</w:t>
      </w:r>
      <w:r>
        <w:t>LE</w:t>
      </w:r>
      <w:r w:rsidR="00E3009A">
        <w:t>)</w:t>
      </w:r>
      <w:r w:rsidRPr="00694B0C">
        <w:t xml:space="preserve"> doctors are</w:t>
      </w:r>
      <w:r w:rsidR="00E3009A">
        <w:t xml:space="preserve"> from</w:t>
      </w:r>
      <w:r w:rsidRPr="00694B0C">
        <w:t xml:space="preserve"> </w:t>
      </w:r>
      <w:r w:rsidR="00E3009A">
        <w:t>ethnic minorities</w:t>
      </w:r>
      <w:r>
        <w:t xml:space="preserve">. </w:t>
      </w:r>
      <w:r w:rsidRPr="00694B0C">
        <w:t>Many</w:t>
      </w:r>
      <w:r>
        <w:t xml:space="preserve"> SAS/LE doctors reported unsupportive</w:t>
      </w:r>
      <w:r w:rsidRPr="00694B0C">
        <w:t xml:space="preserve"> working environments</w:t>
      </w:r>
      <w:r>
        <w:t xml:space="preserve">, feeling unsupported, </w:t>
      </w:r>
      <w:proofErr w:type="gramStart"/>
      <w:r>
        <w:t>bullied</w:t>
      </w:r>
      <w:proofErr w:type="gramEnd"/>
      <w:r>
        <w:t xml:space="preserve"> or harassed. They report</w:t>
      </w:r>
      <w:r w:rsidR="00AF2D86">
        <w:t>ed</w:t>
      </w:r>
      <w:r>
        <w:t xml:space="preserve"> feeling less able to raise concerns. </w:t>
      </w:r>
      <w:r w:rsidRPr="00694B0C">
        <w:t>SAS and LE doctors who disagreed that their working environment was supportive reported higher levels of burnout.</w:t>
      </w:r>
    </w:p>
    <w:p w14:paraId="267D8528" w14:textId="6F769A8F" w:rsidR="001222DF" w:rsidRPr="00174315" w:rsidRDefault="00E3009A" w:rsidP="001222DF">
      <w:pPr>
        <w:pStyle w:val="GMCNumbertext"/>
        <w:numPr>
          <w:ilvl w:val="0"/>
          <w:numId w:val="1"/>
        </w:numPr>
      </w:pPr>
      <w:r>
        <w:t>Ethnic minority c</w:t>
      </w:r>
      <w:r w:rsidR="001222DF" w:rsidRPr="00174315">
        <w:t>onsultants were twice as likely to experience discrimination as white consultants.</w:t>
      </w:r>
      <w:r>
        <w:t xml:space="preserve"> Ethnic minority</w:t>
      </w:r>
      <w:r w:rsidR="001222DF" w:rsidRPr="00174315">
        <w:t xml:space="preserve"> doctors also experienced assumptions of incompetence, increased scrutiny, lack of support and mentorship, being passed over for leadership opportunities and unfair treatment from colleagues and patients.</w:t>
      </w:r>
    </w:p>
    <w:p w14:paraId="281ACC73" w14:textId="6EF85158" w:rsidR="004462FD" w:rsidRPr="0067355A" w:rsidRDefault="004462FD" w:rsidP="00A56E08">
      <w:pPr>
        <w:pStyle w:val="GMCNumbertext"/>
        <w:numPr>
          <w:ilvl w:val="0"/>
          <w:numId w:val="1"/>
        </w:numPr>
      </w:pPr>
      <w:bookmarkStart w:id="6" w:name="_Hlk77334609"/>
      <w:r w:rsidRPr="0067355A">
        <w:t xml:space="preserve">There were several reports of racism from colleagues, </w:t>
      </w:r>
      <w:proofErr w:type="gramStart"/>
      <w:r w:rsidRPr="0067355A">
        <w:t>patients</w:t>
      </w:r>
      <w:proofErr w:type="gramEnd"/>
      <w:r w:rsidRPr="0067355A">
        <w:t xml:space="preserve"> and organisational racism. This includes examples of being ‘instructed to be more British’. Some </w:t>
      </w:r>
      <w:r w:rsidR="00E3009A">
        <w:t>ethnic minority m</w:t>
      </w:r>
      <w:r w:rsidR="00AD682F">
        <w:t>edical professionals</w:t>
      </w:r>
      <w:r w:rsidRPr="0067355A">
        <w:t xml:space="preserve"> felt they had to work harder and face more questions about their performance than their white counterparts.</w:t>
      </w:r>
      <w:bookmarkEnd w:id="6"/>
      <w:r w:rsidRPr="0067355A">
        <w:t xml:space="preserve"> Conversely there was one mention of bullying behaviour going unaddressed for years because colleagues were unsure how much was due to cultural factors.</w:t>
      </w:r>
    </w:p>
    <w:p w14:paraId="605A683F" w14:textId="2025765C" w:rsidR="001222DF" w:rsidRDefault="004462FD" w:rsidP="0052645E">
      <w:pPr>
        <w:pStyle w:val="GMCNumbertext"/>
        <w:numPr>
          <w:ilvl w:val="0"/>
          <w:numId w:val="1"/>
        </w:numPr>
        <w:rPr>
          <w:lang w:eastAsia="en-GB"/>
        </w:rPr>
      </w:pPr>
      <w:r>
        <w:t xml:space="preserve">There is no consistency in expected actions/behaviours when patients request a ‘white’ </w:t>
      </w:r>
      <w:r w:rsidR="00AD682F">
        <w:t>medical professional</w:t>
      </w:r>
      <w:r>
        <w:t xml:space="preserve"> or makes racist statements/behaviours. Some white </w:t>
      </w:r>
      <w:r w:rsidR="00AD682F">
        <w:t>medical professionals</w:t>
      </w:r>
      <w:r>
        <w:t xml:space="preserve"> reported being unsure what to do to support their </w:t>
      </w:r>
      <w:r w:rsidR="00E3009A">
        <w:t xml:space="preserve">ethnic minority </w:t>
      </w:r>
      <w:r>
        <w:t>colleagues in these situations.</w:t>
      </w:r>
    </w:p>
    <w:p w14:paraId="19B46EAD" w14:textId="100FDB1F" w:rsidR="004462FD" w:rsidRDefault="004462FD" w:rsidP="004462FD">
      <w:pPr>
        <w:pStyle w:val="Heading3"/>
      </w:pPr>
      <w:r>
        <w:lastRenderedPageBreak/>
        <w:t>Religion or belief</w:t>
      </w:r>
    </w:p>
    <w:p w14:paraId="20A8FF0A" w14:textId="47A0E545" w:rsidR="00A56E08" w:rsidRDefault="00A56E08" w:rsidP="00A56E08">
      <w:pPr>
        <w:pStyle w:val="GMCNumbertext"/>
        <w:numPr>
          <w:ilvl w:val="0"/>
          <w:numId w:val="1"/>
        </w:numPr>
      </w:pPr>
      <w:r>
        <w:t xml:space="preserve">Questions were raised about the balance between respecting cultural/religious norms and patient safety in the context of beards and Covid-19 </w:t>
      </w:r>
      <w:r w:rsidR="0010338B">
        <w:t>personal protective equipment.</w:t>
      </w:r>
    </w:p>
    <w:p w14:paraId="6189C428" w14:textId="48ABB96A" w:rsidR="00A56E08" w:rsidRDefault="00A56E08" w:rsidP="00A56E08">
      <w:pPr>
        <w:pStyle w:val="GMCNumbertext"/>
        <w:numPr>
          <w:ilvl w:val="0"/>
          <w:numId w:val="1"/>
        </w:numPr>
      </w:pPr>
      <w:r>
        <w:t xml:space="preserve">Intelligence gathered in scoping on religion or belief was limited. We are targeting these groups in </w:t>
      </w:r>
      <w:r w:rsidR="00A33BC5">
        <w:t xml:space="preserve">the </w:t>
      </w:r>
      <w:r w:rsidR="008B5B29">
        <w:t xml:space="preserve">patient and </w:t>
      </w:r>
      <w:r w:rsidR="00A33BC5">
        <w:t xml:space="preserve">the healthcare </w:t>
      </w:r>
      <w:proofErr w:type="gramStart"/>
      <w:r w:rsidR="008B5B29">
        <w:t>professionals</w:t>
      </w:r>
      <w:proofErr w:type="gramEnd"/>
      <w:r w:rsidR="008B5B29">
        <w:t xml:space="preserve"> surveys and</w:t>
      </w:r>
      <w:r>
        <w:t xml:space="preserve"> </w:t>
      </w:r>
      <w:r w:rsidR="00A33BC5">
        <w:t xml:space="preserve">consultation engagement </w:t>
      </w:r>
      <w:r>
        <w:t>activities.</w:t>
      </w:r>
    </w:p>
    <w:p w14:paraId="4B55E3C4" w14:textId="28141481" w:rsidR="004462FD" w:rsidRPr="009B421D" w:rsidRDefault="00A56E08" w:rsidP="00A56E08">
      <w:pPr>
        <w:pStyle w:val="Heading3"/>
      </w:pPr>
      <w:r>
        <w:t>Sex</w:t>
      </w:r>
    </w:p>
    <w:p w14:paraId="549FCAEA" w14:textId="77777777" w:rsidR="00AF2D86" w:rsidRDefault="00AF2D86" w:rsidP="00AF2D86">
      <w:pPr>
        <w:pStyle w:val="GMCNumbertext"/>
        <w:numPr>
          <w:ilvl w:val="0"/>
          <w:numId w:val="1"/>
        </w:numPr>
      </w:pPr>
      <w:r w:rsidRPr="0025587E">
        <w:rPr>
          <w:lang w:eastAsia="en-GB"/>
        </w:rPr>
        <w:t>While sexual harassment can be perpetrated by both men and women,</w:t>
      </w:r>
      <w:r>
        <w:rPr>
          <w:lang w:eastAsia="en-GB"/>
        </w:rPr>
        <w:t xml:space="preserve"> </w:t>
      </w:r>
      <w:proofErr w:type="gramStart"/>
      <w:r>
        <w:rPr>
          <w:lang w:eastAsia="en-GB"/>
        </w:rPr>
        <w:t>the majority of</w:t>
      </w:r>
      <w:proofErr w:type="gramEnd"/>
      <w:r>
        <w:rPr>
          <w:lang w:eastAsia="en-GB"/>
        </w:rPr>
        <w:t xml:space="preserve"> perpetrators are male, and the majority of victims are female.</w:t>
      </w:r>
      <w:r w:rsidRPr="00591129">
        <w:rPr>
          <w:lang w:eastAsia="en-GB"/>
        </w:rPr>
        <w:t xml:space="preserve"> </w:t>
      </w:r>
      <w:r>
        <w:t xml:space="preserve">Patients were the dominant group targeted by perpetrators of sexual harassment and 49% of cases involve vulnerable patients, </w:t>
      </w:r>
      <w:proofErr w:type="spellStart"/>
      <w:proofErr w:type="gramStart"/>
      <w:r>
        <w:t>ie</w:t>
      </w:r>
      <w:proofErr w:type="spellEnd"/>
      <w:proofErr w:type="gramEnd"/>
      <w:r>
        <w:t xml:space="preserve"> someone who is younger, infirm, or with mental health needs. Less senior colleagues were also a more common target</w:t>
      </w:r>
      <w:r>
        <w:rPr>
          <w:lang w:eastAsia="en-GB"/>
        </w:rPr>
        <w:t xml:space="preserve"> and sexual harassment is linked to power imbalances</w:t>
      </w:r>
      <w:r>
        <w:t>. ‘Banter’ and the defence of ‘can’t you take a joke?’ are shown to be barriers to challenging and addressing sexual harassment in the workplace.</w:t>
      </w:r>
    </w:p>
    <w:p w14:paraId="4782DBFE" w14:textId="7378D583" w:rsidR="00A70EE9" w:rsidRDefault="00A70EE9">
      <w:pPr>
        <w:pStyle w:val="GMCNumbertext"/>
        <w:numPr>
          <w:ilvl w:val="0"/>
          <w:numId w:val="1"/>
        </w:numPr>
      </w:pPr>
      <w:r>
        <w:t xml:space="preserve">Some patients request female </w:t>
      </w:r>
      <w:r w:rsidR="00AD682F">
        <w:t>medical professionals</w:t>
      </w:r>
      <w:r>
        <w:t xml:space="preserve">. The </w:t>
      </w:r>
      <w:r w:rsidR="00787CE8">
        <w:t>sex</w:t>
      </w:r>
      <w:r>
        <w:t xml:space="preserve"> of chaperones was also raised, with some junior doctors reporting </w:t>
      </w:r>
      <w:r w:rsidRPr="00BC62F4">
        <w:t xml:space="preserve">pushback from consultants when they requested a chaperone if they </w:t>
      </w:r>
      <w:r>
        <w:t xml:space="preserve">were of the same </w:t>
      </w:r>
      <w:r w:rsidR="00787CE8">
        <w:t>sex</w:t>
      </w:r>
      <w:r>
        <w:t xml:space="preserve"> as the </w:t>
      </w:r>
      <w:r w:rsidRPr="00BC62F4">
        <w:t>patient</w:t>
      </w:r>
      <w:r>
        <w:t>.</w:t>
      </w:r>
    </w:p>
    <w:p w14:paraId="25B992AC" w14:textId="7EF4E222" w:rsidR="00A56E08" w:rsidRDefault="00A56E08" w:rsidP="00A56E08">
      <w:pPr>
        <w:pStyle w:val="GMCNumbertext"/>
        <w:numPr>
          <w:ilvl w:val="0"/>
          <w:numId w:val="1"/>
        </w:numPr>
      </w:pPr>
      <w:r>
        <w:t xml:space="preserve">The numbers of male and female doctors on the register are similar. However female consultants are more likely than their male colleagues to work </w:t>
      </w:r>
      <w:r w:rsidR="00A33BC5">
        <w:t xml:space="preserve">LTFT </w:t>
      </w:r>
      <w:r>
        <w:t xml:space="preserve">(42% v’s 11%). </w:t>
      </w:r>
      <w:proofErr w:type="gramStart"/>
      <w:r>
        <w:t>The vast majority of</w:t>
      </w:r>
      <w:proofErr w:type="gramEnd"/>
      <w:r>
        <w:t xml:space="preserve"> doctors training LTFT are also female. This means that </w:t>
      </w:r>
      <w:r w:rsidRPr="00A56E08">
        <w:t>in terms of presence in the medical environment male doctors are still in the majority, especially in some specialties.</w:t>
      </w:r>
    </w:p>
    <w:p w14:paraId="6475B0B6" w14:textId="70D69D93" w:rsidR="00360185" w:rsidRDefault="00360185" w:rsidP="00360185">
      <w:pPr>
        <w:pStyle w:val="GMCNumbertext"/>
        <w:numPr>
          <w:ilvl w:val="0"/>
          <w:numId w:val="1"/>
        </w:numPr>
      </w:pPr>
      <w:r>
        <w:t>As a younger generation of doctors look to attain a better work-life balance there were reports of this clashing with systems and older generations who didn’t have this flexibility. Both male and female doctors are trying to find a better work-life balance, however it is female doctors who more often expect to work flexibly once they have young children.</w:t>
      </w:r>
    </w:p>
    <w:p w14:paraId="40EC08FF" w14:textId="2ED5C1DA" w:rsidR="00A56E08" w:rsidRDefault="00A56E08" w:rsidP="00A56E08">
      <w:pPr>
        <w:pStyle w:val="GMCNumbertext"/>
        <w:numPr>
          <w:ilvl w:val="0"/>
          <w:numId w:val="1"/>
        </w:numPr>
      </w:pPr>
      <w:r>
        <w:t>There is a significantly higher number of female PAs than male PAs. There is a slightly higher proportion of female AAs than male AAs.</w:t>
      </w:r>
    </w:p>
    <w:p w14:paraId="1CF69D93" w14:textId="77777777" w:rsidR="003643AA" w:rsidRPr="00D4675C" w:rsidRDefault="003643AA" w:rsidP="003643AA">
      <w:pPr>
        <w:pStyle w:val="GMCNumbertext"/>
        <w:numPr>
          <w:ilvl w:val="0"/>
          <w:numId w:val="1"/>
        </w:numPr>
      </w:pPr>
      <w:bookmarkStart w:id="7" w:name="_Hlk90555025"/>
      <w:r w:rsidRPr="00D4675C">
        <w:t xml:space="preserve">Female doctors report greater pressures in their working lives than male doctors, but male doctors are more likely to say they are dissatisfied in their role, and to be pessimistic about the future. One potential linkage could be that male doctors are more likely to say they put their role as a doctor ahead of personal commitments. </w:t>
      </w:r>
    </w:p>
    <w:p w14:paraId="4CD2D10B" w14:textId="1CBC6219" w:rsidR="00A56E08" w:rsidRPr="00F272FD" w:rsidRDefault="003643AA" w:rsidP="00A56E08">
      <w:pPr>
        <w:pStyle w:val="GMCNumbertext"/>
        <w:numPr>
          <w:ilvl w:val="0"/>
          <w:numId w:val="1"/>
        </w:numPr>
      </w:pPr>
      <w:r>
        <w:t xml:space="preserve">91% of female doctors reported in a </w:t>
      </w:r>
      <w:hyperlink r:id="rId15" w:history="1">
        <w:r w:rsidRPr="003643AA">
          <w:rPr>
            <w:rStyle w:val="Hyperlink"/>
          </w:rPr>
          <w:t>BMA survey</w:t>
        </w:r>
      </w:hyperlink>
      <w:r>
        <w:t xml:space="preserve"> experiencing sexism in the workplace in the previous 2 years. </w:t>
      </w:r>
      <w:r w:rsidR="00A56E08" w:rsidRPr="00F272FD">
        <w:t xml:space="preserve">Female consultants were twice as likely to </w:t>
      </w:r>
      <w:r w:rsidR="00A56E08" w:rsidRPr="00F272FD">
        <w:lastRenderedPageBreak/>
        <w:t>experience discrimination as male consultants. More female doctors reported being bullied than male doctors.</w:t>
      </w:r>
      <w:r w:rsidR="00FA6762">
        <w:t xml:space="preserve"> </w:t>
      </w:r>
    </w:p>
    <w:bookmarkEnd w:id="7"/>
    <w:p w14:paraId="597A887C" w14:textId="04306E8A" w:rsidR="00A56E08" w:rsidRDefault="005C34EA" w:rsidP="005C34EA">
      <w:pPr>
        <w:pStyle w:val="Heading3"/>
      </w:pPr>
      <w:r>
        <w:t>Sexual orientation</w:t>
      </w:r>
    </w:p>
    <w:p w14:paraId="0607B2B7" w14:textId="13942F43" w:rsidR="004462FD" w:rsidRDefault="00AA5969" w:rsidP="0052645E">
      <w:pPr>
        <w:pStyle w:val="GMCNumbertext"/>
        <w:numPr>
          <w:ilvl w:val="0"/>
          <w:numId w:val="1"/>
        </w:numPr>
        <w:rPr>
          <w:lang w:eastAsia="en-GB"/>
        </w:rPr>
      </w:pPr>
      <w:r>
        <w:t xml:space="preserve">70% of LGBT+ patients report homophobic, </w:t>
      </w:r>
      <w:proofErr w:type="spellStart"/>
      <w:r>
        <w:t>biphobic</w:t>
      </w:r>
      <w:proofErr w:type="spellEnd"/>
      <w:r>
        <w:t xml:space="preserve"> and transphobic discrimination whilst in receipt of care and UK GOV research shows that LGBT+ patients have a disproportionately high dissatisfaction with the NHS.</w:t>
      </w:r>
    </w:p>
    <w:p w14:paraId="2F36973C" w14:textId="77777777" w:rsidR="00AA5969" w:rsidRDefault="00AA5969" w:rsidP="00AA5969">
      <w:pPr>
        <w:pStyle w:val="GMCNumbertext"/>
        <w:numPr>
          <w:ilvl w:val="0"/>
          <w:numId w:val="1"/>
        </w:numPr>
      </w:pPr>
      <w:r>
        <w:t xml:space="preserve">LGBTQ+ people fear inadequate and hostile care and as such are less likely to be open about their sexuality or (trans) gender identity or, indeed, resist using primary care until problems are advanced and more difficult to treat. </w:t>
      </w:r>
    </w:p>
    <w:p w14:paraId="69FFB021" w14:textId="26035F47" w:rsidR="00AA5969" w:rsidRDefault="00AA5969" w:rsidP="00AA5969">
      <w:pPr>
        <w:pStyle w:val="GMCNumbertext"/>
        <w:numPr>
          <w:ilvl w:val="0"/>
          <w:numId w:val="1"/>
        </w:numPr>
      </w:pPr>
      <w:r>
        <w:t>LGBTQ+ patients report being treated with a lack of respect, subjected to damaging judgements and assumptions, and an unwillingness to accept same sex partners or relationships that do not accord with heterosexual norms and mores</w:t>
      </w:r>
      <w:r w:rsidR="00622E2C">
        <w:t>. T</w:t>
      </w:r>
      <w:r>
        <w:t>his is marked in maternity and end of life care</w:t>
      </w:r>
      <w:r w:rsidR="00622E2C">
        <w:t>.</w:t>
      </w:r>
      <w:r>
        <w:t xml:space="preserve"> </w:t>
      </w:r>
    </w:p>
    <w:p w14:paraId="0293728B" w14:textId="46F5890A" w:rsidR="00AA5969" w:rsidRDefault="00AA5969" w:rsidP="00AA5969">
      <w:pPr>
        <w:pStyle w:val="Heading3"/>
      </w:pPr>
      <w:r>
        <w:t>Socio-economic</w:t>
      </w:r>
    </w:p>
    <w:p w14:paraId="26F7563F" w14:textId="278380FC" w:rsidR="003643AA" w:rsidRDefault="008B5B29" w:rsidP="003643AA">
      <w:pPr>
        <w:pStyle w:val="GMCNumbertext"/>
        <w:numPr>
          <w:ilvl w:val="0"/>
          <w:numId w:val="1"/>
        </w:numPr>
      </w:pPr>
      <w:r w:rsidRPr="007209E5">
        <w:t xml:space="preserve">The unequal distribution of the social determinants of health, such as education, </w:t>
      </w:r>
      <w:proofErr w:type="gramStart"/>
      <w:r w:rsidRPr="007209E5">
        <w:t>housing</w:t>
      </w:r>
      <w:proofErr w:type="gramEnd"/>
      <w:r w:rsidRPr="007209E5">
        <w:t xml:space="preserve"> and employment, drives inequalities in physical and mental health, reduces an individual’s ability to prevent sickness, or to take action and access treatment when ill health occurs. These inequalities are complex and embedded in society</w:t>
      </w:r>
      <w:r w:rsidR="00177760">
        <w:t>,</w:t>
      </w:r>
      <w:r w:rsidRPr="007209E5">
        <w:t xml:space="preserve"> but they are also preventable</w:t>
      </w:r>
      <w:r w:rsidR="00177760">
        <w:t xml:space="preserve">. </w:t>
      </w:r>
      <w:r w:rsidR="00F85B6C">
        <w:t>Medical</w:t>
      </w:r>
      <w:r>
        <w:t xml:space="preserve"> professionals can play an important role in addressing and preventing</w:t>
      </w:r>
      <w:r w:rsidR="00177760">
        <w:t xml:space="preserve"> this</w:t>
      </w:r>
      <w:r>
        <w:t xml:space="preserve">. </w:t>
      </w:r>
      <w:r w:rsidR="003643AA">
        <w:t xml:space="preserve">The COVID-19 pandemic has exposed </w:t>
      </w:r>
      <w:r>
        <w:t>this</w:t>
      </w:r>
      <w:r w:rsidR="003643AA">
        <w:t xml:space="preserve"> large and widening deprivation gap</w:t>
      </w:r>
      <w:r>
        <w:t>,</w:t>
      </w:r>
      <w:r w:rsidR="003643AA">
        <w:t xml:space="preserve"> with patients/the public in lower paid jobs more likely to die from COVID-19.</w:t>
      </w:r>
      <w:r w:rsidR="007209E5">
        <w:t xml:space="preserve"> </w:t>
      </w:r>
    </w:p>
    <w:p w14:paraId="3C742900" w14:textId="2D32CEA4" w:rsidR="003643AA" w:rsidRPr="00102F58" w:rsidRDefault="003643AA" w:rsidP="003643AA">
      <w:pPr>
        <w:pStyle w:val="GMCNumbertext"/>
        <w:numPr>
          <w:ilvl w:val="0"/>
          <w:numId w:val="1"/>
        </w:numPr>
      </w:pPr>
      <w:r>
        <w:t xml:space="preserve">There was </w:t>
      </w:r>
      <w:r w:rsidRPr="00102F58">
        <w:t xml:space="preserve">criticism that GMP does not mandate </w:t>
      </w:r>
      <w:r w:rsidR="00AD682F">
        <w:t>medical professionals</w:t>
      </w:r>
      <w:r w:rsidRPr="00102F58">
        <w:t xml:space="preserve"> to try harder to provide access to care to more vulnerable people </w:t>
      </w:r>
      <w:proofErr w:type="gramStart"/>
      <w:r w:rsidRPr="00102F58">
        <w:t>e.g.</w:t>
      </w:r>
      <w:proofErr w:type="gramEnd"/>
      <w:r w:rsidRPr="00102F58">
        <w:t xml:space="preserve"> homeless people</w:t>
      </w:r>
      <w:r>
        <w:t>.</w:t>
      </w:r>
    </w:p>
    <w:p w14:paraId="104F2446" w14:textId="357FD583" w:rsidR="00AA5969" w:rsidRDefault="00AA5969" w:rsidP="00AA5969">
      <w:pPr>
        <w:pStyle w:val="GMCNumbertext"/>
        <w:numPr>
          <w:ilvl w:val="0"/>
          <w:numId w:val="1"/>
        </w:numPr>
      </w:pPr>
      <w:r>
        <w:t xml:space="preserve">A shift towards more use of private healthcare carries significant risk of deepening </w:t>
      </w:r>
      <w:r w:rsidRPr="008F16BC">
        <w:t>existing levels of health inequality</w:t>
      </w:r>
      <w:r>
        <w:t xml:space="preserve"> for patients.</w:t>
      </w:r>
    </w:p>
    <w:p w14:paraId="54972C08" w14:textId="6193AAF0" w:rsidR="00AA5969" w:rsidRDefault="00AA5969" w:rsidP="00AA5969">
      <w:pPr>
        <w:pStyle w:val="GMCNumbertext"/>
        <w:numPr>
          <w:ilvl w:val="0"/>
          <w:numId w:val="1"/>
        </w:numPr>
      </w:pPr>
      <w:r>
        <w:t xml:space="preserve">In some </w:t>
      </w:r>
      <w:r w:rsidR="003643AA">
        <w:t>high-profile</w:t>
      </w:r>
      <w:r>
        <w:t xml:space="preserve"> cases doctors who worked across NHS and private healthcare recruited NHS patients into their private practice where </w:t>
      </w:r>
      <w:r w:rsidR="00D9197B">
        <w:t>it was more financially beneficial for the doctor</w:t>
      </w:r>
      <w:r>
        <w:t>.</w:t>
      </w:r>
    </w:p>
    <w:p w14:paraId="27A9FD8C" w14:textId="07D90E48" w:rsidR="00AA5969" w:rsidRDefault="00AA5969" w:rsidP="00AA5969">
      <w:pPr>
        <w:pStyle w:val="Heading3"/>
      </w:pPr>
      <w:r>
        <w:t>Country of primary medical qualification (PMQ)</w:t>
      </w:r>
    </w:p>
    <w:p w14:paraId="55BB36F5" w14:textId="35D97322" w:rsidR="007209E5" w:rsidRDefault="007209E5">
      <w:pPr>
        <w:pStyle w:val="GMCNumbertext"/>
        <w:numPr>
          <w:ilvl w:val="0"/>
          <w:numId w:val="1"/>
        </w:numPr>
      </w:pPr>
      <w:r>
        <w:t>Doctors who received their PMQ outside the UK spoke about receiving inadequate or basic inductions and feeling pressurised to not speak up.</w:t>
      </w:r>
      <w:r w:rsidRPr="00C37D53">
        <w:t xml:space="preserve"> </w:t>
      </w:r>
      <w:r w:rsidRPr="00A2637D">
        <w:t xml:space="preserve">Those who completed their PMQ outside the UK are more likely to report pressure in terms of their roles but are not more likely than those </w:t>
      </w:r>
      <w:r>
        <w:t xml:space="preserve">with a UK PMQ </w:t>
      </w:r>
      <w:r w:rsidRPr="00A2637D">
        <w:t>to report lower levels of satisfaction or be considering chang</w:t>
      </w:r>
      <w:r w:rsidR="00177760">
        <w:t>ing role</w:t>
      </w:r>
      <w:r w:rsidRPr="00A2637D">
        <w:t>.</w:t>
      </w:r>
    </w:p>
    <w:p w14:paraId="2AF3D3CC" w14:textId="03A8E1BA" w:rsidR="00C37D53" w:rsidRDefault="00C37D53" w:rsidP="00C37D53">
      <w:pPr>
        <w:pStyle w:val="GMCNumbertext"/>
        <w:numPr>
          <w:ilvl w:val="0"/>
          <w:numId w:val="1"/>
        </w:numPr>
      </w:pPr>
      <w:r>
        <w:lastRenderedPageBreak/>
        <w:t xml:space="preserve">There is an insider/outsider dynamic in many </w:t>
      </w:r>
      <w:r w:rsidR="00E3009A">
        <w:t>t</w:t>
      </w:r>
      <w:r>
        <w:t>rusts</w:t>
      </w:r>
      <w:r w:rsidR="00B422D5">
        <w:t xml:space="preserve"> and health boards</w:t>
      </w:r>
      <w:r>
        <w:t>, with doctors who gained their PMQ outside the UK in the outsider group</w:t>
      </w:r>
      <w:r w:rsidR="007209E5">
        <w:t>.</w:t>
      </w:r>
      <w:r>
        <w:t xml:space="preserve"> </w:t>
      </w:r>
    </w:p>
    <w:p w14:paraId="679FEF76" w14:textId="1DE4D491" w:rsidR="00C37D53" w:rsidRDefault="00C37D53" w:rsidP="00BC115C">
      <w:pPr>
        <w:pStyle w:val="GMCNumbertext"/>
        <w:numPr>
          <w:ilvl w:val="0"/>
          <w:numId w:val="1"/>
        </w:numPr>
        <w:rPr>
          <w:lang w:eastAsia="en-GB"/>
        </w:rPr>
      </w:pPr>
      <w:bookmarkStart w:id="8" w:name="_Hlk79763974"/>
      <w:r>
        <w:rPr>
          <w:lang w:eastAsia="en-GB"/>
        </w:rPr>
        <w:t xml:space="preserve">Proportionately more </w:t>
      </w:r>
      <w:r w:rsidR="005E5736">
        <w:rPr>
          <w:lang w:eastAsia="en-GB"/>
        </w:rPr>
        <w:t>international medical graduate (‘</w:t>
      </w:r>
      <w:r>
        <w:rPr>
          <w:lang w:eastAsia="en-GB"/>
        </w:rPr>
        <w:t>IMG</w:t>
      </w:r>
      <w:r w:rsidR="005E5736">
        <w:rPr>
          <w:lang w:eastAsia="en-GB"/>
        </w:rPr>
        <w:t>’)</w:t>
      </w:r>
      <w:r>
        <w:rPr>
          <w:lang w:eastAsia="en-GB"/>
        </w:rPr>
        <w:t xml:space="preserve"> doctors work as locums than doctors with an EEA or UK PMQ. </w:t>
      </w:r>
      <w:bookmarkEnd w:id="8"/>
      <w:r>
        <w:rPr>
          <w:lang w:eastAsia="en-GB"/>
        </w:rPr>
        <w:t xml:space="preserve">Proportionately locum doctors are referred to </w:t>
      </w:r>
      <w:r w:rsidR="005E5736">
        <w:rPr>
          <w:lang w:eastAsia="en-GB"/>
        </w:rPr>
        <w:t xml:space="preserve">FTP procedures </w:t>
      </w:r>
      <w:r>
        <w:rPr>
          <w:lang w:eastAsia="en-GB"/>
        </w:rPr>
        <w:t>more than non-locum doctors.</w:t>
      </w:r>
      <w:bookmarkStart w:id="9" w:name="_Hlk79764000"/>
      <w:r>
        <w:rPr>
          <w:lang w:eastAsia="en-GB"/>
        </w:rPr>
        <w:t xml:space="preserve"> </w:t>
      </w:r>
      <w:r w:rsidR="00632DB2">
        <w:rPr>
          <w:lang w:eastAsia="en-GB"/>
        </w:rPr>
        <w:t xml:space="preserve">We are </w:t>
      </w:r>
      <w:r w:rsidR="00D9197B">
        <w:rPr>
          <w:lang w:eastAsia="en-GB"/>
        </w:rPr>
        <w:t xml:space="preserve">also </w:t>
      </w:r>
      <w:r>
        <w:rPr>
          <w:lang w:eastAsia="en-GB"/>
        </w:rPr>
        <w:t>more likely to investigate complaints about locums than non-locums in all groups except in training.</w:t>
      </w:r>
      <w:bookmarkEnd w:id="9"/>
    </w:p>
    <w:p w14:paraId="4C0AFDAC" w14:textId="74B86F0B" w:rsidR="00C37D53" w:rsidRPr="00F272FD" w:rsidRDefault="00C37D53" w:rsidP="00C37D53">
      <w:pPr>
        <w:pStyle w:val="Heading3"/>
      </w:pPr>
      <w:r w:rsidRPr="00F272FD">
        <w:t>Multiple characteristics</w:t>
      </w:r>
    </w:p>
    <w:p w14:paraId="170A7A24" w14:textId="3CA63D5C" w:rsidR="001B4774" w:rsidRPr="00F272FD" w:rsidRDefault="001B4774" w:rsidP="001B4774">
      <w:pPr>
        <w:pStyle w:val="GMCNumbertext"/>
        <w:numPr>
          <w:ilvl w:val="0"/>
          <w:numId w:val="1"/>
        </w:numPr>
      </w:pPr>
      <w:bookmarkStart w:id="10" w:name="_Hlk90555037"/>
      <w:r w:rsidRPr="00F272FD">
        <w:t>Our work</w:t>
      </w:r>
      <w:r w:rsidR="00B422D5">
        <w:t xml:space="preserve"> on PAs and AAs</w:t>
      </w:r>
      <w:r w:rsidRPr="00F272FD">
        <w:t xml:space="preserve"> revealed that the professional relationships between PAs, AAs </w:t>
      </w:r>
      <w:r w:rsidR="005E5736">
        <w:t xml:space="preserve">and </w:t>
      </w:r>
      <w:r w:rsidRPr="00F272FD">
        <w:t>the doctors who supervise and work alongside them were often not straightforward</w:t>
      </w:r>
      <w:r w:rsidR="005E5736">
        <w:t>.</w:t>
      </w:r>
      <w:r w:rsidRPr="00F272FD">
        <w:t xml:space="preserve"> </w:t>
      </w:r>
      <w:r w:rsidR="005E5736">
        <w:t>A</w:t>
      </w:r>
      <w:r w:rsidRPr="00F272FD">
        <w:t xml:space="preserve">s the </w:t>
      </w:r>
      <w:r w:rsidR="005E5736">
        <w:t xml:space="preserve">new </w:t>
      </w:r>
      <w:r w:rsidRPr="00F272FD">
        <w:t xml:space="preserve">regulator </w:t>
      </w:r>
      <w:r w:rsidR="005E5736">
        <w:t xml:space="preserve">for PAs and AAs, </w:t>
      </w:r>
      <w:r w:rsidRPr="00F272FD">
        <w:t xml:space="preserve">we </w:t>
      </w:r>
      <w:r w:rsidR="005E5736">
        <w:t xml:space="preserve">will </w:t>
      </w:r>
      <w:r w:rsidRPr="00F272FD">
        <w:t>inherit a very mixed picture when it c</w:t>
      </w:r>
      <w:r w:rsidR="005E5736">
        <w:t>omes</w:t>
      </w:r>
      <w:r w:rsidR="00970E72">
        <w:t xml:space="preserve"> </w:t>
      </w:r>
      <w:r w:rsidRPr="00F272FD">
        <w:t xml:space="preserve">to the acceptance and understanding of these roles. </w:t>
      </w:r>
      <w:r w:rsidR="00D9197B" w:rsidRPr="00F272FD">
        <w:t>M</w:t>
      </w:r>
      <w:r w:rsidRPr="00F272FD">
        <w:t xml:space="preserve">any PAs and AAs </w:t>
      </w:r>
      <w:r w:rsidR="005E5736">
        <w:t xml:space="preserve">have </w:t>
      </w:r>
      <w:r w:rsidRPr="00F272FD">
        <w:t xml:space="preserve">had poor experiences in the workplace </w:t>
      </w:r>
      <w:r w:rsidR="007209E5" w:rsidRPr="00F272FD">
        <w:t>because of</w:t>
      </w:r>
      <w:r w:rsidRPr="00F272FD">
        <w:t xml:space="preserve"> the impact of hostility from doctors or other healthcare colleagues about their role. </w:t>
      </w:r>
    </w:p>
    <w:bookmarkEnd w:id="10"/>
    <w:p w14:paraId="582DA6C1" w14:textId="44614370" w:rsidR="00D9197B" w:rsidRDefault="001B4774" w:rsidP="00E43769">
      <w:pPr>
        <w:pStyle w:val="GMCNumbertext"/>
        <w:numPr>
          <w:ilvl w:val="0"/>
          <w:numId w:val="1"/>
        </w:numPr>
      </w:pPr>
      <w:r w:rsidRPr="00130261">
        <w:t xml:space="preserve">Some </w:t>
      </w:r>
      <w:r w:rsidR="00AD682F">
        <w:t>medical professionals</w:t>
      </w:r>
      <w:r w:rsidRPr="00130261">
        <w:t xml:space="preserve"> who don’t directly experience discrimination don’t believe it exists. </w:t>
      </w:r>
    </w:p>
    <w:p w14:paraId="3BFD854A" w14:textId="3EB03D06" w:rsidR="00AA5969" w:rsidRPr="00B718C4" w:rsidRDefault="00D9197B" w:rsidP="00D9197B">
      <w:pPr>
        <w:pStyle w:val="GMCNumbertext"/>
        <w:numPr>
          <w:ilvl w:val="0"/>
          <w:numId w:val="1"/>
        </w:numPr>
      </w:pPr>
      <w:r w:rsidRPr="00D9197B">
        <w:t xml:space="preserve">Recommendations for how to move from a </w:t>
      </w:r>
      <w:r>
        <w:t>‘</w:t>
      </w:r>
      <w:r w:rsidRPr="00D9197B">
        <w:t>blame culture</w:t>
      </w:r>
      <w:r>
        <w:t>’</w:t>
      </w:r>
      <w:r w:rsidRPr="00D9197B">
        <w:t xml:space="preserve"> to a </w:t>
      </w:r>
      <w:r>
        <w:t>‘</w:t>
      </w:r>
      <w:r w:rsidRPr="00D9197B">
        <w:t>just culture</w:t>
      </w:r>
      <w:r>
        <w:t>’</w:t>
      </w:r>
      <w:r w:rsidRPr="00D9197B">
        <w:t xml:space="preserve"> include feedback, </w:t>
      </w:r>
      <w:r w:rsidR="00260AC4">
        <w:t>c</w:t>
      </w:r>
      <w:r w:rsidRPr="00D9197B">
        <w:t xml:space="preserve">larity of the expectations of </w:t>
      </w:r>
      <w:r w:rsidR="004E7AB8">
        <w:t>medical professionals</w:t>
      </w:r>
      <w:r w:rsidRPr="00D9197B">
        <w:t xml:space="preserve"> when something goes wrong, induction, including enhanced induction for </w:t>
      </w:r>
      <w:r w:rsidR="004E7AB8">
        <w:t>medical professionals</w:t>
      </w:r>
      <w:r w:rsidRPr="00D9197B">
        <w:t xml:space="preserve"> who are new to the UK, new to the NHS or at risk of isolation in their roles (including overseas qualified doctors, locums and SAS doctors), and </w:t>
      </w:r>
      <w:r w:rsidR="00B718C4" w:rsidRPr="00D9197B">
        <w:t>equivalent opportunities to learning and development for SAS doctors</w:t>
      </w:r>
      <w:r w:rsidRPr="00D9197B">
        <w:t>.</w:t>
      </w:r>
    </w:p>
    <w:p w14:paraId="2B45683E" w14:textId="456AEDAA" w:rsidR="00B718C4" w:rsidRPr="0014427D" w:rsidRDefault="0014427D" w:rsidP="00E43769">
      <w:pPr>
        <w:pStyle w:val="GMCNumbertext"/>
        <w:numPr>
          <w:ilvl w:val="0"/>
          <w:numId w:val="1"/>
        </w:numPr>
      </w:pPr>
      <w:r w:rsidRPr="0014427D">
        <w:t>Some groups of doctors are referred and investigated at a disproportionate rate. Conversely s</w:t>
      </w:r>
      <w:r w:rsidR="00B718C4" w:rsidRPr="0014427D">
        <w:t xml:space="preserve">ome groups of doctors who are underrepresented in </w:t>
      </w:r>
      <w:r w:rsidR="00A77BF2">
        <w:t>FTP</w:t>
      </w:r>
      <w:r w:rsidR="00970E72">
        <w:t xml:space="preserve"> </w:t>
      </w:r>
      <w:r w:rsidR="00B718C4" w:rsidRPr="0014427D">
        <w:t xml:space="preserve">referrals are from the ‘in’ group where concerns are addressed </w:t>
      </w:r>
      <w:r w:rsidR="007209E5" w:rsidRPr="0014427D">
        <w:t>informally,</w:t>
      </w:r>
      <w:r w:rsidR="00B718C4" w:rsidRPr="0014427D">
        <w:t xml:space="preserve"> and wider factors are more likely to be considered. It was also recognised that some professionals in powerful positions, such as </w:t>
      </w:r>
      <w:r w:rsidR="000D1B42">
        <w:t>‘</w:t>
      </w:r>
      <w:r w:rsidR="00B718C4" w:rsidRPr="0014427D">
        <w:t>substantive consultant posts</w:t>
      </w:r>
      <w:r w:rsidR="000D1B42">
        <w:t>’</w:t>
      </w:r>
      <w:r w:rsidR="00B718C4" w:rsidRPr="0014427D">
        <w:t xml:space="preserve"> were perhaps ‘too big to fail’ (and too costly to replace) and others were instead expected to work around them.</w:t>
      </w:r>
    </w:p>
    <w:p w14:paraId="51BE621A" w14:textId="2356EB0E" w:rsidR="00B718C4" w:rsidRDefault="00B718C4" w:rsidP="00B718C4">
      <w:pPr>
        <w:pStyle w:val="GMCNumbertext"/>
        <w:numPr>
          <w:ilvl w:val="0"/>
          <w:numId w:val="1"/>
        </w:numPr>
      </w:pPr>
      <w:r>
        <w:rPr>
          <w:rFonts w:cs="Tahoma"/>
        </w:rPr>
        <w:t>The increase in</w:t>
      </w:r>
      <w:r w:rsidR="00C03212">
        <w:rPr>
          <w:rFonts w:cs="Tahoma"/>
        </w:rPr>
        <w:t xml:space="preserve"> use of</w:t>
      </w:r>
      <w:r>
        <w:rPr>
          <w:rFonts w:cs="Tahoma"/>
        </w:rPr>
        <w:t xml:space="preserve"> technology will be beneficial to many, however d</w:t>
      </w:r>
      <w:r w:rsidRPr="003B2253">
        <w:rPr>
          <w:color w:val="auto"/>
          <w:kern w:val="32"/>
        </w:rPr>
        <w:t>igital poverty</w:t>
      </w:r>
      <w:r>
        <w:rPr>
          <w:color w:val="auto"/>
          <w:kern w:val="32"/>
        </w:rPr>
        <w:t xml:space="preserve"> is</w:t>
      </w:r>
      <w:r w:rsidRPr="003B2253">
        <w:rPr>
          <w:color w:val="auto"/>
          <w:kern w:val="32"/>
        </w:rPr>
        <w:t xml:space="preserve"> an issue that </w:t>
      </w:r>
      <w:r>
        <w:rPr>
          <w:color w:val="auto"/>
          <w:kern w:val="32"/>
        </w:rPr>
        <w:t xml:space="preserve">can especially </w:t>
      </w:r>
      <w:r w:rsidR="00970E72">
        <w:rPr>
          <w:color w:val="auto"/>
          <w:kern w:val="32"/>
        </w:rPr>
        <w:t>impact</w:t>
      </w:r>
      <w:r w:rsidRPr="003B2253">
        <w:rPr>
          <w:color w:val="auto"/>
          <w:kern w:val="32"/>
        </w:rPr>
        <w:t xml:space="preserve"> people </w:t>
      </w:r>
      <w:bookmarkStart w:id="11" w:name="_Hlk77674606"/>
      <w:r w:rsidRPr="003B2253">
        <w:rPr>
          <w:color w:val="auto"/>
          <w:kern w:val="32"/>
        </w:rPr>
        <w:t>with a disability, people from lower socio-economic backgrounds and people who do not go online for cultural (</w:t>
      </w:r>
      <w:proofErr w:type="spellStart"/>
      <w:proofErr w:type="gramStart"/>
      <w:r w:rsidRPr="003B2253">
        <w:rPr>
          <w:color w:val="auto"/>
          <w:kern w:val="32"/>
        </w:rPr>
        <w:t>eg</w:t>
      </w:r>
      <w:proofErr w:type="spellEnd"/>
      <w:proofErr w:type="gramEnd"/>
      <w:r w:rsidRPr="003B2253">
        <w:rPr>
          <w:color w:val="auto"/>
          <w:kern w:val="32"/>
        </w:rPr>
        <w:t xml:space="preserve"> religious or age) reasons</w:t>
      </w:r>
      <w:bookmarkEnd w:id="11"/>
      <w:r>
        <w:t>. Changes to systems</w:t>
      </w:r>
      <w:r w:rsidR="00C03212">
        <w:t>,</w:t>
      </w:r>
      <w:r>
        <w:t xml:space="preserve"> for example an increase in use of </w:t>
      </w:r>
      <w:r w:rsidR="00C03212">
        <w:t>remote consultations</w:t>
      </w:r>
      <w:r>
        <w:t xml:space="preserve"> during the pandemic</w:t>
      </w:r>
      <w:r w:rsidR="00C03212">
        <w:t>,</w:t>
      </w:r>
      <w:r>
        <w:t xml:space="preserve"> have been introduced without consultation and have</w:t>
      </w:r>
      <w:r w:rsidR="00EB6491">
        <w:t xml:space="preserve"> had</w:t>
      </w:r>
      <w:r>
        <w:t xml:space="preserve"> a negative impact on some groups of patients.</w:t>
      </w:r>
    </w:p>
    <w:p w14:paraId="7884EE6D" w14:textId="5621D11A" w:rsidR="00225997" w:rsidRDefault="008D0555" w:rsidP="003716EB">
      <w:pPr>
        <w:pStyle w:val="Heading2"/>
      </w:pPr>
      <w:r>
        <w:t>Summary of a</w:t>
      </w:r>
      <w:r w:rsidR="00225997">
        <w:t>ctions taken in scoping</w:t>
      </w:r>
      <w:r w:rsidR="00B77D71">
        <w:t xml:space="preserve"> </w:t>
      </w:r>
    </w:p>
    <w:p w14:paraId="44F1C458" w14:textId="4061AD9A" w:rsidR="00225997" w:rsidRDefault="00225997" w:rsidP="00225997">
      <w:pPr>
        <w:pStyle w:val="GMCNumbertext"/>
      </w:pPr>
      <w:r>
        <w:t>In scoping we have considered economic status and country of PMQ in addition to the statutory protected characteristics</w:t>
      </w:r>
      <w:r w:rsidR="003432EA">
        <w:t xml:space="preserve">. This is due to evidence that </w:t>
      </w:r>
      <w:r w:rsidR="00AD682F">
        <w:t>medical professionals</w:t>
      </w:r>
      <w:r w:rsidR="003432EA">
        <w:t xml:space="preserve"> </w:t>
      </w:r>
      <w:r w:rsidR="003432EA">
        <w:lastRenderedPageBreak/>
        <w:t>and/or patients who share these characteristics have different experiences of healthcare.</w:t>
      </w:r>
    </w:p>
    <w:p w14:paraId="1CA3991D" w14:textId="1C696552" w:rsidR="00E13703" w:rsidRDefault="00E13703" w:rsidP="00225997">
      <w:pPr>
        <w:pStyle w:val="GMCNumbertext"/>
      </w:pPr>
      <w:r w:rsidRPr="00E13703">
        <w:t>The</w:t>
      </w:r>
      <w:r>
        <w:t xml:space="preserve"> needs of doctors under different contracts (locums, SAS, LE and LTFT) were considered in scoping and drafting, and they will be </w:t>
      </w:r>
      <w:r w:rsidRPr="00E13703">
        <w:t xml:space="preserve">targeted in </w:t>
      </w:r>
      <w:r>
        <w:t xml:space="preserve">the </w:t>
      </w:r>
      <w:r w:rsidR="003F0D97">
        <w:t xml:space="preserve">public </w:t>
      </w:r>
      <w:r>
        <w:t>consultation</w:t>
      </w:r>
      <w:r w:rsidRPr="00E13703">
        <w:t>.</w:t>
      </w:r>
    </w:p>
    <w:p w14:paraId="4AA7AE3D" w14:textId="1E3A9695" w:rsidR="002C7A28" w:rsidRDefault="00C37D83" w:rsidP="00225997">
      <w:pPr>
        <w:pStyle w:val="GMCNumbertext"/>
      </w:pPr>
      <w:r>
        <w:t>We l</w:t>
      </w:r>
      <w:r w:rsidR="002C7A28">
        <w:t>ooked at other literature to further our understanding of the issues raised by BAPIO</w:t>
      </w:r>
      <w:r w:rsidR="0010338B">
        <w:t xml:space="preserve">’s paper </w:t>
      </w:r>
      <w:r w:rsidR="00657AD0">
        <w:t>‘</w:t>
      </w:r>
      <w:r w:rsidR="002C7A28" w:rsidRPr="007B7774">
        <w:t>Does a Narrow Definition of Medical Professionalism lead to Systemic Bias and Differential Outcomes?</w:t>
      </w:r>
      <w:r w:rsidR="00657AD0">
        <w:t>’</w:t>
      </w:r>
      <w:r w:rsidR="002C7A28">
        <w:t>.</w:t>
      </w:r>
    </w:p>
    <w:p w14:paraId="1F9F5D10" w14:textId="391D0A3A" w:rsidR="0015549C" w:rsidRPr="0015549C" w:rsidRDefault="00C37D83" w:rsidP="0015549C">
      <w:pPr>
        <w:pStyle w:val="GMCNumbertext"/>
      </w:pPr>
      <w:r>
        <w:t>We t</w:t>
      </w:r>
      <w:r w:rsidR="00E13703">
        <w:t xml:space="preserve">ested </w:t>
      </w:r>
      <w:r>
        <w:t xml:space="preserve">the </w:t>
      </w:r>
      <w:r w:rsidR="00E13703">
        <w:t xml:space="preserve">current </w:t>
      </w:r>
      <w:r>
        <w:t xml:space="preserve">version of GMP </w:t>
      </w:r>
      <w:r w:rsidR="00E13703">
        <w:t>against challenges brought by discussions around conversion therapy, virginity testing, hymenoplasties and complimentary medicines. No gaps were identified.</w:t>
      </w:r>
    </w:p>
    <w:p w14:paraId="002A73AB" w14:textId="60C05F6B" w:rsidR="00225997" w:rsidRDefault="008D0555" w:rsidP="003716EB">
      <w:pPr>
        <w:pStyle w:val="Heading2"/>
      </w:pPr>
      <w:r>
        <w:t>Summary of a</w:t>
      </w:r>
      <w:r w:rsidR="00225997">
        <w:t>ctions taken in drafting</w:t>
      </w:r>
    </w:p>
    <w:p w14:paraId="23662E03" w14:textId="35450C5F" w:rsidR="00225997" w:rsidRDefault="00225997" w:rsidP="00225997">
      <w:pPr>
        <w:pStyle w:val="GMCNumbertext"/>
      </w:pPr>
      <w:r>
        <w:t>Set up GMPAF with a diverse group. An understanding of ED&amp;I issues was set out in person specification and in terms of reference for the group.</w:t>
      </w:r>
    </w:p>
    <w:p w14:paraId="1B684840" w14:textId="5A6DDE50" w:rsidR="00720A08" w:rsidRDefault="008D0555" w:rsidP="003432EA">
      <w:pPr>
        <w:pStyle w:val="Heading3"/>
      </w:pPr>
      <w:r>
        <w:t>Cultural competency</w:t>
      </w:r>
    </w:p>
    <w:p w14:paraId="37FBD013" w14:textId="11A05210" w:rsidR="00034DA7" w:rsidRDefault="00034DA7" w:rsidP="00034DA7">
      <w:pPr>
        <w:pStyle w:val="GMCNumbertext"/>
      </w:pPr>
      <w:r>
        <w:t xml:space="preserve">Cultural competency </w:t>
      </w:r>
      <w:r w:rsidR="00C37D83">
        <w:t xml:space="preserve">was </w:t>
      </w:r>
      <w:r>
        <w:t xml:space="preserve">discussed at </w:t>
      </w:r>
      <w:r w:rsidR="00C37D83">
        <w:t xml:space="preserve">the second </w:t>
      </w:r>
      <w:r>
        <w:t xml:space="preserve">GMPAF </w:t>
      </w:r>
      <w:r w:rsidR="00C37D83">
        <w:t>meeting</w:t>
      </w:r>
      <w:r>
        <w:t xml:space="preserve">, </w:t>
      </w:r>
      <w:r w:rsidR="00C37D83">
        <w:t xml:space="preserve">the </w:t>
      </w:r>
      <w:r>
        <w:t>ED&amp;I webinar</w:t>
      </w:r>
      <w:r w:rsidR="00970E72">
        <w:t xml:space="preserve">, </w:t>
      </w:r>
      <w:r>
        <w:t xml:space="preserve">and </w:t>
      </w:r>
      <w:r w:rsidR="00C37D83">
        <w:t xml:space="preserve">the </w:t>
      </w:r>
      <w:r>
        <w:t xml:space="preserve">drafting steering group. Cultural competency and a reflection on own values, beliefs and biases </w:t>
      </w:r>
      <w:r w:rsidR="00657AD0">
        <w:t>was</w:t>
      </w:r>
      <w:r>
        <w:t xml:space="preserve"> broadly accepted and drafting group discussed similar paragraphs in child protection guidance. However</w:t>
      </w:r>
      <w:r w:rsidR="00C37D83">
        <w:t>,</w:t>
      </w:r>
      <w:r>
        <w:t xml:space="preserve"> concerns about the practicalities of </w:t>
      </w:r>
      <w:r w:rsidR="00F85B6C">
        <w:t>medical professionals</w:t>
      </w:r>
      <w:r>
        <w:t xml:space="preserve"> fully understanding the needs of patient populations without falling back on stereotypes, and the risk of non-UK medical cultur</w:t>
      </w:r>
      <w:r w:rsidR="00970E72">
        <w:t>al practices</w:t>
      </w:r>
      <w:r>
        <w:t xml:space="preserve"> being penalised was raised at webinar.</w:t>
      </w:r>
    </w:p>
    <w:p w14:paraId="1170DF41" w14:textId="12548996" w:rsidR="0042688F" w:rsidRDefault="0042688F" w:rsidP="00657AD0">
      <w:pPr>
        <w:pStyle w:val="GMCNumbertext"/>
        <w:numPr>
          <w:ilvl w:val="1"/>
          <w:numId w:val="3"/>
        </w:numPr>
        <w:tabs>
          <w:tab w:val="clear" w:pos="792"/>
          <w:tab w:val="num" w:pos="1418"/>
        </w:tabs>
        <w:ind w:left="1418" w:hanging="992"/>
      </w:pPr>
      <w:r>
        <w:t xml:space="preserve">We have added a new </w:t>
      </w:r>
      <w:r w:rsidR="0010338B">
        <w:t>d</w:t>
      </w:r>
      <w:r>
        <w:t xml:space="preserve">omain </w:t>
      </w:r>
      <w:r w:rsidR="00FA51A9">
        <w:t xml:space="preserve">heading in GMP </w:t>
      </w:r>
      <w:r>
        <w:t>about working in partnership with patients, that has a new suite of duties. There is a duty in the new guidance (paragraph 21) to treat all patients as individuals</w:t>
      </w:r>
      <w:r w:rsidR="00657AD0">
        <w:t>.</w:t>
      </w:r>
    </w:p>
    <w:p w14:paraId="15133932" w14:textId="3AB12904" w:rsidR="00034DA7" w:rsidRPr="00034DA7" w:rsidRDefault="00034DA7" w:rsidP="00657AD0">
      <w:pPr>
        <w:pStyle w:val="GMCNumbertext"/>
        <w:numPr>
          <w:ilvl w:val="1"/>
          <w:numId w:val="3"/>
        </w:numPr>
        <w:tabs>
          <w:tab w:val="clear" w:pos="792"/>
          <w:tab w:val="num" w:pos="1418"/>
        </w:tabs>
        <w:ind w:left="1418" w:hanging="992"/>
      </w:pPr>
      <w:r>
        <w:t xml:space="preserve">New duty added </w:t>
      </w:r>
      <w:r w:rsidR="003179AC">
        <w:t xml:space="preserve">(paragraph 56) </w:t>
      </w:r>
      <w:r>
        <w:t xml:space="preserve">to </w:t>
      </w:r>
      <w:r w:rsidR="00657AD0">
        <w:t>‘</w:t>
      </w:r>
      <w:r w:rsidR="00657AD0" w:rsidRPr="00657AD0">
        <w:t>consider how your attitudes, values, beliefs, perceptions, and personal biases (which may be unconscious) may influence your interactions with others’</w:t>
      </w:r>
      <w:r w:rsidR="003179AC">
        <w:t>.</w:t>
      </w:r>
    </w:p>
    <w:p w14:paraId="0242EFF1" w14:textId="2F9981BD" w:rsidR="00D65924" w:rsidRDefault="00D65924" w:rsidP="003432EA">
      <w:pPr>
        <w:pStyle w:val="Heading3"/>
      </w:pPr>
      <w:r>
        <w:t>Patients’ rights</w:t>
      </w:r>
      <w:r w:rsidR="00135287">
        <w:t>/patient-centred care</w:t>
      </w:r>
    </w:p>
    <w:p w14:paraId="5C8C8FEC" w14:textId="722907E2" w:rsidR="00D65924" w:rsidRDefault="0015549C" w:rsidP="00D65924">
      <w:pPr>
        <w:pStyle w:val="GMCNumbertext"/>
      </w:pPr>
      <w:r>
        <w:t xml:space="preserve">At the ED&amp;I webinar we discussed the </w:t>
      </w:r>
      <w:r w:rsidR="00D65924">
        <w:t xml:space="preserve">balance between </w:t>
      </w:r>
      <w:r w:rsidR="00AD682F">
        <w:t>medical professionals’</w:t>
      </w:r>
      <w:r w:rsidR="00D65924">
        <w:t xml:space="preserve"> rights to be themselves and patients’ rights not to feel pressurised. Attendees were happy with </w:t>
      </w:r>
      <w:r w:rsidR="00935CB4">
        <w:t xml:space="preserve">the </w:t>
      </w:r>
      <w:r w:rsidR="00D65924">
        <w:t>current wording and thought the right balance was achieved.</w:t>
      </w:r>
    </w:p>
    <w:p w14:paraId="4FA6D27B" w14:textId="16719BB4" w:rsidR="0015549C" w:rsidRDefault="00034DA7" w:rsidP="00657AD0">
      <w:pPr>
        <w:pStyle w:val="GMCNumbertext"/>
        <w:numPr>
          <w:ilvl w:val="1"/>
          <w:numId w:val="3"/>
        </w:numPr>
        <w:tabs>
          <w:tab w:val="clear" w:pos="792"/>
          <w:tab w:val="num" w:pos="1418"/>
        </w:tabs>
        <w:ind w:left="1418" w:hanging="992"/>
      </w:pPr>
      <w:r w:rsidRPr="00377F60">
        <w:t>We’ve brought existing guidance</w:t>
      </w:r>
      <w:r>
        <w:t xml:space="preserve"> on patient</w:t>
      </w:r>
      <w:r w:rsidR="00935CB4">
        <w:t xml:space="preserve"> </w:t>
      </w:r>
      <w:r>
        <w:t>centred care</w:t>
      </w:r>
      <w:r w:rsidRPr="00377F60">
        <w:t xml:space="preserve"> together in domain two to give more prominence to patients’ fundamental legal rights, such as </w:t>
      </w:r>
      <w:r w:rsidRPr="00377F60">
        <w:lastRenderedPageBreak/>
        <w:t>rights to dignity and privacy, and to be treated fairly and with respect.</w:t>
      </w:r>
      <w:r>
        <w:t xml:space="preserve"> </w:t>
      </w:r>
      <w:r w:rsidR="00135287">
        <w:t xml:space="preserve">The opening sentences to </w:t>
      </w:r>
      <w:r w:rsidR="003179AC">
        <w:t>d</w:t>
      </w:r>
      <w:r w:rsidR="00135287">
        <w:t xml:space="preserve">omain </w:t>
      </w:r>
      <w:r w:rsidR="003179AC">
        <w:t>two</w:t>
      </w:r>
      <w:r w:rsidR="0015549C">
        <w:t xml:space="preserve"> </w:t>
      </w:r>
      <w:r w:rsidR="00135287">
        <w:t xml:space="preserve">say </w:t>
      </w:r>
      <w:r w:rsidR="003179AC">
        <w:t>‘</w:t>
      </w:r>
      <w:r w:rsidR="003179AC" w:rsidRPr="003179AC">
        <w:t>Good medical professionals treat patients fairly and support them to make decisions about their care by providing tailored information and help to understand it. They act on safeguarding concerns; provide help in emergency situations; and are open and honest with patients if things go wrong</w:t>
      </w:r>
      <w:r w:rsidR="00135287" w:rsidRPr="00997F53">
        <w:t>.</w:t>
      </w:r>
      <w:r w:rsidR="003179AC">
        <w:t>’</w:t>
      </w:r>
      <w:r w:rsidR="0015549C" w:rsidRPr="0015549C">
        <w:t xml:space="preserve"> </w:t>
      </w:r>
    </w:p>
    <w:p w14:paraId="0E500888" w14:textId="64656F6F" w:rsidR="00135287" w:rsidRDefault="0015549C" w:rsidP="00657AD0">
      <w:pPr>
        <w:pStyle w:val="GMCNumbertext"/>
        <w:numPr>
          <w:ilvl w:val="1"/>
          <w:numId w:val="3"/>
        </w:numPr>
        <w:tabs>
          <w:tab w:val="clear" w:pos="792"/>
          <w:tab w:val="num" w:pos="1418"/>
        </w:tabs>
        <w:ind w:left="1418" w:hanging="992"/>
      </w:pPr>
      <w:r>
        <w:t>Reworked duty</w:t>
      </w:r>
      <w:r w:rsidR="003179AC">
        <w:t xml:space="preserve"> (paragraph 33)</w:t>
      </w:r>
      <w:r>
        <w:t xml:space="preserve"> in</w:t>
      </w:r>
      <w:r w:rsidR="003179AC">
        <w:t>cludes</w:t>
      </w:r>
      <w:r>
        <w:t xml:space="preserve"> the wording: ‘All patients have a right to be involved in decisions about their treatment and care’</w:t>
      </w:r>
    </w:p>
    <w:p w14:paraId="4484D6BB" w14:textId="51901431" w:rsidR="000612A6" w:rsidRDefault="000612A6" w:rsidP="000612A6">
      <w:pPr>
        <w:pStyle w:val="GMCNumbertext"/>
      </w:pPr>
      <w:r>
        <w:t xml:space="preserve">GMP was mapped against </w:t>
      </w:r>
      <w:r w:rsidRPr="0010338B">
        <w:rPr>
          <w:i/>
          <w:iCs/>
        </w:rPr>
        <w:t>D</w:t>
      </w:r>
      <w:r w:rsidR="0015549C" w:rsidRPr="0010338B">
        <w:rPr>
          <w:i/>
          <w:iCs/>
        </w:rPr>
        <w:t>ecision making and Consent</w:t>
      </w:r>
      <w:r w:rsidR="0015549C">
        <w:t xml:space="preserve"> </w:t>
      </w:r>
      <w:r w:rsidR="004B6C11">
        <w:t xml:space="preserve">(‘DMC’) guidance </w:t>
      </w:r>
      <w:r>
        <w:t xml:space="preserve">for </w:t>
      </w:r>
      <w:r w:rsidR="00970E72">
        <w:t xml:space="preserve">the second </w:t>
      </w:r>
      <w:r>
        <w:t xml:space="preserve">GMPAF </w:t>
      </w:r>
      <w:r w:rsidR="00970E72">
        <w:t>meeting</w:t>
      </w:r>
      <w:r>
        <w:t xml:space="preserve">. Whether GMP focusses sufficiently on patients’ rights was discussed at </w:t>
      </w:r>
      <w:r w:rsidR="00970E72">
        <w:t xml:space="preserve">this </w:t>
      </w:r>
      <w:r>
        <w:t>GMPAF</w:t>
      </w:r>
      <w:r w:rsidR="00970E72">
        <w:t xml:space="preserve"> meeting</w:t>
      </w:r>
      <w:r>
        <w:t>. Rights-based language, shared/supported decision making and how health inequalities impact different groups were</w:t>
      </w:r>
      <w:r w:rsidR="00935CB4">
        <w:t xml:space="preserve"> also</w:t>
      </w:r>
      <w:r>
        <w:t xml:space="preserve"> discussed. It was proposed that GMP paragraph 27 could be updated to more closely link to</w:t>
      </w:r>
      <w:r w:rsidR="004B6C11">
        <w:t xml:space="preserve"> </w:t>
      </w:r>
      <w:r>
        <w:t xml:space="preserve">DMC </w:t>
      </w:r>
      <w:r w:rsidR="00970E72">
        <w:t xml:space="preserve">guidance </w:t>
      </w:r>
      <w:r>
        <w:t xml:space="preserve">paragraph 72 (DMC </w:t>
      </w:r>
      <w:r w:rsidR="004B6C11">
        <w:t xml:space="preserve">paragraph </w:t>
      </w:r>
      <w:r>
        <w:t>72 references safeguarding).</w:t>
      </w:r>
    </w:p>
    <w:p w14:paraId="372E8B7E" w14:textId="2072BF70" w:rsidR="000612A6" w:rsidRDefault="000612A6" w:rsidP="000612A6">
      <w:pPr>
        <w:pStyle w:val="GMCNumbertext"/>
      </w:pPr>
      <w:r>
        <w:t xml:space="preserve">Given this feedback and data, we’ve incorporated several principles from our </w:t>
      </w:r>
      <w:r w:rsidR="00EB7511">
        <w:t xml:space="preserve">DMC </w:t>
      </w:r>
      <w:r>
        <w:t>guidance into GMP to give them more prominence:</w:t>
      </w:r>
    </w:p>
    <w:p w14:paraId="0FAA2629" w14:textId="636EF1A1" w:rsidR="000612A6" w:rsidRDefault="000612A6" w:rsidP="0015549C">
      <w:pPr>
        <w:pStyle w:val="GMCNumbertext"/>
        <w:numPr>
          <w:ilvl w:val="1"/>
          <w:numId w:val="3"/>
        </w:numPr>
        <w:tabs>
          <w:tab w:val="clear" w:pos="792"/>
          <w:tab w:val="num" w:pos="1418"/>
        </w:tabs>
        <w:ind w:left="1418" w:hanging="992"/>
      </w:pPr>
      <w:r>
        <w:t xml:space="preserve">New duty at paragraph 28, which says that medical professionals </w:t>
      </w:r>
      <w:r w:rsidR="00657AD0">
        <w:t>‘</w:t>
      </w:r>
      <w:r>
        <w:t xml:space="preserve">must try to find out what matters to </w:t>
      </w:r>
      <w:proofErr w:type="gramStart"/>
      <w:r>
        <w:t>patients</w:t>
      </w:r>
      <w:r w:rsidR="00657AD0">
        <w:t>’</w:t>
      </w:r>
      <w:proofErr w:type="gramEnd"/>
      <w:r>
        <w:t xml:space="preserve">. This helps medical professionals </w:t>
      </w:r>
      <w:r w:rsidR="00657AD0">
        <w:t>‘</w:t>
      </w:r>
      <w:r>
        <w:t>share relevant information about the benefits and harms of proposed options and reasonable alternatives, including the option to take no action</w:t>
      </w:r>
      <w:r w:rsidR="00657AD0">
        <w:t>’</w:t>
      </w:r>
      <w:r>
        <w:t xml:space="preserve">. </w:t>
      </w:r>
      <w:r w:rsidR="00EF6AEC">
        <w:t>It also gives patients the opportunity to address non-medical issues such as preferred pronouns.</w:t>
      </w:r>
    </w:p>
    <w:p w14:paraId="0D86AE04" w14:textId="2C3E30DD" w:rsidR="000612A6" w:rsidRDefault="002B5A66" w:rsidP="0015549C">
      <w:pPr>
        <w:pStyle w:val="GMCNumbertext"/>
        <w:numPr>
          <w:ilvl w:val="1"/>
          <w:numId w:val="3"/>
        </w:numPr>
        <w:tabs>
          <w:tab w:val="clear" w:pos="792"/>
          <w:tab w:val="num" w:pos="1418"/>
        </w:tabs>
        <w:ind w:left="1418" w:hanging="992"/>
      </w:pPr>
      <w:r>
        <w:t>The a</w:t>
      </w:r>
      <w:r w:rsidR="000612A6">
        <w:t>mended previous paragraph 32 (now paragraph 34) say</w:t>
      </w:r>
      <w:r>
        <w:t>s</w:t>
      </w:r>
      <w:r w:rsidR="000612A6">
        <w:t xml:space="preserve"> that medical professionals should check the patient’s </w:t>
      </w:r>
      <w:r w:rsidR="00657AD0">
        <w:t>‘</w:t>
      </w:r>
      <w:r w:rsidR="000612A6">
        <w:t>understanding of the information they have been given, and make sure they have the time and support to make informed decisions if they are able</w:t>
      </w:r>
      <w:r w:rsidR="00657AD0">
        <w:t>’</w:t>
      </w:r>
      <w:r w:rsidR="000612A6">
        <w:t>.</w:t>
      </w:r>
    </w:p>
    <w:p w14:paraId="02CE8EFF" w14:textId="65382FCD" w:rsidR="000612A6" w:rsidRDefault="000612A6" w:rsidP="0015549C">
      <w:pPr>
        <w:pStyle w:val="GMCNumbertext"/>
        <w:numPr>
          <w:ilvl w:val="1"/>
          <w:numId w:val="3"/>
        </w:numPr>
        <w:tabs>
          <w:tab w:val="clear" w:pos="792"/>
          <w:tab w:val="num" w:pos="1418"/>
        </w:tabs>
        <w:ind w:left="1418" w:hanging="992"/>
      </w:pPr>
      <w:r>
        <w:t xml:space="preserve">New duty at paragraph 32, which says medical professionals must be aware of </w:t>
      </w:r>
      <w:r w:rsidR="002B5A66">
        <w:t>their duties under relevant legislation (</w:t>
      </w:r>
      <w:r>
        <w:t xml:space="preserve">for example, </w:t>
      </w:r>
      <w:r w:rsidR="002B5A66">
        <w:t>the M</w:t>
      </w:r>
      <w:r>
        <w:t xml:space="preserve">ental </w:t>
      </w:r>
      <w:r w:rsidR="002B5A66">
        <w:t>C</w:t>
      </w:r>
      <w:r>
        <w:t xml:space="preserve">apacity </w:t>
      </w:r>
      <w:r w:rsidR="002B5A66">
        <w:t xml:space="preserve">Act </w:t>
      </w:r>
      <w:r>
        <w:t>and mental health law</w:t>
      </w:r>
      <w:r w:rsidR="004B6C11">
        <w:t>)</w:t>
      </w:r>
      <w:r>
        <w:t xml:space="preserve"> and </w:t>
      </w:r>
      <w:r w:rsidR="002B5A66">
        <w:t xml:space="preserve">must </w:t>
      </w:r>
      <w:r>
        <w:t xml:space="preserve">have regard to the relevant codes of </w:t>
      </w:r>
      <w:r w:rsidR="004B6C11">
        <w:t>practice</w:t>
      </w:r>
      <w:r>
        <w:t xml:space="preserve"> and our </w:t>
      </w:r>
      <w:r w:rsidR="002B5A66">
        <w:t xml:space="preserve">DMC </w:t>
      </w:r>
      <w:r>
        <w:t>guidance. This was identified in engagement as a gap in current GMP.</w:t>
      </w:r>
    </w:p>
    <w:p w14:paraId="24B186B4" w14:textId="734E3B4A" w:rsidR="00034DA7" w:rsidRDefault="000612A6" w:rsidP="00034DA7">
      <w:pPr>
        <w:pStyle w:val="GMCNumbertext"/>
        <w:numPr>
          <w:ilvl w:val="1"/>
          <w:numId w:val="3"/>
        </w:numPr>
        <w:tabs>
          <w:tab w:val="clear" w:pos="792"/>
          <w:tab w:val="num" w:pos="1418"/>
        </w:tabs>
        <w:ind w:left="1418" w:hanging="992"/>
      </w:pPr>
      <w:r>
        <w:t>Added new subparagraph b to existing paragraph 49 (now paragraph 33) to say that information patients need to make decisions about their care includes ‘clear, accurate and up-to-date information, based on the best available evidence, about the potential benefits and risks of harm of available options, including the option to take no action.’</w:t>
      </w:r>
    </w:p>
    <w:p w14:paraId="30122D48" w14:textId="77777777" w:rsidR="007820B4" w:rsidRDefault="007820B4" w:rsidP="007820B4">
      <w:pPr>
        <w:pStyle w:val="Heading3"/>
      </w:pPr>
      <w:r>
        <w:lastRenderedPageBreak/>
        <w:t>Technology</w:t>
      </w:r>
    </w:p>
    <w:p w14:paraId="61B67778" w14:textId="42FBFD5C" w:rsidR="007820B4" w:rsidRDefault="004B6C11" w:rsidP="007820B4">
      <w:pPr>
        <w:pStyle w:val="GMCNumbertext"/>
      </w:pPr>
      <w:r>
        <w:t>The mode</w:t>
      </w:r>
      <w:r w:rsidR="007820B4" w:rsidRPr="00B56AE3">
        <w:t xml:space="preserve"> of care duty has been reworked</w:t>
      </w:r>
      <w:r w:rsidR="00F83AC2">
        <w:t xml:space="preserve"> to align with recently updated prescribing guidance</w:t>
      </w:r>
      <w:r w:rsidR="00EF6AEC">
        <w:t xml:space="preserve"> (paragraph 38)</w:t>
      </w:r>
      <w:r w:rsidR="007854CF">
        <w:t>,</w:t>
      </w:r>
      <w:r w:rsidR="00034DA7">
        <w:t xml:space="preserve"> and </w:t>
      </w:r>
      <w:r w:rsidR="007820B4" w:rsidRPr="00B56AE3">
        <w:t>safety and efficacy of care is prioritised</w:t>
      </w:r>
      <w:r w:rsidR="00034DA7">
        <w:t>.</w:t>
      </w:r>
      <w:r w:rsidR="00EF6AEC">
        <w:t xml:space="preserve"> ‘</w:t>
      </w:r>
      <w:r w:rsidR="00EF6AEC" w:rsidRPr="00EF6AEC">
        <w:t xml:space="preserve">Whether you provide clinical care in a face-to-face setting, or through remote consultations via telephone, video-link, or online services, you must provide safe and effective care. Where possible, you should agree with the patient which mode of consultation is most suitable to their individual needs and circumstances. If you can’t provide safe care through the mode of consultation you are using, you should offer an alternative if possible or signpost to other </w:t>
      </w:r>
      <w:proofErr w:type="gramStart"/>
      <w:r w:rsidR="00EF6AEC" w:rsidRPr="00EF6AEC">
        <w:t>services</w:t>
      </w:r>
      <w:r w:rsidR="00EF6AEC">
        <w:t>’</w:t>
      </w:r>
      <w:proofErr w:type="gramEnd"/>
      <w:r w:rsidR="00EF6AEC">
        <w:t>.</w:t>
      </w:r>
    </w:p>
    <w:p w14:paraId="152A06AF" w14:textId="25D7C53D" w:rsidR="007820B4" w:rsidRDefault="007820B4" w:rsidP="007820B4">
      <w:pPr>
        <w:pStyle w:val="Heading3"/>
      </w:pPr>
      <w:r>
        <w:t>Mental capacity</w:t>
      </w:r>
    </w:p>
    <w:p w14:paraId="6049EB8A" w14:textId="0E5583D3" w:rsidR="00A56974" w:rsidRDefault="007854CF" w:rsidP="00110AF4">
      <w:pPr>
        <w:pStyle w:val="GMCNumbertext"/>
      </w:pPr>
      <w:r>
        <w:t>Inclusion of mental capacity in GMP was d</w:t>
      </w:r>
      <w:r w:rsidR="007820B4">
        <w:t>iscussed at</w:t>
      </w:r>
      <w:r w:rsidR="004B6C11">
        <w:t xml:space="preserve"> the second</w:t>
      </w:r>
      <w:r w:rsidR="007820B4">
        <w:t xml:space="preserve"> GMPAF</w:t>
      </w:r>
      <w:r w:rsidR="004B6C11">
        <w:t xml:space="preserve"> meeting</w:t>
      </w:r>
      <w:r w:rsidR="007820B4">
        <w:t xml:space="preserve">. It was acknowledged that due to </w:t>
      </w:r>
      <w:r w:rsidR="00BB4CE0">
        <w:t xml:space="preserve">legislative </w:t>
      </w:r>
      <w:r w:rsidR="007820B4">
        <w:t>differences across the UK it would be difficult to cover capacity in any depth in GMP.</w:t>
      </w:r>
      <w:r>
        <w:t xml:space="preserve"> Following suggestions </w:t>
      </w:r>
      <w:r w:rsidR="004B6C11">
        <w:t xml:space="preserve">from </w:t>
      </w:r>
      <w:r>
        <w:t xml:space="preserve">GMPAF we looked </w:t>
      </w:r>
      <w:r w:rsidRPr="00E0118C">
        <w:t xml:space="preserve">across the whole of </w:t>
      </w:r>
      <w:r w:rsidR="00BB4CE0">
        <w:t xml:space="preserve">GMP </w:t>
      </w:r>
      <w:r w:rsidRPr="00E0118C">
        <w:t>for opportunities to make appropriate and relevant references to children and to people who lack capacity.</w:t>
      </w:r>
    </w:p>
    <w:p w14:paraId="026EED7D" w14:textId="748EE246" w:rsidR="00110AF4" w:rsidRPr="00A56974" w:rsidRDefault="007820B4" w:rsidP="00A56974">
      <w:pPr>
        <w:pStyle w:val="GMCNumbertext"/>
        <w:numPr>
          <w:ilvl w:val="1"/>
          <w:numId w:val="3"/>
        </w:numPr>
        <w:tabs>
          <w:tab w:val="clear" w:pos="792"/>
          <w:tab w:val="num" w:pos="1418"/>
        </w:tabs>
        <w:ind w:left="1418" w:hanging="992"/>
      </w:pPr>
      <w:r w:rsidRPr="00DD74AA">
        <w:t xml:space="preserve">In </w:t>
      </w:r>
      <w:r w:rsidR="00A56974">
        <w:t xml:space="preserve">the revised </w:t>
      </w:r>
      <w:r>
        <w:t>GMP</w:t>
      </w:r>
      <w:r w:rsidR="00BB4CE0">
        <w:t>,</w:t>
      </w:r>
      <w:r>
        <w:t xml:space="preserve"> </w:t>
      </w:r>
      <w:r w:rsidRPr="00DD74AA">
        <w:t>mental capacity is referenced</w:t>
      </w:r>
      <w:r w:rsidR="00110AF4">
        <w:t xml:space="preserve"> in paragraph 32 ‘</w:t>
      </w:r>
      <w:r w:rsidR="00110AF4" w:rsidRPr="00A56974">
        <w:t>You must start from the presumption that all adult patients have capacity to make decisions about their treatment and care.’</w:t>
      </w:r>
    </w:p>
    <w:p w14:paraId="674EFFA5" w14:textId="5676F387" w:rsidR="007820B4" w:rsidRDefault="007820B4" w:rsidP="007820B4">
      <w:pPr>
        <w:pStyle w:val="Heading3"/>
      </w:pPr>
      <w:r>
        <w:t>Disabled patients and patients who require translation/interpretation</w:t>
      </w:r>
    </w:p>
    <w:p w14:paraId="3EC00B68" w14:textId="01AEFD96" w:rsidR="00F52D55" w:rsidRDefault="00BB4CE0" w:rsidP="00F52D55">
      <w:pPr>
        <w:pStyle w:val="GMCNumbertext"/>
      </w:pPr>
      <w:r>
        <w:t xml:space="preserve">We have tested paragraph 60 of the current version of </w:t>
      </w:r>
      <w:proofErr w:type="gramStart"/>
      <w:r w:rsidR="007820B4" w:rsidRPr="008A7FF7">
        <w:t xml:space="preserve">GMP  </w:t>
      </w:r>
      <w:r>
        <w:t>(</w:t>
      </w:r>
      <w:proofErr w:type="gramEnd"/>
      <w:r>
        <w:t>which concerns</w:t>
      </w:r>
      <w:r w:rsidR="007820B4" w:rsidRPr="008A7FF7">
        <w:t xml:space="preserve"> reasonable adjustments</w:t>
      </w:r>
      <w:r>
        <w:t>)</w:t>
      </w:r>
      <w:r w:rsidR="004B6C11">
        <w:t xml:space="preserve"> </w:t>
      </w:r>
      <w:r>
        <w:t xml:space="preserve">at </w:t>
      </w:r>
      <w:r w:rsidR="007820B4" w:rsidRPr="008A7FF7">
        <w:t>ED</w:t>
      </w:r>
      <w:r>
        <w:t>&amp;</w:t>
      </w:r>
      <w:r w:rsidR="007820B4" w:rsidRPr="008A7FF7">
        <w:t>I webinars.</w:t>
      </w:r>
    </w:p>
    <w:p w14:paraId="3CD25DFC" w14:textId="1F63799D" w:rsidR="007820B4" w:rsidRDefault="007820B4" w:rsidP="00BB4CE0">
      <w:pPr>
        <w:pStyle w:val="GMCNumbertext"/>
      </w:pPr>
      <w:r>
        <w:t>Where we mention patient rights and needs in the new draft (Domain 3</w:t>
      </w:r>
      <w:r w:rsidR="0056434A">
        <w:t>, paragraph</w:t>
      </w:r>
      <w:r w:rsidR="00F52D55">
        <w:t>s 27-</w:t>
      </w:r>
      <w:r w:rsidR="0056434A">
        <w:t>29</w:t>
      </w:r>
      <w:r>
        <w:t xml:space="preserve">) we are explicit. New wording is about </w:t>
      </w:r>
      <w:r w:rsidR="00F52D55">
        <w:t xml:space="preserve">listening and responding openly to patients, trying to ‘find out what matters to patients so you can share relevant information’ and </w:t>
      </w:r>
      <w:r>
        <w:t xml:space="preserve">taking </w:t>
      </w:r>
      <w:r w:rsidR="0056434A">
        <w:t>‘</w:t>
      </w:r>
      <w:r>
        <w:t>all reasonable steps to meet patient</w:t>
      </w:r>
      <w:r w:rsidR="00F52D55">
        <w:t>s</w:t>
      </w:r>
      <w:r>
        <w:t>’</w:t>
      </w:r>
      <w:r w:rsidR="0056434A">
        <w:t xml:space="preserve"> language and</w:t>
      </w:r>
      <w:r>
        <w:t xml:space="preserve"> communication </w:t>
      </w:r>
      <w:proofErr w:type="gramStart"/>
      <w:r>
        <w:t>needs</w:t>
      </w:r>
      <w:r w:rsidR="0056434A">
        <w:t>’</w:t>
      </w:r>
      <w:proofErr w:type="gramEnd"/>
      <w:r>
        <w:t>.</w:t>
      </w:r>
      <w:r w:rsidR="00F52D55">
        <w:t xml:space="preserve"> </w:t>
      </w:r>
    </w:p>
    <w:p w14:paraId="6D6C4F28" w14:textId="77777777" w:rsidR="007820B4" w:rsidRDefault="007820B4" w:rsidP="007820B4">
      <w:pPr>
        <w:pStyle w:val="Heading3"/>
      </w:pPr>
      <w:r>
        <w:t>Supporting ill or disabled colleagues</w:t>
      </w:r>
    </w:p>
    <w:p w14:paraId="4B11BC91" w14:textId="39BC1214" w:rsidR="0015549C" w:rsidRPr="00F52D55" w:rsidRDefault="0015549C" w:rsidP="0015549C">
      <w:pPr>
        <w:pStyle w:val="GMCNumbertext"/>
      </w:pPr>
      <w:r w:rsidRPr="00F52D55">
        <w:t xml:space="preserve">In </w:t>
      </w:r>
      <w:r w:rsidR="00BB4CE0">
        <w:t xml:space="preserve">our </w:t>
      </w:r>
      <w:r w:rsidRPr="00F52D55">
        <w:t xml:space="preserve">pre-consultation </w:t>
      </w:r>
      <w:proofErr w:type="gramStart"/>
      <w:r w:rsidRPr="00F52D55">
        <w:t>engagement</w:t>
      </w:r>
      <w:proofErr w:type="gramEnd"/>
      <w:r w:rsidRPr="00F52D55">
        <w:t xml:space="preserve"> we gathered information about the application of paragraph 28 </w:t>
      </w:r>
      <w:r w:rsidR="00F52D55" w:rsidRPr="00F52D55">
        <w:t xml:space="preserve">in </w:t>
      </w:r>
      <w:r w:rsidR="00BB4CE0">
        <w:t xml:space="preserve">the current version of </w:t>
      </w:r>
      <w:r w:rsidR="00BB4CE0" w:rsidRPr="008A7FF7">
        <w:t xml:space="preserve">GMP </w:t>
      </w:r>
      <w:r w:rsidRPr="00F52D55">
        <w:t>for doctors who disclose a disability or health condition with stakeholders who represent disabled doctors.</w:t>
      </w:r>
    </w:p>
    <w:p w14:paraId="1120CD80" w14:textId="463D3F65" w:rsidR="007820B4" w:rsidRDefault="004B674D" w:rsidP="00791EAD">
      <w:pPr>
        <w:pStyle w:val="GMCNumbertext"/>
      </w:pPr>
      <w:r>
        <w:t xml:space="preserve">This was also discussed </w:t>
      </w:r>
      <w:r w:rsidR="007820B4">
        <w:t xml:space="preserve">at </w:t>
      </w:r>
      <w:r w:rsidR="004B6C11">
        <w:t xml:space="preserve">ED&amp;I </w:t>
      </w:r>
      <w:r w:rsidR="007820B4">
        <w:t>webinars</w:t>
      </w:r>
      <w:r>
        <w:t xml:space="preserve"> where c</w:t>
      </w:r>
      <w:r w:rsidR="007820B4">
        <w:t xml:space="preserve">oncerns around training were raised. It was suggested that </w:t>
      </w:r>
      <w:proofErr w:type="gramStart"/>
      <w:r w:rsidR="007820B4">
        <w:t>outcome based</w:t>
      </w:r>
      <w:proofErr w:type="gramEnd"/>
      <w:r w:rsidR="007820B4">
        <w:t xml:space="preserve"> evaluation may support </w:t>
      </w:r>
      <w:r w:rsidR="00AD682F">
        <w:t>medical professionals</w:t>
      </w:r>
      <w:r w:rsidR="007820B4">
        <w:t xml:space="preserve"> who work differently due to a disability. </w:t>
      </w:r>
      <w:r>
        <w:t xml:space="preserve">Following suggestions at the webinar we </w:t>
      </w:r>
      <w:r w:rsidR="007820B4" w:rsidRPr="009F29B8">
        <w:t xml:space="preserve">compared GMP to the positions in </w:t>
      </w:r>
      <w:r w:rsidR="007820B4" w:rsidRPr="00A56974">
        <w:rPr>
          <w:i/>
          <w:iCs/>
        </w:rPr>
        <w:t>Welcomed and Valued</w:t>
      </w:r>
      <w:r w:rsidR="007820B4" w:rsidRPr="009F29B8">
        <w:t>.</w:t>
      </w:r>
    </w:p>
    <w:p w14:paraId="46EEDB49" w14:textId="3373EE0B" w:rsidR="004B674D" w:rsidRDefault="00CA492A" w:rsidP="004B674D">
      <w:pPr>
        <w:pStyle w:val="GMCNumbertext"/>
      </w:pPr>
      <w:r>
        <w:lastRenderedPageBreak/>
        <w:t>We m</w:t>
      </w:r>
      <w:r w:rsidR="004B674D" w:rsidRPr="00827789">
        <w:t xml:space="preserve">et with </w:t>
      </w:r>
      <w:r w:rsidR="004B674D">
        <w:t xml:space="preserve">colleagues who worked on </w:t>
      </w:r>
      <w:r w:rsidR="004B674D" w:rsidRPr="00A56974">
        <w:rPr>
          <w:i/>
          <w:iCs/>
        </w:rPr>
        <w:t xml:space="preserve">Welcomed and </w:t>
      </w:r>
      <w:r w:rsidR="0010338B">
        <w:rPr>
          <w:i/>
          <w:iCs/>
        </w:rPr>
        <w:t>v</w:t>
      </w:r>
      <w:r w:rsidR="004B674D" w:rsidRPr="00A56974">
        <w:rPr>
          <w:i/>
          <w:iCs/>
        </w:rPr>
        <w:t>alued</w:t>
      </w:r>
      <w:r w:rsidR="004B674D" w:rsidRPr="00827789">
        <w:t xml:space="preserve"> </w:t>
      </w:r>
      <w:r w:rsidR="004B674D">
        <w:t>to understand if we could further support the progress made in this workstream.</w:t>
      </w:r>
      <w:r w:rsidR="004B674D" w:rsidRPr="00827789">
        <w:t xml:space="preserve"> There are no changes to </w:t>
      </w:r>
      <w:r>
        <w:t xml:space="preserve">medical </w:t>
      </w:r>
      <w:r w:rsidR="004B674D" w:rsidRPr="00827789">
        <w:t xml:space="preserve">curricula or </w:t>
      </w:r>
      <w:r w:rsidR="00A56974">
        <w:t>quality assurance</w:t>
      </w:r>
      <w:r w:rsidR="004B674D" w:rsidRPr="00827789">
        <w:t xml:space="preserve"> of education that need to be reflected in GMP.</w:t>
      </w:r>
    </w:p>
    <w:p w14:paraId="3660EEEB" w14:textId="77FCE0EF" w:rsidR="004B674D" w:rsidRDefault="004B674D" w:rsidP="00791EAD">
      <w:pPr>
        <w:pStyle w:val="GMCNumbertext"/>
      </w:pPr>
      <w:r>
        <w:t xml:space="preserve">Changes have been made to the </w:t>
      </w:r>
      <w:r w:rsidR="00CA492A">
        <w:t xml:space="preserve">new </w:t>
      </w:r>
      <w:r>
        <w:t xml:space="preserve">draft </w:t>
      </w:r>
      <w:r w:rsidR="00CA492A">
        <w:t>of GMP</w:t>
      </w:r>
      <w:r>
        <w:t xml:space="preserve"> to support ill or disabled </w:t>
      </w:r>
      <w:r w:rsidR="00CA492A">
        <w:t>medical professionals:</w:t>
      </w:r>
    </w:p>
    <w:p w14:paraId="3CEB204C" w14:textId="6092ED47" w:rsidR="00A56974" w:rsidRDefault="007820B4" w:rsidP="00453490">
      <w:pPr>
        <w:pStyle w:val="GMCNumbertext"/>
        <w:numPr>
          <w:ilvl w:val="1"/>
          <w:numId w:val="3"/>
        </w:numPr>
        <w:tabs>
          <w:tab w:val="clear" w:pos="792"/>
          <w:tab w:val="num" w:pos="1418"/>
        </w:tabs>
        <w:ind w:left="1418" w:hanging="992"/>
      </w:pPr>
      <w:r w:rsidRPr="00900947">
        <w:t>Para</w:t>
      </w:r>
      <w:r w:rsidR="004B674D">
        <w:t>graph</w:t>
      </w:r>
      <w:r w:rsidRPr="00900947">
        <w:t xml:space="preserve"> 6</w:t>
      </w:r>
      <w:r w:rsidR="00213FE9">
        <w:t>2</w:t>
      </w:r>
      <w:r w:rsidRPr="00900947">
        <w:t xml:space="preserve"> talks about demonstrating leadership </w:t>
      </w:r>
      <w:r w:rsidR="00A56974">
        <w:t>‘</w:t>
      </w:r>
      <w:r w:rsidR="00A56974" w:rsidRPr="007F25B4">
        <w:rPr>
          <w:rFonts w:cstheme="minorHAnsi"/>
          <w:lang w:val="en"/>
        </w:rPr>
        <w:t>to make healthcare environments more supportive, inclusive and fair</w:t>
      </w:r>
      <w:r w:rsidR="00A56974">
        <w:rPr>
          <w:rFonts w:cstheme="minorHAnsi"/>
          <w:lang w:val="en"/>
        </w:rPr>
        <w:t>.’</w:t>
      </w:r>
      <w:r w:rsidR="00A56974">
        <w:t xml:space="preserve"> </w:t>
      </w:r>
    </w:p>
    <w:p w14:paraId="5223CE01" w14:textId="160DC03A" w:rsidR="007820B4" w:rsidRDefault="007820B4" w:rsidP="00453490">
      <w:pPr>
        <w:pStyle w:val="GMCNumbertext"/>
        <w:numPr>
          <w:ilvl w:val="1"/>
          <w:numId w:val="3"/>
        </w:numPr>
        <w:tabs>
          <w:tab w:val="clear" w:pos="792"/>
          <w:tab w:val="num" w:pos="1418"/>
        </w:tabs>
        <w:ind w:left="1418" w:hanging="992"/>
      </w:pPr>
      <w:r>
        <w:t>Para</w:t>
      </w:r>
      <w:r w:rsidR="004B674D">
        <w:t>graph</w:t>
      </w:r>
      <w:r>
        <w:t xml:space="preserve"> 6</w:t>
      </w:r>
      <w:r w:rsidR="00213FE9">
        <w:t>4</w:t>
      </w:r>
      <w:r>
        <w:t xml:space="preserve"> </w:t>
      </w:r>
      <w:r w:rsidR="00CA492A">
        <w:t>i</w:t>
      </w:r>
      <w:r>
        <w:t xml:space="preserve">s about supporting colleagues who have issues with their health and offering support and help. </w:t>
      </w:r>
    </w:p>
    <w:p w14:paraId="42A2D78D" w14:textId="2BFB2644" w:rsidR="007820B4" w:rsidRDefault="00CA492A" w:rsidP="00D46F5F">
      <w:pPr>
        <w:pStyle w:val="GMCNumbertext"/>
        <w:numPr>
          <w:ilvl w:val="1"/>
          <w:numId w:val="3"/>
        </w:numPr>
        <w:tabs>
          <w:tab w:val="clear" w:pos="792"/>
          <w:tab w:val="num" w:pos="1418"/>
        </w:tabs>
        <w:ind w:left="1418" w:hanging="992"/>
      </w:pPr>
      <w:r>
        <w:t xml:space="preserve">The introduction to </w:t>
      </w:r>
      <w:r w:rsidR="00456FDC">
        <w:t>d</w:t>
      </w:r>
      <w:r w:rsidR="007820B4">
        <w:t xml:space="preserve">omain </w:t>
      </w:r>
      <w:r>
        <w:t>one</w:t>
      </w:r>
      <w:r w:rsidR="007820B4">
        <w:t xml:space="preserve"> frames the new duties in terms of prioritising patient safety alongside </w:t>
      </w:r>
      <w:r>
        <w:t xml:space="preserve">the </w:t>
      </w:r>
      <w:r w:rsidR="007820B4">
        <w:t>wellbeing</w:t>
      </w:r>
      <w:r>
        <w:t xml:space="preserve"> of medical professionals</w:t>
      </w:r>
      <w:r w:rsidR="00A56974">
        <w:t>,</w:t>
      </w:r>
      <w:r w:rsidR="007820B4">
        <w:t xml:space="preserve"> and </w:t>
      </w:r>
      <w:r>
        <w:t xml:space="preserve">the </w:t>
      </w:r>
      <w:r w:rsidR="007820B4">
        <w:t>recognition of wellbeing of individuals and teams underpins many of the new duties here.</w:t>
      </w:r>
    </w:p>
    <w:p w14:paraId="7C17F94E" w14:textId="77777777" w:rsidR="00D46F5F" w:rsidRDefault="00D46F5F" w:rsidP="00D46F5F">
      <w:pPr>
        <w:pStyle w:val="Heading3"/>
      </w:pPr>
      <w:r>
        <w:t>Challenging discrimination</w:t>
      </w:r>
    </w:p>
    <w:p w14:paraId="3D61284D" w14:textId="1356608A" w:rsidR="00D65924" w:rsidRDefault="004B674D" w:rsidP="00D65924">
      <w:pPr>
        <w:pStyle w:val="GMCNumbertext"/>
      </w:pPr>
      <w:r>
        <w:t>Discrimination by patients was d</w:t>
      </w:r>
      <w:r w:rsidR="00D65924">
        <w:t xml:space="preserve">iscussed at </w:t>
      </w:r>
      <w:r w:rsidR="00B22358">
        <w:t xml:space="preserve">the second </w:t>
      </w:r>
      <w:r w:rsidR="00D65924">
        <w:t xml:space="preserve">GMPAF </w:t>
      </w:r>
      <w:r w:rsidR="00B22358">
        <w:t>meeting,</w:t>
      </w:r>
      <w:r>
        <w:t xml:space="preserve"> where cultural norms for different patients was raised</w:t>
      </w:r>
      <w:r w:rsidR="00D65924">
        <w:t xml:space="preserve">. </w:t>
      </w:r>
      <w:r>
        <w:t xml:space="preserve">We discussed </w:t>
      </w:r>
      <w:r w:rsidR="00D65924">
        <w:t>whether this is separate from, or a part of</w:t>
      </w:r>
      <w:r w:rsidR="00B22358">
        <w:t xml:space="preserve">, </w:t>
      </w:r>
      <w:r w:rsidR="00D65924">
        <w:t xml:space="preserve">acceptable behaviour and challenging poor behaviour by patients and colleagues. </w:t>
      </w:r>
    </w:p>
    <w:p w14:paraId="4A65C5C6" w14:textId="6FFB24CB" w:rsidR="00D65924" w:rsidRDefault="00CA492A" w:rsidP="00A56974">
      <w:pPr>
        <w:pStyle w:val="GMCNumbertext"/>
        <w:numPr>
          <w:ilvl w:val="1"/>
          <w:numId w:val="3"/>
        </w:numPr>
        <w:tabs>
          <w:tab w:val="clear" w:pos="792"/>
          <w:tab w:val="num" w:pos="1418"/>
        </w:tabs>
        <w:ind w:left="1418" w:hanging="992"/>
      </w:pPr>
      <w:r>
        <w:t>We have added a n</w:t>
      </w:r>
      <w:r w:rsidR="00D65924">
        <w:t xml:space="preserve">ew duty into Domain </w:t>
      </w:r>
      <w:r>
        <w:t>two</w:t>
      </w:r>
      <w:r w:rsidR="00D65924">
        <w:t xml:space="preserve"> </w:t>
      </w:r>
      <w:r w:rsidR="00213FE9">
        <w:t xml:space="preserve">(paragraph 44) </w:t>
      </w:r>
      <w:r w:rsidR="00D65924">
        <w:t xml:space="preserve">about instances where the patient poses a risk to </w:t>
      </w:r>
      <w:r w:rsidR="00AD682F">
        <w:t>medical professionals</w:t>
      </w:r>
      <w:r w:rsidR="00D65924">
        <w:t xml:space="preserve">. </w:t>
      </w:r>
      <w:r w:rsidR="00AD682F">
        <w:t>Medical professionals</w:t>
      </w:r>
      <w:r w:rsidR="00D65924">
        <w:t xml:space="preserve"> </w:t>
      </w:r>
      <w:r w:rsidR="00213FE9">
        <w:t>‘</w:t>
      </w:r>
      <w:r w:rsidR="00D65924">
        <w:t>should take all available steps to minimise the risk before provid</w:t>
      </w:r>
      <w:r w:rsidR="00030083">
        <w:t>ing treatment</w:t>
      </w:r>
      <w:r w:rsidR="00D65924">
        <w:t xml:space="preserve"> or making suitable alternative arrangements for treatment.</w:t>
      </w:r>
      <w:r w:rsidR="00030083">
        <w:t>’</w:t>
      </w:r>
      <w:r w:rsidR="004B674D">
        <w:t xml:space="preserve"> The old version of this paragraph specifically talked about not denying </w:t>
      </w:r>
      <w:r w:rsidR="00657AD0">
        <w:t>‘</w:t>
      </w:r>
      <w:r w:rsidR="004B674D">
        <w:t>treatment to patients because their medical condition may put you at risk</w:t>
      </w:r>
      <w:r w:rsidR="00657AD0">
        <w:t>’</w:t>
      </w:r>
      <w:r w:rsidR="004B674D">
        <w:t xml:space="preserve">, but the </w:t>
      </w:r>
      <w:r w:rsidR="00030083">
        <w:t>revised</w:t>
      </w:r>
      <w:r w:rsidR="004B674D">
        <w:t xml:space="preserve"> wording is clearer </w:t>
      </w:r>
      <w:r>
        <w:t xml:space="preserve">and includes </w:t>
      </w:r>
      <w:r w:rsidR="004B674D">
        <w:t>non-medical risks to safety.</w:t>
      </w:r>
    </w:p>
    <w:p w14:paraId="0E7630B9" w14:textId="0073918D" w:rsidR="007820B4" w:rsidRDefault="00CA492A" w:rsidP="007820B4">
      <w:pPr>
        <w:pStyle w:val="GMCNumbertext"/>
      </w:pPr>
      <w:r>
        <w:t>The d</w:t>
      </w:r>
      <w:r w:rsidR="007820B4">
        <w:t xml:space="preserve">uty to challenge discrimination </w:t>
      </w:r>
      <w:r w:rsidR="004B674D">
        <w:t xml:space="preserve">was also </w:t>
      </w:r>
      <w:r w:rsidR="007820B4">
        <w:t xml:space="preserve">discussed at </w:t>
      </w:r>
      <w:r w:rsidR="00B22358">
        <w:t xml:space="preserve">the second </w:t>
      </w:r>
      <w:r w:rsidR="007820B4">
        <w:t xml:space="preserve">GMPAF </w:t>
      </w:r>
      <w:r w:rsidR="00B22358">
        <w:t>meeting</w:t>
      </w:r>
      <w:r w:rsidR="007820B4">
        <w:t xml:space="preserve">. There was support for the following proposals: strengthening the language of existing duties, </w:t>
      </w:r>
      <w:r>
        <w:t xml:space="preserve">being more explicit about </w:t>
      </w:r>
      <w:r w:rsidR="007820B4">
        <w:t>the behaviours – such as bullying</w:t>
      </w:r>
      <w:r w:rsidR="00935CB4">
        <w:t xml:space="preserve"> and </w:t>
      </w:r>
      <w:r w:rsidR="007820B4">
        <w:t>harassment – that are not acceptable</w:t>
      </w:r>
      <w:r>
        <w:t>,</w:t>
      </w:r>
      <w:r w:rsidR="007820B4">
        <w:t xml:space="preserve"> articulating clearer expectations in terms of </w:t>
      </w:r>
      <w:r>
        <w:t xml:space="preserve">medical professionals </w:t>
      </w:r>
      <w:r w:rsidR="007820B4">
        <w:t>challenging discrimination</w:t>
      </w:r>
      <w:r>
        <w:t>,</w:t>
      </w:r>
      <w:r w:rsidR="007820B4">
        <w:t xml:space="preserve"> </w:t>
      </w:r>
      <w:r w:rsidR="00935CB4">
        <w:t xml:space="preserve">and </w:t>
      </w:r>
      <w:r w:rsidR="007820B4">
        <w:t xml:space="preserve">requiring </w:t>
      </w:r>
      <w:r>
        <w:t xml:space="preserve">medical professionals </w:t>
      </w:r>
      <w:r w:rsidR="007820B4">
        <w:t xml:space="preserve">to take an active stance </w:t>
      </w:r>
      <w:r>
        <w:t xml:space="preserve">to </w:t>
      </w:r>
      <w:r w:rsidR="007820B4">
        <w:t>promot</w:t>
      </w:r>
      <w:r>
        <w:t>e</w:t>
      </w:r>
      <w:r w:rsidR="007820B4">
        <w:t xml:space="preserve"> </w:t>
      </w:r>
      <w:r>
        <w:t>ED&amp;I.</w:t>
      </w:r>
    </w:p>
    <w:p w14:paraId="0FA6479B" w14:textId="1C301AC3" w:rsidR="00030083" w:rsidRPr="00030083" w:rsidRDefault="00CA492A" w:rsidP="00DF7ABA">
      <w:pPr>
        <w:pStyle w:val="GMCNumbertext"/>
        <w:rPr>
          <w:rFonts w:cstheme="minorHAnsi"/>
        </w:rPr>
      </w:pPr>
      <w:r>
        <w:t>The d</w:t>
      </w:r>
      <w:r w:rsidR="007820B4" w:rsidRPr="007C2741">
        <w:t>uty to tackle discrimination and actively advance equality</w:t>
      </w:r>
      <w:r w:rsidR="007820B4">
        <w:t xml:space="preserve"> </w:t>
      </w:r>
      <w:r w:rsidR="00D46F5F">
        <w:t xml:space="preserve">was </w:t>
      </w:r>
      <w:r w:rsidR="007820B4">
        <w:t>discussed at</w:t>
      </w:r>
      <w:r w:rsidR="00D46F5F">
        <w:t xml:space="preserve"> the</w:t>
      </w:r>
      <w:r w:rsidR="007820B4">
        <w:t xml:space="preserve"> drafting steering group. </w:t>
      </w:r>
      <w:r>
        <w:t xml:space="preserve">The question of when or if </w:t>
      </w:r>
      <w:r w:rsidR="007820B4">
        <w:t xml:space="preserve">failure to challenge or report discrimination would meet the threshold for </w:t>
      </w:r>
      <w:r>
        <w:t xml:space="preserve">FTP referral </w:t>
      </w:r>
      <w:r w:rsidR="007820B4">
        <w:t>was discussed</w:t>
      </w:r>
      <w:r w:rsidR="00B22358">
        <w:t>, a</w:t>
      </w:r>
      <w:r>
        <w:t xml:space="preserve">s was the </w:t>
      </w:r>
      <w:r w:rsidR="007820B4">
        <w:t xml:space="preserve">concern about </w:t>
      </w:r>
      <w:r w:rsidR="00AD682F">
        <w:t>medical professionals</w:t>
      </w:r>
      <w:r w:rsidR="007820B4">
        <w:t xml:space="preserve"> new to </w:t>
      </w:r>
      <w:r w:rsidR="00935CB4">
        <w:t xml:space="preserve">the </w:t>
      </w:r>
      <w:r w:rsidR="007820B4">
        <w:t xml:space="preserve">UK being forced into disciplinary processes for behaviour that would be better dealt with through a supportive process. </w:t>
      </w:r>
    </w:p>
    <w:p w14:paraId="6675C798" w14:textId="385442C8" w:rsidR="007820B4" w:rsidRPr="00A56974" w:rsidRDefault="007820B4" w:rsidP="00A56974">
      <w:pPr>
        <w:pStyle w:val="GMCNumbertext"/>
        <w:numPr>
          <w:ilvl w:val="1"/>
          <w:numId w:val="3"/>
        </w:numPr>
        <w:tabs>
          <w:tab w:val="clear" w:pos="792"/>
          <w:tab w:val="num" w:pos="1418"/>
        </w:tabs>
        <w:ind w:left="1418" w:hanging="992"/>
      </w:pPr>
      <w:r>
        <w:lastRenderedPageBreak/>
        <w:t>Duty added</w:t>
      </w:r>
      <w:r w:rsidR="00030083">
        <w:t xml:space="preserve"> (paragraph 7)</w:t>
      </w:r>
      <w:r>
        <w:t xml:space="preserve"> to </w:t>
      </w:r>
      <w:proofErr w:type="gramStart"/>
      <w:r>
        <w:t>take action</w:t>
      </w:r>
      <w:proofErr w:type="gramEnd"/>
      <w:r>
        <w:t xml:space="preserve"> </w:t>
      </w:r>
      <w:r w:rsidR="00030083">
        <w:t>‘</w:t>
      </w:r>
      <w:r w:rsidR="00030083" w:rsidRPr="00A56974">
        <w:t>if you witness or are made aware of bullying, harassment, or unfair discrimination’</w:t>
      </w:r>
      <w:r>
        <w:t xml:space="preserve">. This is a ‘should’ duty that prompts </w:t>
      </w:r>
      <w:r w:rsidR="00F85B6C">
        <w:t>medical professionals</w:t>
      </w:r>
      <w:r>
        <w:t xml:space="preserve"> to </w:t>
      </w:r>
      <w:proofErr w:type="gramStart"/>
      <w:r>
        <w:t>take action</w:t>
      </w:r>
      <w:proofErr w:type="gramEnd"/>
      <w:r>
        <w:t xml:space="preserve"> without being prescriptive about what taking action might look like in individual circumstances. </w:t>
      </w:r>
    </w:p>
    <w:p w14:paraId="7B8C23A1" w14:textId="16E1F6FC" w:rsidR="007820B4" w:rsidRDefault="007820B4" w:rsidP="00A56974">
      <w:pPr>
        <w:pStyle w:val="GMCNumbertext"/>
        <w:numPr>
          <w:ilvl w:val="1"/>
          <w:numId w:val="3"/>
        </w:numPr>
        <w:tabs>
          <w:tab w:val="clear" w:pos="792"/>
          <w:tab w:val="num" w:pos="1418"/>
        </w:tabs>
        <w:ind w:left="1418" w:hanging="992"/>
      </w:pPr>
      <w:r>
        <w:t>Duty</w:t>
      </w:r>
      <w:r w:rsidR="00030083">
        <w:t xml:space="preserve"> </w:t>
      </w:r>
      <w:r w:rsidR="00A56974">
        <w:t xml:space="preserve">added </w:t>
      </w:r>
      <w:r w:rsidR="00030083">
        <w:t>(paragraph 6)</w:t>
      </w:r>
      <w:r>
        <w:t xml:space="preserve"> not to </w:t>
      </w:r>
      <w:r w:rsidR="00030083">
        <w:t>‘</w:t>
      </w:r>
      <w:r w:rsidR="00030083" w:rsidRPr="00A56974">
        <w:t>abuse, discriminate against, bully, exploit, or harass anyone, or condone such behaviour by others.’</w:t>
      </w:r>
    </w:p>
    <w:p w14:paraId="05154373" w14:textId="5ABF64D5" w:rsidR="00D65924" w:rsidRDefault="00D65924" w:rsidP="007820B4">
      <w:pPr>
        <w:pStyle w:val="Heading3"/>
      </w:pPr>
      <w:r>
        <w:t>Leadership</w:t>
      </w:r>
    </w:p>
    <w:p w14:paraId="7F959283" w14:textId="1B8EB3C1" w:rsidR="00D46F5F" w:rsidRDefault="00D46F5F" w:rsidP="00D46F5F">
      <w:pPr>
        <w:pStyle w:val="GMCNumbertext"/>
      </w:pPr>
      <w:r>
        <w:t>Power dynamics in teams have been considered throughout the drafting and have driven many of new duties addressed at effective teamworking and civility.</w:t>
      </w:r>
    </w:p>
    <w:p w14:paraId="2DBE7F7D" w14:textId="77777777" w:rsidR="00030083" w:rsidRDefault="0055688F" w:rsidP="00030083">
      <w:pPr>
        <w:pStyle w:val="GMCNumbertext"/>
      </w:pPr>
      <w:r>
        <w:t>GMPAF discussion about leadership raised concerns that strongly hierarchical leadership works against patient-focussed practice.</w:t>
      </w:r>
    </w:p>
    <w:p w14:paraId="2C81A842" w14:textId="1364EDC3" w:rsidR="0055688F" w:rsidRDefault="0055688F" w:rsidP="00030083">
      <w:pPr>
        <w:pStyle w:val="GMCNumbertext"/>
      </w:pPr>
      <w:r w:rsidRPr="00DD74AA">
        <w:t xml:space="preserve">New principles </w:t>
      </w:r>
      <w:r>
        <w:t xml:space="preserve">in GMP </w:t>
      </w:r>
      <w:r w:rsidRPr="00DD74AA">
        <w:t>focus on team working, respecting teamwork/views</w:t>
      </w:r>
      <w:r>
        <w:t xml:space="preserve"> and r</w:t>
      </w:r>
      <w:r w:rsidRPr="00DD74AA">
        <w:t>ole</w:t>
      </w:r>
      <w:r w:rsidR="00E50F5A">
        <w:t xml:space="preserve"> </w:t>
      </w:r>
      <w:r w:rsidRPr="00DD74AA">
        <w:t>modelling leadership</w:t>
      </w:r>
      <w:r>
        <w:t>.</w:t>
      </w:r>
    </w:p>
    <w:p w14:paraId="11040A06" w14:textId="1A0C36B1" w:rsidR="00D46F5F" w:rsidRDefault="00D46F5F" w:rsidP="00D46F5F">
      <w:pPr>
        <w:pStyle w:val="GMCNumbertext"/>
        <w:numPr>
          <w:ilvl w:val="1"/>
          <w:numId w:val="3"/>
        </w:numPr>
        <w:tabs>
          <w:tab w:val="clear" w:pos="792"/>
          <w:tab w:val="num" w:pos="1418"/>
        </w:tabs>
        <w:ind w:left="1418" w:hanging="992"/>
      </w:pPr>
      <w:r>
        <w:t>New dut</w:t>
      </w:r>
      <w:r w:rsidR="00030083">
        <w:t>y (paragraph 62)</w:t>
      </w:r>
      <w:r>
        <w:t xml:space="preserve"> drafted to </w:t>
      </w:r>
      <w:r w:rsidR="00A56974">
        <w:t>‘</w:t>
      </w:r>
      <w:r w:rsidR="00A56974" w:rsidRPr="007F25B4">
        <w:rPr>
          <w:rFonts w:cstheme="minorHAnsi"/>
          <w:lang w:val="en"/>
        </w:rPr>
        <w:t>develop leadership skills appropriate to your role</w:t>
      </w:r>
      <w:r w:rsidR="00A56974">
        <w:t>’.</w:t>
      </w:r>
    </w:p>
    <w:p w14:paraId="072B8216" w14:textId="56090F6C" w:rsidR="00D46F5F" w:rsidRDefault="00D46F5F" w:rsidP="00D46F5F">
      <w:pPr>
        <w:pStyle w:val="GMCNumbertext"/>
        <w:numPr>
          <w:ilvl w:val="1"/>
          <w:numId w:val="3"/>
        </w:numPr>
        <w:tabs>
          <w:tab w:val="clear" w:pos="792"/>
          <w:tab w:val="num" w:pos="1418"/>
        </w:tabs>
        <w:ind w:left="1418" w:hanging="992"/>
      </w:pPr>
      <w:r>
        <w:t>New dut</w:t>
      </w:r>
      <w:r w:rsidR="00030083">
        <w:t>y (paragraph 48)</w:t>
      </w:r>
      <w:r>
        <w:t xml:space="preserve"> drafted to be competent in </w:t>
      </w:r>
      <w:r w:rsidR="00A56974">
        <w:t>‘</w:t>
      </w:r>
      <w:r>
        <w:t>formal leadership role</w:t>
      </w:r>
      <w:r w:rsidR="00A56974">
        <w:t>s’</w:t>
      </w:r>
      <w:r>
        <w:t>, where applicable.</w:t>
      </w:r>
    </w:p>
    <w:p w14:paraId="17C0CC85" w14:textId="55AA5D4A" w:rsidR="00D46F5F" w:rsidRDefault="00D46F5F" w:rsidP="00D46F5F">
      <w:pPr>
        <w:pStyle w:val="GMCNumbertext"/>
      </w:pPr>
      <w:r>
        <w:t>S</w:t>
      </w:r>
      <w:r w:rsidRPr="0094052E">
        <w:t>pecific duties in relation to fairness in providing training/mentoring opportunities</w:t>
      </w:r>
      <w:r>
        <w:t xml:space="preserve"> </w:t>
      </w:r>
      <w:r w:rsidR="00A56974">
        <w:t>were</w:t>
      </w:r>
      <w:r>
        <w:t xml:space="preserve"> discussed at</w:t>
      </w:r>
      <w:r w:rsidR="00B22358">
        <w:t xml:space="preserve"> the second</w:t>
      </w:r>
      <w:r>
        <w:t xml:space="preserve"> GMPAF </w:t>
      </w:r>
      <w:r w:rsidR="00B22358">
        <w:t>meeting</w:t>
      </w:r>
      <w:r>
        <w:t xml:space="preserve">. Paragraph 42 </w:t>
      </w:r>
      <w:r w:rsidR="00B22358">
        <w:t xml:space="preserve">in the current version of GMP </w:t>
      </w:r>
      <w:r>
        <w:t xml:space="preserve">was discussed in relation to PAs, who </w:t>
      </w:r>
      <w:r w:rsidRPr="00334108">
        <w:t xml:space="preserve">lack formal progression </w:t>
      </w:r>
      <w:r w:rsidRPr="002621E5">
        <w:t>post qualification</w:t>
      </w:r>
      <w:r>
        <w:t xml:space="preserve">, and there was some support for </w:t>
      </w:r>
      <w:r w:rsidRPr="0094052E">
        <w:t xml:space="preserve">adding wording to paragraph 42 to the effect that </w:t>
      </w:r>
      <w:r w:rsidR="00F85B6C">
        <w:t xml:space="preserve">medical professionals </w:t>
      </w:r>
      <w:r w:rsidRPr="0094052E">
        <w:t>need to be aware of explicit and implicit bias around the availability of training opportunities.</w:t>
      </w:r>
      <w:r>
        <w:t xml:space="preserve"> </w:t>
      </w:r>
      <w:r w:rsidR="00935CB4">
        <w:t>This was r</w:t>
      </w:r>
      <w:r>
        <w:t xml:space="preserve">aised in </w:t>
      </w:r>
      <w:r w:rsidR="00B22358">
        <w:t>ED&amp;I w</w:t>
      </w:r>
      <w:r>
        <w:t xml:space="preserve">ebinars where there was </w:t>
      </w:r>
      <w:r w:rsidRPr="00665161">
        <w:t>general agreement that access to training and mentoring opportunities is not currently fair</w:t>
      </w:r>
      <w:r w:rsidR="00470F51">
        <w:t>.</w:t>
      </w:r>
    </w:p>
    <w:p w14:paraId="7E921977" w14:textId="2437617B" w:rsidR="00ED5750" w:rsidRDefault="00ED5750" w:rsidP="00ED5750">
      <w:pPr>
        <w:pStyle w:val="GMCNumbertext"/>
        <w:numPr>
          <w:ilvl w:val="1"/>
          <w:numId w:val="3"/>
        </w:numPr>
        <w:tabs>
          <w:tab w:val="clear" w:pos="792"/>
          <w:tab w:val="num" w:pos="1418"/>
        </w:tabs>
        <w:ind w:left="1418" w:hanging="992"/>
      </w:pPr>
      <w:r>
        <w:t xml:space="preserve">The duty at paragraph 5 to ‘contribute to a positive teaching, training and working environment by role modelling supportive, inclusive and compassionate behaviour’ includes </w:t>
      </w:r>
      <w:r w:rsidR="00F85B6C">
        <w:t>medical professionals</w:t>
      </w:r>
      <w:r>
        <w:t xml:space="preserve"> proactively seeking out opportunities to feed</w:t>
      </w:r>
      <w:r w:rsidR="00935CB4">
        <w:t xml:space="preserve"> </w:t>
      </w:r>
      <w:r>
        <w:t>back.</w:t>
      </w:r>
    </w:p>
    <w:p w14:paraId="4BFEE53A" w14:textId="7EB3A34F" w:rsidR="00ED5750" w:rsidRDefault="00ED5750" w:rsidP="00ED5750">
      <w:pPr>
        <w:pStyle w:val="GMCNumbertext"/>
        <w:numPr>
          <w:ilvl w:val="1"/>
          <w:numId w:val="3"/>
        </w:numPr>
        <w:tabs>
          <w:tab w:val="clear" w:pos="792"/>
          <w:tab w:val="num" w:pos="1418"/>
        </w:tabs>
        <w:ind w:left="1418" w:hanging="992"/>
      </w:pPr>
      <w:r>
        <w:t xml:space="preserve">Paragraph 58, the requirement to support colleagues to </w:t>
      </w:r>
      <w:r w:rsidR="00A56974">
        <w:t>‘</w:t>
      </w:r>
      <w:r>
        <w:t>take part in structured support opportunities</w:t>
      </w:r>
      <w:r w:rsidR="00A56974">
        <w:t>’</w:t>
      </w:r>
      <w:r>
        <w:t xml:space="preserve">, touches on feedback. </w:t>
      </w:r>
    </w:p>
    <w:p w14:paraId="5A72B7B9" w14:textId="608D66C5" w:rsidR="00D46F5F" w:rsidRDefault="00ED5750" w:rsidP="00C034E0">
      <w:pPr>
        <w:pStyle w:val="GMCNumbertext"/>
        <w:numPr>
          <w:ilvl w:val="1"/>
          <w:numId w:val="3"/>
        </w:numPr>
        <w:tabs>
          <w:tab w:val="clear" w:pos="792"/>
          <w:tab w:val="num" w:pos="1418"/>
        </w:tabs>
        <w:ind w:left="1418" w:hanging="992"/>
      </w:pPr>
      <w:r>
        <w:t>Paragraph 59 focuses on what we might see as ‘out’ groups – ‘</w:t>
      </w:r>
      <w:r w:rsidRPr="00ED5750">
        <w:rPr>
          <w:rFonts w:cstheme="minorHAnsi"/>
          <w:lang w:val="en"/>
        </w:rPr>
        <w:t xml:space="preserve">be prepared to contribute to mentoring, teaching, training and professional support of students and other colleagues. This is especially important for individuals new to practice in the UK, returning from a period away from practice, or who do not have easy access to sources of support.’ This new duty takes </w:t>
      </w:r>
      <w:r>
        <w:lastRenderedPageBreak/>
        <w:t>pr</w:t>
      </w:r>
      <w:r w:rsidR="00D46F5F">
        <w:t>evious paragraphs 39 and 42 together and broaden</w:t>
      </w:r>
      <w:r>
        <w:t>s them</w:t>
      </w:r>
      <w:r w:rsidR="00D46F5F">
        <w:t xml:space="preserve"> out to reflect discussion at steering group to cover continuous learning and development wherever a need arises.</w:t>
      </w:r>
    </w:p>
    <w:p w14:paraId="6A59F2B4" w14:textId="1E88408F" w:rsidR="00D46F5F" w:rsidRDefault="00D46F5F" w:rsidP="00470F51">
      <w:pPr>
        <w:pStyle w:val="GMCNumbertext"/>
        <w:numPr>
          <w:ilvl w:val="1"/>
          <w:numId w:val="3"/>
        </w:numPr>
        <w:tabs>
          <w:tab w:val="clear" w:pos="792"/>
          <w:tab w:val="num" w:pos="1418"/>
        </w:tabs>
        <w:ind w:left="1418" w:hanging="992"/>
      </w:pPr>
      <w:r>
        <w:t xml:space="preserve">New duty </w:t>
      </w:r>
      <w:r w:rsidR="00ED5750">
        <w:t xml:space="preserve">(paragraph 60) </w:t>
      </w:r>
      <w:r>
        <w:t>added about responsibilities for facilitating access to training and development opportunities. New duty to embed fairness of opportunity.</w:t>
      </w:r>
    </w:p>
    <w:p w14:paraId="16F94D92" w14:textId="752CC5FF" w:rsidR="00D65924" w:rsidRDefault="00D65924" w:rsidP="007820B4">
      <w:pPr>
        <w:pStyle w:val="Heading3"/>
      </w:pPr>
      <w:r>
        <w:t>Conscientious objection</w:t>
      </w:r>
    </w:p>
    <w:p w14:paraId="2C4BBE21" w14:textId="0C8CD5FF" w:rsidR="00EF766A" w:rsidRDefault="00D65924" w:rsidP="00BF6A5F">
      <w:pPr>
        <w:pStyle w:val="GMCNumbertext"/>
      </w:pPr>
      <w:r w:rsidRPr="00342A67">
        <w:t xml:space="preserve">Discussed in </w:t>
      </w:r>
      <w:r w:rsidR="00B22358">
        <w:t xml:space="preserve">ED&amp;I </w:t>
      </w:r>
      <w:r w:rsidRPr="00342A67">
        <w:t xml:space="preserve">webinar where </w:t>
      </w:r>
      <w:r>
        <w:t>it was raised by members. O</w:t>
      </w:r>
      <w:r w:rsidRPr="00342A67">
        <w:t xml:space="preserve">ne member believed that guidance should be updated to show that </w:t>
      </w:r>
      <w:r w:rsidR="004E7AB8">
        <w:t>medical professionals</w:t>
      </w:r>
      <w:r w:rsidRPr="00342A67">
        <w:t xml:space="preserve"> </w:t>
      </w:r>
      <w:r w:rsidR="00470F51">
        <w:t>can</w:t>
      </w:r>
      <w:r w:rsidRPr="00342A67">
        <w:t xml:space="preserve"> refuse cross-sex medication for </w:t>
      </w:r>
      <w:r w:rsidR="000C4AB7">
        <w:t>t</w:t>
      </w:r>
      <w:r w:rsidRPr="00342A67">
        <w:t>rans patients</w:t>
      </w:r>
      <w:r w:rsidR="00470F51">
        <w:t xml:space="preserve"> – they </w:t>
      </w:r>
      <w:r w:rsidRPr="00342A67">
        <w:t xml:space="preserve">specifically said that footnote 5 </w:t>
      </w:r>
      <w:r w:rsidR="00374D25">
        <w:t xml:space="preserve">of the </w:t>
      </w:r>
      <w:proofErr w:type="gramStart"/>
      <w:r w:rsidR="00374D25" w:rsidRPr="00367670">
        <w:rPr>
          <w:i/>
          <w:iCs/>
        </w:rPr>
        <w:t>Personal</w:t>
      </w:r>
      <w:proofErr w:type="gramEnd"/>
      <w:r w:rsidR="00374D25" w:rsidRPr="00367670">
        <w:rPr>
          <w:i/>
          <w:iCs/>
        </w:rPr>
        <w:t xml:space="preserve"> beliefs and medical practice</w:t>
      </w:r>
      <w:r w:rsidR="00374D25">
        <w:t xml:space="preserve"> guidance </w:t>
      </w:r>
      <w:r w:rsidRPr="00342A67">
        <w:t>should be updated.</w:t>
      </w:r>
      <w:r>
        <w:t xml:space="preserve"> </w:t>
      </w:r>
      <w:r w:rsidR="00374D25">
        <w:t xml:space="preserve">This </w:t>
      </w:r>
      <w:r w:rsidR="00A56974" w:rsidRPr="00367670">
        <w:rPr>
          <w:i/>
          <w:iCs/>
        </w:rPr>
        <w:t>Personal beliefs and medical practice</w:t>
      </w:r>
      <w:r w:rsidR="00A56974">
        <w:t xml:space="preserve"> guidance </w:t>
      </w:r>
      <w:r w:rsidR="00374D25">
        <w:t xml:space="preserve">will be reviewed later in this </w:t>
      </w:r>
      <w:r w:rsidR="00881A64">
        <w:t>review</w:t>
      </w:r>
      <w:r w:rsidR="00374D25">
        <w:t>.</w:t>
      </w:r>
    </w:p>
    <w:p w14:paraId="51B4B3E8" w14:textId="70C9B20E" w:rsidR="00D65924" w:rsidRDefault="00135287" w:rsidP="00EF766A">
      <w:pPr>
        <w:pStyle w:val="Heading3"/>
      </w:pPr>
      <w:r>
        <w:t>Conflicts of interest</w:t>
      </w:r>
    </w:p>
    <w:p w14:paraId="44AC88F1" w14:textId="77777777" w:rsidR="00B22358" w:rsidRDefault="00A87F4E" w:rsidP="00135287">
      <w:pPr>
        <w:pStyle w:val="GMCNumbertext"/>
      </w:pPr>
      <w:r>
        <w:t>In response to intelligence about conflicts of interest and the risk identified of patients being exploited by doctors who work across NHS and private care</w:t>
      </w:r>
      <w:r w:rsidR="00A56974">
        <w:t>,</w:t>
      </w:r>
      <w:r>
        <w:t xml:space="preserve"> c</w:t>
      </w:r>
      <w:r w:rsidRPr="00A53CF8">
        <w:t>onflicts of interest reference</w:t>
      </w:r>
      <w:r>
        <w:t>s</w:t>
      </w:r>
      <w:r w:rsidRPr="00A53CF8">
        <w:t xml:space="preserve"> in GMP </w:t>
      </w:r>
      <w:r>
        <w:t>have been</w:t>
      </w:r>
      <w:r w:rsidRPr="00A53CF8">
        <w:t xml:space="preserve"> enhanced</w:t>
      </w:r>
      <w:r w:rsidR="00B22358">
        <w:t>.</w:t>
      </w:r>
    </w:p>
    <w:p w14:paraId="3BE477D7" w14:textId="1CB98059" w:rsidR="00A87F4E" w:rsidRDefault="00B22358" w:rsidP="00B22358">
      <w:pPr>
        <w:pStyle w:val="GMCNumbertext"/>
        <w:numPr>
          <w:ilvl w:val="1"/>
          <w:numId w:val="3"/>
        </w:numPr>
        <w:tabs>
          <w:tab w:val="clear" w:pos="792"/>
          <w:tab w:val="num" w:pos="1418"/>
        </w:tabs>
        <w:ind w:left="1418" w:hanging="992"/>
      </w:pPr>
      <w:r>
        <w:t>P</w:t>
      </w:r>
      <w:r w:rsidR="00A87F4E">
        <w:t xml:space="preserve">aragraph </w:t>
      </w:r>
      <w:r w:rsidR="00A87F4E" w:rsidRPr="00A53CF8">
        <w:t>8</w:t>
      </w:r>
      <w:r w:rsidR="00A87F4E">
        <w:t>1</w:t>
      </w:r>
      <w:r w:rsidR="00A87F4E" w:rsidRPr="00A53CF8">
        <w:t xml:space="preserve"> in new</w:t>
      </w:r>
      <w:r>
        <w:t xml:space="preserve"> </w:t>
      </w:r>
      <w:r w:rsidR="00E50F5A">
        <w:t>GMP</w:t>
      </w:r>
      <w:r>
        <w:t xml:space="preserve"> </w:t>
      </w:r>
      <w:r w:rsidR="00E50F5A">
        <w:t>says</w:t>
      </w:r>
      <w:r w:rsidR="00A87F4E" w:rsidRPr="00A53CF8">
        <w:t xml:space="preserve"> </w:t>
      </w:r>
      <w:r w:rsidR="00A87F4E">
        <w:t>‘</w:t>
      </w:r>
      <w:r w:rsidR="00A87F4E" w:rsidRPr="00B22358">
        <w:t>Conflicts of interest may arise in a range of situations. They are not confined to financial interests and may also include other personal or professional interests. You must not allow any interests you have to affect, or be seen to affect, the way you propose, provide or prescribe treatments, refer patients, or commission services.’</w:t>
      </w:r>
    </w:p>
    <w:p w14:paraId="0834ADC9" w14:textId="678E6AF9" w:rsidR="0055688F" w:rsidRDefault="0055688F" w:rsidP="007820B4">
      <w:pPr>
        <w:pStyle w:val="Heading3"/>
      </w:pPr>
      <w:r>
        <w:t>Candour</w:t>
      </w:r>
    </w:p>
    <w:p w14:paraId="5DAABF40" w14:textId="2ED8C7AC" w:rsidR="0055688F" w:rsidRDefault="00470F51" w:rsidP="0055688F">
      <w:pPr>
        <w:pStyle w:val="GMCNumbertext"/>
      </w:pPr>
      <w:r>
        <w:t>We h</w:t>
      </w:r>
      <w:r w:rsidR="0055688F" w:rsidRPr="0055688F">
        <w:t>ave added a line to new paragraph 4</w:t>
      </w:r>
      <w:r w:rsidR="00BE602D">
        <w:t>5</w:t>
      </w:r>
      <w:r w:rsidR="0055688F" w:rsidRPr="0055688F">
        <w:t xml:space="preserve"> that apologising to a patient does not mean you are admitting legal liability for what has happened</w:t>
      </w:r>
      <w:r w:rsidR="0055688F">
        <w:t xml:space="preserve">. This will support </w:t>
      </w:r>
      <w:r w:rsidR="00AD682F">
        <w:t>medical professionals</w:t>
      </w:r>
      <w:r w:rsidR="0055688F">
        <w:t xml:space="preserve"> who face internal and external enquiries to understand the duty of candour as well as </w:t>
      </w:r>
      <w:r>
        <w:t>facilitating</w:t>
      </w:r>
      <w:r w:rsidR="0055688F">
        <w:t xml:space="preserve"> better support for patients and their families.</w:t>
      </w:r>
    </w:p>
    <w:p w14:paraId="08B3D114" w14:textId="459BBDB5" w:rsidR="0055688F" w:rsidRDefault="008E4089" w:rsidP="007820B4">
      <w:pPr>
        <w:pStyle w:val="Heading3"/>
      </w:pPr>
      <w:r>
        <w:t>Duties of a doctor</w:t>
      </w:r>
    </w:p>
    <w:p w14:paraId="009C39EE" w14:textId="47EADC37" w:rsidR="0055688F" w:rsidRDefault="0055688F" w:rsidP="00731245">
      <w:pPr>
        <w:pStyle w:val="GMCNumbertext"/>
      </w:pPr>
      <w:r>
        <w:t>We considered if</w:t>
      </w:r>
      <w:r w:rsidR="00A1100C">
        <w:t>,</w:t>
      </w:r>
      <w:r>
        <w:t xml:space="preserve"> within definitions of 'professionalism' (</w:t>
      </w:r>
      <w:proofErr w:type="spellStart"/>
      <w:proofErr w:type="gramStart"/>
      <w:r>
        <w:t>ie</w:t>
      </w:r>
      <w:proofErr w:type="spellEnd"/>
      <w:proofErr w:type="gramEnd"/>
      <w:r w:rsidR="00470F51">
        <w:t xml:space="preserve"> ‘</w:t>
      </w:r>
      <w:r>
        <w:t>Professionalism in action</w:t>
      </w:r>
      <w:r w:rsidR="00470F51">
        <w:t>’</w:t>
      </w:r>
      <w:r w:rsidR="008E4089">
        <w:t xml:space="preserve">, </w:t>
      </w:r>
      <w:r w:rsidR="00470F51">
        <w:t>and</w:t>
      </w:r>
      <w:r w:rsidR="008E4089">
        <w:t xml:space="preserve"> ‘duties of a doctor’</w:t>
      </w:r>
      <w:r>
        <w:t>)</w:t>
      </w:r>
      <w:r w:rsidR="00A1100C">
        <w:t>, we</w:t>
      </w:r>
      <w:r>
        <w:t xml:space="preserve"> should acknowledge that </w:t>
      </w:r>
      <w:r w:rsidR="00AD682F">
        <w:t>medical professionals</w:t>
      </w:r>
      <w:r>
        <w:t xml:space="preserve"> are under system pressures and that pressures (system and other) are unequal. </w:t>
      </w:r>
      <w:r w:rsidR="008E4089">
        <w:t>D</w:t>
      </w:r>
      <w:r>
        <w:t xml:space="preserve">iscussion at </w:t>
      </w:r>
      <w:r w:rsidR="00567F09">
        <w:t xml:space="preserve">the introductory </w:t>
      </w:r>
      <w:r>
        <w:t>GMPAF meeting</w:t>
      </w:r>
      <w:r w:rsidR="008E4089">
        <w:t xml:space="preserve"> highlighted</w:t>
      </w:r>
      <w:r>
        <w:t xml:space="preserve"> a range of views about acknowledging system pressures within </w:t>
      </w:r>
      <w:r w:rsidR="00A1100C">
        <w:t>how we describe the interaction of GMP and</w:t>
      </w:r>
      <w:r w:rsidR="00567F09">
        <w:t xml:space="preserve"> FTP</w:t>
      </w:r>
      <w:r w:rsidR="00A1100C">
        <w:t>, while no</w:t>
      </w:r>
      <w:r>
        <w:t>t watering down standards</w:t>
      </w:r>
      <w:r w:rsidR="00567F09">
        <w:t xml:space="preserve"> because of</w:t>
      </w:r>
      <w:r>
        <w:t xml:space="preserve"> </w:t>
      </w:r>
      <w:r w:rsidR="00F85B6C">
        <w:t>medical professionals</w:t>
      </w:r>
      <w:r>
        <w:t xml:space="preserve"> working in difficult systems. A</w:t>
      </w:r>
      <w:r w:rsidR="00A1100C">
        <w:t>t the ED</w:t>
      </w:r>
      <w:r w:rsidR="00B22358">
        <w:t>&amp;</w:t>
      </w:r>
      <w:r w:rsidR="00A1100C">
        <w:t xml:space="preserve">I </w:t>
      </w:r>
      <w:r>
        <w:t>webinar</w:t>
      </w:r>
      <w:r w:rsidR="00A1100C">
        <w:t xml:space="preserve"> it was </w:t>
      </w:r>
      <w:r>
        <w:t xml:space="preserve">raised that </w:t>
      </w:r>
      <w:r w:rsidR="00A1100C">
        <w:t xml:space="preserve">a </w:t>
      </w:r>
      <w:r w:rsidR="00F85B6C">
        <w:t>medical professional’s</w:t>
      </w:r>
      <w:r w:rsidR="00A1100C">
        <w:t xml:space="preserve"> </w:t>
      </w:r>
      <w:r>
        <w:t xml:space="preserve">background can present barriers to speaking up and feeling that </w:t>
      </w:r>
      <w:r w:rsidR="00A1100C">
        <w:t>they</w:t>
      </w:r>
      <w:r>
        <w:t xml:space="preserve"> will be heard.</w:t>
      </w:r>
    </w:p>
    <w:p w14:paraId="0210FAA7" w14:textId="0E9E90EB" w:rsidR="0055688F" w:rsidRDefault="0055688F" w:rsidP="00A1100C">
      <w:pPr>
        <w:pStyle w:val="GMCNumbertext"/>
        <w:numPr>
          <w:ilvl w:val="1"/>
          <w:numId w:val="3"/>
        </w:numPr>
        <w:tabs>
          <w:tab w:val="clear" w:pos="792"/>
          <w:tab w:val="num" w:pos="1418"/>
        </w:tabs>
        <w:ind w:left="1418" w:hanging="992"/>
      </w:pPr>
      <w:r>
        <w:lastRenderedPageBreak/>
        <w:t>The new first section of GMP ('I' statements</w:t>
      </w:r>
      <w:r w:rsidR="00B22358">
        <w:t>, formally ‘duties of a doctor’</w:t>
      </w:r>
      <w:r>
        <w:t xml:space="preserve">) </w:t>
      </w:r>
      <w:r w:rsidR="008E4089">
        <w:t>has been updated in response to these professionalism/pressure</w:t>
      </w:r>
      <w:r>
        <w:t xml:space="preserve"> issues.</w:t>
      </w:r>
    </w:p>
    <w:p w14:paraId="4A1B139E" w14:textId="6BF24CB5" w:rsidR="00374D25" w:rsidRDefault="00374D25" w:rsidP="00A1100C">
      <w:pPr>
        <w:pStyle w:val="GMCNumbertext"/>
        <w:numPr>
          <w:ilvl w:val="1"/>
          <w:numId w:val="3"/>
        </w:numPr>
        <w:tabs>
          <w:tab w:val="clear" w:pos="792"/>
          <w:tab w:val="num" w:pos="1418"/>
        </w:tabs>
        <w:ind w:left="1418" w:hanging="992"/>
      </w:pPr>
      <w:r>
        <w:t>The</w:t>
      </w:r>
      <w:r w:rsidR="008A4C70">
        <w:t xml:space="preserve"> section now called</w:t>
      </w:r>
      <w:r>
        <w:t xml:space="preserve"> ‘</w:t>
      </w:r>
      <w:r w:rsidR="008A4C70">
        <w:t>The p</w:t>
      </w:r>
      <w:r>
        <w:t xml:space="preserve">urpose of </w:t>
      </w:r>
      <w:r w:rsidRPr="00374D25">
        <w:rPr>
          <w:i/>
          <w:iCs/>
        </w:rPr>
        <w:t>Good medical practice’</w:t>
      </w:r>
      <w:r>
        <w:t xml:space="preserve"> recognises</w:t>
      </w:r>
      <w:r w:rsidR="00B34A8F">
        <w:t xml:space="preserve"> </w:t>
      </w:r>
      <w:r w:rsidRPr="003647A4">
        <w:rPr>
          <w:rFonts w:cstheme="minorHAnsi"/>
        </w:rPr>
        <w:t xml:space="preserve">that </w:t>
      </w:r>
      <w:r w:rsidR="00367670">
        <w:rPr>
          <w:rFonts w:cstheme="minorHAnsi"/>
        </w:rPr>
        <w:t>‘</w:t>
      </w:r>
      <w:r>
        <w:rPr>
          <w:rFonts w:cstheme="minorHAnsi"/>
        </w:rPr>
        <w:t>medical professionals</w:t>
      </w:r>
      <w:r w:rsidRPr="003647A4">
        <w:rPr>
          <w:rFonts w:cstheme="minorHAnsi"/>
        </w:rPr>
        <w:t xml:space="preserve"> work in complex, rapidly changing systems with high demand, where responsibility for outcomes is shared and </w:t>
      </w:r>
      <w:r>
        <w:rPr>
          <w:rFonts w:cstheme="minorHAnsi"/>
        </w:rPr>
        <w:t>medical professionals</w:t>
      </w:r>
      <w:r w:rsidRPr="003647A4">
        <w:rPr>
          <w:rFonts w:cstheme="minorHAnsi"/>
        </w:rPr>
        <w:t xml:space="preserve"> need support to be able to meet professional standards.</w:t>
      </w:r>
      <w:r w:rsidR="00367670">
        <w:rPr>
          <w:rFonts w:cstheme="minorHAnsi"/>
        </w:rPr>
        <w:t>’</w:t>
      </w:r>
    </w:p>
    <w:p w14:paraId="229033A7" w14:textId="54D10285" w:rsidR="00A1100C" w:rsidRDefault="008E4089" w:rsidP="001B1443">
      <w:pPr>
        <w:pStyle w:val="GMCNumbertext"/>
      </w:pPr>
      <w:r>
        <w:t xml:space="preserve">We have considered whether </w:t>
      </w:r>
      <w:r w:rsidR="00A1100C">
        <w:t xml:space="preserve">it would benefit </w:t>
      </w:r>
      <w:r w:rsidR="00F85B6C">
        <w:t>medical professionals</w:t>
      </w:r>
      <w:r w:rsidR="00A1100C">
        <w:t xml:space="preserve"> if we </w:t>
      </w:r>
      <w:proofErr w:type="gramStart"/>
      <w:r w:rsidR="00A1100C">
        <w:t xml:space="preserve">gave an </w:t>
      </w:r>
      <w:r>
        <w:t>explanation of</w:t>
      </w:r>
      <w:proofErr w:type="gramEnd"/>
      <w:r>
        <w:t xml:space="preserve"> why guidance points are important within </w:t>
      </w:r>
      <w:r w:rsidR="008A4C70">
        <w:t>GMP</w:t>
      </w:r>
      <w:r>
        <w:t xml:space="preserve">. This was raised at </w:t>
      </w:r>
      <w:r w:rsidR="00B34A8F">
        <w:t xml:space="preserve">the second </w:t>
      </w:r>
      <w:r>
        <w:t xml:space="preserve">GMPAF </w:t>
      </w:r>
      <w:r w:rsidR="00B34A8F">
        <w:t>meeting</w:t>
      </w:r>
      <w:r>
        <w:t xml:space="preserve"> where there was some support for GMP not just stating high level </w:t>
      </w:r>
      <w:proofErr w:type="gramStart"/>
      <w:r>
        <w:t>principles, but</w:t>
      </w:r>
      <w:proofErr w:type="gramEnd"/>
      <w:r>
        <w:t xml:space="preserve"> going further to translate what the principle means in the context of different areas of practice.</w:t>
      </w:r>
    </w:p>
    <w:p w14:paraId="14B33662" w14:textId="2950D200" w:rsidR="00BE602D" w:rsidRDefault="00A1100C" w:rsidP="005F4151">
      <w:pPr>
        <w:pStyle w:val="GMCNumbertext"/>
        <w:numPr>
          <w:ilvl w:val="1"/>
          <w:numId w:val="3"/>
        </w:numPr>
        <w:tabs>
          <w:tab w:val="clear" w:pos="792"/>
          <w:tab w:val="num" w:pos="1418"/>
        </w:tabs>
        <w:ind w:left="1418" w:hanging="992"/>
      </w:pPr>
      <w:r>
        <w:t xml:space="preserve">The four domain introduction sections have been drafted to include </w:t>
      </w:r>
      <w:r w:rsidR="00BE602D">
        <w:t>an explanation of why guidance points are important.</w:t>
      </w:r>
    </w:p>
    <w:p w14:paraId="753F11B5" w14:textId="34E372AD" w:rsidR="008E4089" w:rsidRDefault="008E4089" w:rsidP="00BE602D">
      <w:pPr>
        <w:pStyle w:val="Heading3"/>
      </w:pPr>
      <w:r>
        <w:t>Sexual harassment of colleagues</w:t>
      </w:r>
    </w:p>
    <w:p w14:paraId="328A9DD8" w14:textId="54AD7BED" w:rsidR="008D0555" w:rsidRDefault="008D0555" w:rsidP="008E4089">
      <w:pPr>
        <w:pStyle w:val="GMCNumbertext"/>
      </w:pPr>
      <w:r>
        <w:t>In scoping sexual harassment of colleagues was identified as a gap in existing guidance.</w:t>
      </w:r>
    </w:p>
    <w:p w14:paraId="0C9E0FF2" w14:textId="089446B3" w:rsidR="008E4089" w:rsidRDefault="008E4089" w:rsidP="008D0555">
      <w:pPr>
        <w:pStyle w:val="GMCNumbertext"/>
        <w:numPr>
          <w:ilvl w:val="1"/>
          <w:numId w:val="3"/>
        </w:numPr>
        <w:tabs>
          <w:tab w:val="clear" w:pos="792"/>
          <w:tab w:val="num" w:pos="1418"/>
        </w:tabs>
        <w:ind w:left="1418" w:hanging="992"/>
      </w:pPr>
      <w:r>
        <w:t xml:space="preserve">New duty </w:t>
      </w:r>
      <w:r w:rsidR="00BE602D">
        <w:t>(paragraph 7)</w:t>
      </w:r>
      <w:r>
        <w:t xml:space="preserve"> to </w:t>
      </w:r>
      <w:r w:rsidR="00C668F2">
        <w:t>‘</w:t>
      </w:r>
      <w:r w:rsidR="00C668F2">
        <w:rPr>
          <w:rFonts w:cstheme="minorHAnsi"/>
        </w:rPr>
        <w:t>take action […]</w:t>
      </w:r>
      <w:r w:rsidR="00C668F2" w:rsidRPr="00E62B07">
        <w:rPr>
          <w:rFonts w:cstheme="minorHAnsi"/>
        </w:rPr>
        <w:t xml:space="preserve"> if you witness or are made aware of bullying, harassment</w:t>
      </w:r>
      <w:r w:rsidR="00C668F2">
        <w:rPr>
          <w:rFonts w:cstheme="minorHAnsi"/>
        </w:rPr>
        <w:t>,</w:t>
      </w:r>
      <w:r w:rsidR="00C668F2" w:rsidRPr="00E62B07">
        <w:rPr>
          <w:rFonts w:cstheme="minorHAnsi"/>
        </w:rPr>
        <w:t xml:space="preserve"> or unfair discrimination.</w:t>
      </w:r>
      <w:r w:rsidR="00C668F2">
        <w:rPr>
          <w:rFonts w:cstheme="minorHAnsi"/>
        </w:rPr>
        <w:t>’</w:t>
      </w:r>
    </w:p>
    <w:p w14:paraId="5A4994AD" w14:textId="77777777" w:rsidR="008D1D0B" w:rsidRDefault="008E4089" w:rsidP="00F6150B">
      <w:pPr>
        <w:pStyle w:val="GMCNumbertext"/>
        <w:numPr>
          <w:ilvl w:val="1"/>
          <w:numId w:val="3"/>
        </w:numPr>
        <w:tabs>
          <w:tab w:val="clear" w:pos="792"/>
          <w:tab w:val="num" w:pos="1418"/>
        </w:tabs>
        <w:ind w:left="1418" w:hanging="992"/>
        <w:rPr>
          <w:rFonts w:cstheme="minorHAnsi"/>
        </w:rPr>
      </w:pPr>
      <w:r>
        <w:t xml:space="preserve">New duty </w:t>
      </w:r>
      <w:r w:rsidR="00BE602D">
        <w:t>(paragraph 6) ‘</w:t>
      </w:r>
      <w:r w:rsidR="00BE602D" w:rsidRPr="008D1D0B">
        <w:rPr>
          <w:rFonts w:cstheme="minorHAnsi"/>
        </w:rPr>
        <w:t>You must not abuse, discriminate against, bully, exploit, or harass anyone, or condone such behaviour by others.’</w:t>
      </w:r>
    </w:p>
    <w:p w14:paraId="55CC281B" w14:textId="3F7FCA76" w:rsidR="008D1D0B" w:rsidRPr="008D1D0B" w:rsidRDefault="008E4089" w:rsidP="00F6150B">
      <w:pPr>
        <w:pStyle w:val="GMCNumbertext"/>
        <w:numPr>
          <w:ilvl w:val="1"/>
          <w:numId w:val="3"/>
        </w:numPr>
        <w:tabs>
          <w:tab w:val="clear" w:pos="792"/>
          <w:tab w:val="num" w:pos="1418"/>
        </w:tabs>
        <w:ind w:left="1418" w:hanging="992"/>
        <w:rPr>
          <w:rFonts w:cstheme="minorHAnsi"/>
        </w:rPr>
      </w:pPr>
      <w:r w:rsidRPr="008D1D0B">
        <w:t>New duty</w:t>
      </w:r>
      <w:r w:rsidR="008D1D0B" w:rsidRPr="008D1D0B">
        <w:t xml:space="preserve"> (paragraph 72) ‘</w:t>
      </w:r>
      <w:r w:rsidR="008D1D0B" w:rsidRPr="008D1D0B">
        <w:rPr>
          <w:rFonts w:cstheme="minorHAnsi"/>
        </w:rPr>
        <w:t xml:space="preserve">You must not demonstrate uninvited or unwelcome behaviour that can be reasonably interpreted as sexual and that offends, embarrasses, humiliates, intimidates, or otherwise harms an individual or group’. This has been added </w:t>
      </w:r>
      <w:proofErr w:type="gramStart"/>
      <w:r w:rsidR="008D1D0B" w:rsidRPr="008D1D0B">
        <w:rPr>
          <w:rFonts w:cstheme="minorHAnsi"/>
        </w:rPr>
        <w:t>in order to</w:t>
      </w:r>
      <w:proofErr w:type="gramEnd"/>
      <w:r w:rsidR="008D1D0B" w:rsidRPr="008D1D0B">
        <w:rPr>
          <w:rFonts w:cstheme="minorHAnsi"/>
        </w:rPr>
        <w:t xml:space="preserve"> </w:t>
      </w:r>
      <w:r w:rsidR="00C668F2">
        <w:t>address</w:t>
      </w:r>
      <w:r w:rsidR="008D1D0B" w:rsidRPr="008D1D0B">
        <w:t xml:space="preserve"> inappropriate sexual behaviour between colleagues.</w:t>
      </w:r>
    </w:p>
    <w:p w14:paraId="7F0D6865" w14:textId="049B113B" w:rsidR="00197E39" w:rsidRDefault="00E13703" w:rsidP="008D1D0B">
      <w:pPr>
        <w:pStyle w:val="Heading3"/>
      </w:pPr>
      <w:r>
        <w:t>Indemnity</w:t>
      </w:r>
    </w:p>
    <w:p w14:paraId="01C8F3C8" w14:textId="5D6C23C8" w:rsidR="003432EA" w:rsidRDefault="003432EA" w:rsidP="008D1D0B">
      <w:pPr>
        <w:pStyle w:val="GMCNumbertext"/>
      </w:pPr>
      <w:r>
        <w:t xml:space="preserve">Duty around indemnity has been updated to be clearer. The amended duty </w:t>
      </w:r>
      <w:r w:rsidR="008D1D0B">
        <w:t xml:space="preserve">(paragraph 88) </w:t>
      </w:r>
      <w:r>
        <w:t>now states ‘</w:t>
      </w:r>
      <w:r w:rsidR="008D1D0B" w:rsidRPr="007F25B4">
        <w:t>You must ensure that you have insurance and indemnity that covers the full scope of your practice.  You should keep your level of cover under regular review.</w:t>
      </w:r>
      <w:r w:rsidR="008D1D0B">
        <w:t xml:space="preserve">’ </w:t>
      </w:r>
    </w:p>
    <w:p w14:paraId="0EA2F4CB" w14:textId="2C3B131D" w:rsidR="00E13703" w:rsidRDefault="008D0555" w:rsidP="003432EA">
      <w:pPr>
        <w:pStyle w:val="GMCNumbertext"/>
      </w:pPr>
      <w:r>
        <w:t>The a</w:t>
      </w:r>
      <w:r w:rsidR="003432EA">
        <w:t xml:space="preserve">mended duty </w:t>
      </w:r>
      <w:r>
        <w:t>removes</w:t>
      </w:r>
      <w:r w:rsidR="003432EA" w:rsidRPr="00E13C05">
        <w:t xml:space="preserve"> the word ‘adequate’ which we </w:t>
      </w:r>
      <w:r>
        <w:t xml:space="preserve">have </w:t>
      </w:r>
      <w:r w:rsidR="008A4C70">
        <w:t xml:space="preserve">questioned </w:t>
      </w:r>
      <w:proofErr w:type="gramStart"/>
      <w:r w:rsidR="008A4C70">
        <w:t>about</w:t>
      </w:r>
      <w:proofErr w:type="gramEnd"/>
      <w:r w:rsidR="008A4C70">
        <w:t xml:space="preserve"> </w:t>
      </w:r>
      <w:r w:rsidR="003432EA" w:rsidRPr="00E13C05">
        <w:t xml:space="preserve">and </w:t>
      </w:r>
      <w:r w:rsidR="008A4C70">
        <w:t xml:space="preserve">we </w:t>
      </w:r>
      <w:r w:rsidR="003432EA" w:rsidRPr="00E13C05">
        <w:t>can’t provide advice given that it</w:t>
      </w:r>
      <w:r w:rsidR="003432EA">
        <w:t>’</w:t>
      </w:r>
      <w:r w:rsidR="003432EA" w:rsidRPr="00E13C05">
        <w:t xml:space="preserve">s individual to each </w:t>
      </w:r>
      <w:r w:rsidR="00F85B6C">
        <w:t>medical professional registered with us</w:t>
      </w:r>
      <w:r w:rsidR="003432EA" w:rsidRPr="00E13C05">
        <w:t xml:space="preserve">. </w:t>
      </w:r>
      <w:r w:rsidR="003432EA">
        <w:t>‘F</w:t>
      </w:r>
      <w:r w:rsidR="003432EA" w:rsidRPr="00E13C05">
        <w:t>ull scope of practice</w:t>
      </w:r>
      <w:r w:rsidR="003432EA">
        <w:t xml:space="preserve">’ </w:t>
      </w:r>
      <w:r w:rsidR="003432EA" w:rsidRPr="00E13C05">
        <w:t xml:space="preserve">is </w:t>
      </w:r>
      <w:r w:rsidR="008D1D0B">
        <w:t>intended</w:t>
      </w:r>
      <w:r w:rsidR="003432EA" w:rsidRPr="00E13C05">
        <w:t xml:space="preserve"> to cover all activities wherever these take place (including care across borders)</w:t>
      </w:r>
      <w:r>
        <w:t>. T</w:t>
      </w:r>
      <w:r w:rsidR="003432EA" w:rsidRPr="00E13C05">
        <w:t xml:space="preserve">hat </w:t>
      </w:r>
      <w:r w:rsidR="008D1D0B">
        <w:t>indemnity</w:t>
      </w:r>
      <w:r w:rsidR="003432EA" w:rsidRPr="00E13C05">
        <w:t xml:space="preserve"> should be regularly kept under review</w:t>
      </w:r>
      <w:r>
        <w:t xml:space="preserve"> has been included </w:t>
      </w:r>
      <w:r w:rsidR="003432EA" w:rsidRPr="00E13C05">
        <w:t>because cover can sometimes be left to go out of date.</w:t>
      </w:r>
    </w:p>
    <w:p w14:paraId="7EF6A408" w14:textId="069E902A" w:rsidR="00225997" w:rsidRDefault="002F1D54" w:rsidP="00225997">
      <w:pPr>
        <w:pStyle w:val="Heading2"/>
      </w:pPr>
      <w:r>
        <w:lastRenderedPageBreak/>
        <w:t>Summary of a</w:t>
      </w:r>
      <w:r w:rsidR="00225997">
        <w:t>ctions taken in consultation</w:t>
      </w:r>
      <w:r w:rsidR="00135287">
        <w:t xml:space="preserve"> and patient research</w:t>
      </w:r>
    </w:p>
    <w:p w14:paraId="0D09663B" w14:textId="71883837" w:rsidR="008E4089" w:rsidRDefault="00E025E0" w:rsidP="008E4089">
      <w:pPr>
        <w:pStyle w:val="GMCNumbertext"/>
      </w:pPr>
      <w:r>
        <w:t>To</w:t>
      </w:r>
      <w:r w:rsidR="008E4089">
        <w:t xml:space="preserve"> fill gaps </w:t>
      </w:r>
      <w:r w:rsidR="008D0555">
        <w:t xml:space="preserve">identified </w:t>
      </w:r>
      <w:r w:rsidR="008E4089">
        <w:t>in scoping we will take the following actions</w:t>
      </w:r>
    </w:p>
    <w:p w14:paraId="3CA39C6E" w14:textId="3860ACE0" w:rsidR="008E4089" w:rsidRDefault="008E4089" w:rsidP="00BC1C8A">
      <w:pPr>
        <w:pStyle w:val="GMCNumbertext"/>
        <w:numPr>
          <w:ilvl w:val="1"/>
          <w:numId w:val="3"/>
        </w:numPr>
        <w:tabs>
          <w:tab w:val="clear" w:pos="792"/>
          <w:tab w:val="num" w:pos="1418"/>
        </w:tabs>
        <w:ind w:left="1418" w:hanging="992"/>
      </w:pPr>
      <w:r>
        <w:t xml:space="preserve">We will </w:t>
      </w:r>
      <w:r w:rsidR="00374D25">
        <w:t xml:space="preserve">include </w:t>
      </w:r>
      <w:r>
        <w:t>children and young people in patient research</w:t>
      </w:r>
      <w:r w:rsidR="00686C47">
        <w:t>.</w:t>
      </w:r>
    </w:p>
    <w:p w14:paraId="6BB50E3C" w14:textId="1AD35496" w:rsidR="008E4089" w:rsidRDefault="008E4089" w:rsidP="00BC1C8A">
      <w:pPr>
        <w:pStyle w:val="GMCNumbertext"/>
        <w:numPr>
          <w:ilvl w:val="1"/>
          <w:numId w:val="3"/>
        </w:numPr>
        <w:tabs>
          <w:tab w:val="clear" w:pos="792"/>
          <w:tab w:val="num" w:pos="1418"/>
        </w:tabs>
        <w:ind w:left="1418" w:hanging="992"/>
      </w:pPr>
      <w:r>
        <w:t xml:space="preserve">Stakeholder, medical </w:t>
      </w:r>
      <w:proofErr w:type="gramStart"/>
      <w:r>
        <w:t>professional</w:t>
      </w:r>
      <w:proofErr w:type="gramEnd"/>
      <w:r>
        <w:t xml:space="preserve"> and patient surveys will ask about faith/religion. This will enable us to </w:t>
      </w:r>
      <w:r w:rsidR="008D0555">
        <w:t>break down</w:t>
      </w:r>
      <w:r>
        <w:t xml:space="preserve"> at responses by different </w:t>
      </w:r>
      <w:r w:rsidR="000E3C2E">
        <w:t xml:space="preserve">faith </w:t>
      </w:r>
      <w:r>
        <w:t>groups</w:t>
      </w:r>
      <w:r w:rsidR="00686C47">
        <w:t>.</w:t>
      </w:r>
    </w:p>
    <w:p w14:paraId="1627EFDB" w14:textId="48BE589F" w:rsidR="008E4089" w:rsidRPr="000E3C2E" w:rsidRDefault="008E4089" w:rsidP="000E3C2E">
      <w:pPr>
        <w:pStyle w:val="GMCNumbertext"/>
        <w:numPr>
          <w:ilvl w:val="1"/>
          <w:numId w:val="3"/>
        </w:numPr>
        <w:tabs>
          <w:tab w:val="clear" w:pos="792"/>
          <w:tab w:val="num" w:pos="1418"/>
        </w:tabs>
        <w:ind w:left="1418" w:hanging="992"/>
      </w:pPr>
      <w:r>
        <w:t xml:space="preserve">Patient panel and independent facilitated workshops are being commissioned </w:t>
      </w:r>
      <w:r w:rsidR="002D03BC">
        <w:t xml:space="preserve">by </w:t>
      </w:r>
      <w:r w:rsidR="002D03BC" w:rsidRPr="00B34A8F">
        <w:t xml:space="preserve">ICE </w:t>
      </w:r>
      <w:r w:rsidR="0075781E">
        <w:t>C</w:t>
      </w:r>
      <w:r w:rsidR="002C7A28" w:rsidRPr="00B34A8F">
        <w:t>reates</w:t>
      </w:r>
      <w:r w:rsidR="002C7A28">
        <w:t xml:space="preserve"> </w:t>
      </w:r>
      <w:r>
        <w:t xml:space="preserve">as part of </w:t>
      </w:r>
      <w:r w:rsidR="003F0D97">
        <w:t xml:space="preserve">public </w:t>
      </w:r>
      <w:r>
        <w:t>consultation engagement work. I</w:t>
      </w:r>
      <w:r w:rsidRPr="00A53CF8">
        <w:t xml:space="preserve">n </w:t>
      </w:r>
      <w:r w:rsidR="002D03BC">
        <w:t xml:space="preserve">the </w:t>
      </w:r>
      <w:r w:rsidRPr="00A53CF8">
        <w:t>patient organisation recruitment for the study the researchers will include the LGBTQ+ network, which includes intersex patients</w:t>
      </w:r>
      <w:r w:rsidR="00686C47">
        <w:t>.</w:t>
      </w:r>
    </w:p>
    <w:p w14:paraId="1697A0F8" w14:textId="341467B0" w:rsidR="00E025E0" w:rsidRDefault="008E4089" w:rsidP="00E025E0">
      <w:pPr>
        <w:pStyle w:val="GMCNumbertext"/>
      </w:pPr>
      <w:r>
        <w:t>To s</w:t>
      </w:r>
      <w:r w:rsidRPr="0055688F">
        <w:t xml:space="preserve">upport </w:t>
      </w:r>
      <w:r w:rsidR="000E3C2E">
        <w:t xml:space="preserve">MDTs </w:t>
      </w:r>
      <w:r w:rsidRPr="0055688F">
        <w:t xml:space="preserve">including PAs and AAs, </w:t>
      </w:r>
      <w:r>
        <w:t xml:space="preserve">we have considered </w:t>
      </w:r>
      <w:r w:rsidRPr="0055688F">
        <w:t xml:space="preserve">what levers we </w:t>
      </w:r>
      <w:proofErr w:type="gramStart"/>
      <w:r w:rsidRPr="0055688F">
        <w:t>have to</w:t>
      </w:r>
      <w:proofErr w:type="gramEnd"/>
      <w:r w:rsidRPr="0055688F">
        <w:t xml:space="preserve"> support patient/public understanding of how MDTs work</w:t>
      </w:r>
      <w:r w:rsidR="00E025E0">
        <w:t>. This fed into</w:t>
      </w:r>
      <w:r>
        <w:t xml:space="preserve"> the development of the </w:t>
      </w:r>
      <w:r w:rsidRPr="00B34A8F">
        <w:t xml:space="preserve">ICE </w:t>
      </w:r>
      <w:r w:rsidR="0075781E">
        <w:t>C</w:t>
      </w:r>
      <w:r w:rsidR="002C7A28" w:rsidRPr="00B34A8F">
        <w:t>reates</w:t>
      </w:r>
      <w:r w:rsidR="002C7A28">
        <w:t xml:space="preserve"> </w:t>
      </w:r>
      <w:r>
        <w:t>study and t</w:t>
      </w:r>
      <w:r w:rsidRPr="0055688F">
        <w:t xml:space="preserve">he </w:t>
      </w:r>
      <w:r w:rsidR="000E3C2E">
        <w:t>p</w:t>
      </w:r>
      <w:r w:rsidRPr="0055688F">
        <w:t xml:space="preserve">atient </w:t>
      </w:r>
      <w:r w:rsidR="000E3C2E">
        <w:t>s</w:t>
      </w:r>
      <w:r w:rsidRPr="0055688F">
        <w:t xml:space="preserve">urvey to </w:t>
      </w:r>
      <w:r w:rsidR="00E025E0">
        <w:t>understand</w:t>
      </w:r>
      <w:r w:rsidRPr="0055688F">
        <w:t xml:space="preserve"> how </w:t>
      </w:r>
      <w:r w:rsidR="000E3C2E">
        <w:t xml:space="preserve">we can gain more intelligence on MDT working within the </w:t>
      </w:r>
      <w:r w:rsidRPr="0055688F">
        <w:t>focus groups and survey.</w:t>
      </w:r>
      <w:r w:rsidR="00E025E0" w:rsidRPr="00E025E0">
        <w:t xml:space="preserve"> </w:t>
      </w:r>
    </w:p>
    <w:p w14:paraId="137FA348" w14:textId="38D98D62" w:rsidR="00E025E0" w:rsidRPr="002F1D54" w:rsidRDefault="00E025E0" w:rsidP="00225997">
      <w:pPr>
        <w:pStyle w:val="GMCNumbertext"/>
      </w:pPr>
      <w:r w:rsidRPr="002F1D54">
        <w:t xml:space="preserve">The following </w:t>
      </w:r>
      <w:r w:rsidR="00B34A8F">
        <w:t>topics</w:t>
      </w:r>
      <w:r w:rsidRPr="002F1D54">
        <w:t xml:space="preserve"> have been included in the patient survey</w:t>
      </w:r>
    </w:p>
    <w:p w14:paraId="0952DC72" w14:textId="54A7173C" w:rsidR="00225997" w:rsidRPr="002D03BC" w:rsidRDefault="00E025E0" w:rsidP="002F1D54">
      <w:pPr>
        <w:pStyle w:val="GMCNumbertext"/>
        <w:numPr>
          <w:ilvl w:val="1"/>
          <w:numId w:val="3"/>
        </w:numPr>
        <w:tabs>
          <w:tab w:val="clear" w:pos="792"/>
          <w:tab w:val="num" w:pos="1418"/>
        </w:tabs>
        <w:ind w:left="1418" w:hanging="992"/>
      </w:pPr>
      <w:r w:rsidRPr="002D03BC">
        <w:t>P</w:t>
      </w:r>
      <w:r w:rsidR="00225997" w:rsidRPr="002D03BC">
        <w:t>atient expectations when medical professionals and their colleagues are abused by patients.</w:t>
      </w:r>
    </w:p>
    <w:p w14:paraId="62AD1FB7" w14:textId="2931BA00" w:rsidR="00E025E0" w:rsidRPr="002D03BC" w:rsidRDefault="00E025E0" w:rsidP="002F1D54">
      <w:pPr>
        <w:pStyle w:val="GMCNumbertext"/>
        <w:numPr>
          <w:ilvl w:val="1"/>
          <w:numId w:val="3"/>
        </w:numPr>
        <w:tabs>
          <w:tab w:val="clear" w:pos="792"/>
          <w:tab w:val="num" w:pos="1418"/>
        </w:tabs>
        <w:ind w:left="1418" w:hanging="992"/>
      </w:pPr>
      <w:r w:rsidRPr="002D03BC">
        <w:t>P</w:t>
      </w:r>
      <w:r w:rsidR="00720A08" w:rsidRPr="002D03BC">
        <w:t xml:space="preserve">atients’ views on whether </w:t>
      </w:r>
      <w:r w:rsidR="00AD682F">
        <w:t>medical professionals</w:t>
      </w:r>
      <w:r w:rsidR="00720A08" w:rsidRPr="002D03BC">
        <w:t xml:space="preserve"> should consider their own beliefs and bias</w:t>
      </w:r>
      <w:r w:rsidR="00F83AC2">
        <w:t>es</w:t>
      </w:r>
      <w:r w:rsidR="00686C47">
        <w:t>.</w:t>
      </w:r>
    </w:p>
    <w:p w14:paraId="04397008" w14:textId="2D29AB95" w:rsidR="000E3C2E" w:rsidRPr="002D03BC" w:rsidRDefault="00E025E0" w:rsidP="002F1D54">
      <w:pPr>
        <w:pStyle w:val="GMCNumbertext"/>
        <w:numPr>
          <w:ilvl w:val="1"/>
          <w:numId w:val="3"/>
        </w:numPr>
        <w:tabs>
          <w:tab w:val="clear" w:pos="792"/>
          <w:tab w:val="num" w:pos="1418"/>
        </w:tabs>
        <w:ind w:left="1418" w:hanging="992"/>
      </w:pPr>
      <w:r w:rsidRPr="002D03BC">
        <w:t>H</w:t>
      </w:r>
      <w:r w:rsidR="00720A08" w:rsidRPr="002D03BC">
        <w:t xml:space="preserve">ow </w:t>
      </w:r>
      <w:r w:rsidR="00AD682F">
        <w:t>medical professionals</w:t>
      </w:r>
      <w:r w:rsidR="00720A08" w:rsidRPr="002D03BC">
        <w:t xml:space="preserve"> should </w:t>
      </w:r>
      <w:proofErr w:type="gramStart"/>
      <w:r w:rsidR="00720A08" w:rsidRPr="002D03BC">
        <w:t>take into account</w:t>
      </w:r>
      <w:proofErr w:type="gramEnd"/>
      <w:r w:rsidR="00720A08" w:rsidRPr="002D03BC">
        <w:t xml:space="preserve"> patients’ economic circumstances in addition to psychological, spiritual, social and cultural factors and views and values</w:t>
      </w:r>
      <w:r w:rsidR="00350F76">
        <w:t>.</w:t>
      </w:r>
      <w:r w:rsidR="00720A08" w:rsidRPr="002D03BC">
        <w:t xml:space="preserve"> </w:t>
      </w:r>
    </w:p>
    <w:p w14:paraId="07153CE6" w14:textId="69485BB0" w:rsidR="000E3C2E" w:rsidRPr="002D03BC" w:rsidRDefault="00E025E0" w:rsidP="002F1D54">
      <w:pPr>
        <w:pStyle w:val="GMCNumbertext"/>
        <w:numPr>
          <w:ilvl w:val="1"/>
          <w:numId w:val="3"/>
        </w:numPr>
        <w:tabs>
          <w:tab w:val="clear" w:pos="792"/>
          <w:tab w:val="num" w:pos="1418"/>
        </w:tabs>
        <w:ind w:left="1418" w:hanging="992"/>
      </w:pPr>
      <w:r w:rsidRPr="002D03BC">
        <w:t>C</w:t>
      </w:r>
      <w:r w:rsidR="000E3C2E" w:rsidRPr="002D03BC">
        <w:t>ommunication and reasonable adjustments for patients.</w:t>
      </w:r>
    </w:p>
    <w:p w14:paraId="200F6BFE" w14:textId="1BC1A208" w:rsidR="00720A08" w:rsidRPr="002D03BC" w:rsidRDefault="00E025E0" w:rsidP="002F1D54">
      <w:pPr>
        <w:pStyle w:val="GMCNumbertext"/>
        <w:numPr>
          <w:ilvl w:val="1"/>
          <w:numId w:val="3"/>
        </w:numPr>
        <w:tabs>
          <w:tab w:val="clear" w:pos="792"/>
          <w:tab w:val="num" w:pos="1418"/>
        </w:tabs>
        <w:ind w:left="1418" w:hanging="992"/>
      </w:pPr>
      <w:r w:rsidRPr="002D03BC">
        <w:t>W</w:t>
      </w:r>
      <w:r w:rsidR="000E3C2E" w:rsidRPr="002D03BC">
        <w:t>hether the new standards are patient-centred enough.</w:t>
      </w:r>
    </w:p>
    <w:p w14:paraId="36005710" w14:textId="7A2BE01D" w:rsidR="00E025E0" w:rsidRPr="002F1D54" w:rsidRDefault="00E025E0" w:rsidP="00D65924">
      <w:pPr>
        <w:pStyle w:val="GMCNumbertext"/>
      </w:pPr>
      <w:r w:rsidRPr="002F1D54">
        <w:t xml:space="preserve">The following </w:t>
      </w:r>
      <w:r w:rsidR="002F1D54" w:rsidRPr="002F1D54">
        <w:t xml:space="preserve">ED&amp;I </w:t>
      </w:r>
      <w:r w:rsidRPr="002F1D54">
        <w:t>themes are being explored in patient focus groups/workshops</w:t>
      </w:r>
    </w:p>
    <w:p w14:paraId="063913E8" w14:textId="56BD4C06" w:rsidR="00E025E0" w:rsidRPr="00686C47" w:rsidRDefault="00D65924" w:rsidP="002F1D54">
      <w:pPr>
        <w:pStyle w:val="GMCNumbertext"/>
        <w:numPr>
          <w:ilvl w:val="1"/>
          <w:numId w:val="3"/>
        </w:numPr>
        <w:tabs>
          <w:tab w:val="clear" w:pos="792"/>
          <w:tab w:val="num" w:pos="1418"/>
        </w:tabs>
        <w:ind w:left="1418" w:hanging="992"/>
      </w:pPr>
      <w:r w:rsidRPr="00686C47">
        <w:t xml:space="preserve">Conscientious objection </w:t>
      </w:r>
    </w:p>
    <w:p w14:paraId="69BA6811" w14:textId="603C8C91" w:rsidR="00E025E0" w:rsidRPr="00E025E0" w:rsidRDefault="00E025E0" w:rsidP="000E3C2E">
      <w:pPr>
        <w:pStyle w:val="GMCNumbertext"/>
      </w:pPr>
      <w:r>
        <w:t xml:space="preserve">Teamworking questions are in the </w:t>
      </w:r>
      <w:r w:rsidR="00350F76">
        <w:t xml:space="preserve">main </w:t>
      </w:r>
      <w:r>
        <w:t xml:space="preserve">and </w:t>
      </w:r>
      <w:r w:rsidR="00350F76">
        <w:t>hea</w:t>
      </w:r>
      <w:r w:rsidR="00B34A8F">
        <w:t>l</w:t>
      </w:r>
      <w:r w:rsidR="00350F76">
        <w:t xml:space="preserve">thcare </w:t>
      </w:r>
      <w:r>
        <w:t>professionals’ surveys</w:t>
      </w:r>
      <w:r w:rsidR="00350F76">
        <w:t>.</w:t>
      </w:r>
    </w:p>
    <w:p w14:paraId="464F3122" w14:textId="37FA1E1C" w:rsidR="00E025E0" w:rsidRPr="002F1D54" w:rsidRDefault="00E025E0" w:rsidP="00E025E0">
      <w:pPr>
        <w:pStyle w:val="GMCNumbertext"/>
      </w:pPr>
      <w:r w:rsidRPr="002F1D54">
        <w:t xml:space="preserve">The following </w:t>
      </w:r>
      <w:r w:rsidR="002F1D54" w:rsidRPr="002F1D54">
        <w:t xml:space="preserve">ED&amp;I </w:t>
      </w:r>
      <w:r w:rsidRPr="002F1D54">
        <w:t xml:space="preserve">themes are being explored in </w:t>
      </w:r>
      <w:r w:rsidR="002F1D54" w:rsidRPr="002F1D54">
        <w:t>stakeholder</w:t>
      </w:r>
      <w:r w:rsidRPr="002F1D54">
        <w:t xml:space="preserve"> </w:t>
      </w:r>
      <w:r w:rsidR="002F1D54">
        <w:t xml:space="preserve">focus </w:t>
      </w:r>
      <w:r w:rsidRPr="002F1D54">
        <w:t>groups</w:t>
      </w:r>
    </w:p>
    <w:p w14:paraId="464A1ABE" w14:textId="5B302CAA" w:rsidR="00FF3A82" w:rsidRPr="00686C47" w:rsidRDefault="00FF3A82" w:rsidP="00FF3A82">
      <w:pPr>
        <w:pStyle w:val="GMCNumbertext"/>
        <w:numPr>
          <w:ilvl w:val="1"/>
          <w:numId w:val="3"/>
        </w:numPr>
        <w:tabs>
          <w:tab w:val="clear" w:pos="792"/>
          <w:tab w:val="num" w:pos="1418"/>
        </w:tabs>
        <w:ind w:left="1418" w:hanging="992"/>
      </w:pPr>
      <w:r w:rsidRPr="00686C47">
        <w:t>Technology – we will explore fairness and digital poverty.</w:t>
      </w:r>
    </w:p>
    <w:p w14:paraId="622E6F5D" w14:textId="743BE9C8" w:rsidR="00FF3A82" w:rsidRPr="00FF3A82" w:rsidRDefault="00FF3A82" w:rsidP="00FF3A82">
      <w:pPr>
        <w:pStyle w:val="GMCNumbertext"/>
        <w:numPr>
          <w:ilvl w:val="1"/>
          <w:numId w:val="3"/>
        </w:numPr>
        <w:tabs>
          <w:tab w:val="clear" w:pos="792"/>
          <w:tab w:val="num" w:pos="1418"/>
        </w:tabs>
        <w:ind w:left="1418" w:hanging="992"/>
      </w:pPr>
      <w:r w:rsidRPr="00686C47">
        <w:lastRenderedPageBreak/>
        <w:t>Meeting/exceeding legal duties around disabled patients – should</w:t>
      </w:r>
      <w:r w:rsidRPr="00FF3A82">
        <w:t xml:space="preserve"> GMP go further than our legal obligations (which we meet) and what would this look like?</w:t>
      </w:r>
    </w:p>
    <w:p w14:paraId="7EE53B5F" w14:textId="625B4712" w:rsidR="002F1D54" w:rsidRPr="002F1D54" w:rsidRDefault="002F1D54" w:rsidP="00D65924">
      <w:pPr>
        <w:pStyle w:val="GMCNumbertext"/>
      </w:pPr>
      <w:r w:rsidRPr="002F1D54">
        <w:t xml:space="preserve">The following ED&amp;I theme </w:t>
      </w:r>
      <w:r w:rsidR="00E40077">
        <w:t>is</w:t>
      </w:r>
      <w:r w:rsidRPr="002F1D54">
        <w:t xml:space="preserve"> being explored in medical professionals’ focus groups</w:t>
      </w:r>
    </w:p>
    <w:p w14:paraId="7417635F" w14:textId="2BF862CB" w:rsidR="00225997" w:rsidRPr="00686C47" w:rsidRDefault="00374D25" w:rsidP="00225997">
      <w:pPr>
        <w:pStyle w:val="GMCNumbertext"/>
        <w:numPr>
          <w:ilvl w:val="1"/>
          <w:numId w:val="3"/>
        </w:numPr>
        <w:tabs>
          <w:tab w:val="clear" w:pos="792"/>
          <w:tab w:val="num" w:pos="1418"/>
        </w:tabs>
        <w:ind w:left="1418" w:hanging="992"/>
      </w:pPr>
      <w:r w:rsidRPr="00686C47">
        <w:t>Conscientious objection</w:t>
      </w:r>
      <w:r w:rsidR="00E025E0" w:rsidRPr="00686C47">
        <w:t xml:space="preserve"> </w:t>
      </w:r>
      <w:r w:rsidR="002F1D54" w:rsidRPr="00686C47">
        <w:t xml:space="preserve">– </w:t>
      </w:r>
      <w:r w:rsidR="00E025E0" w:rsidRPr="00686C47">
        <w:t>we</w:t>
      </w:r>
      <w:r w:rsidR="002F1D54" w:rsidRPr="00686C47">
        <w:t xml:space="preserve"> </w:t>
      </w:r>
      <w:r w:rsidR="00E025E0" w:rsidRPr="00686C47">
        <w:t>will ask about experience of using the personal beliefs guidance</w:t>
      </w:r>
      <w:r w:rsidR="00350F76">
        <w:t>.</w:t>
      </w:r>
    </w:p>
    <w:p w14:paraId="090F5C0B" w14:textId="07E1E568" w:rsidR="003716EB" w:rsidRDefault="003716EB" w:rsidP="003716EB">
      <w:pPr>
        <w:pStyle w:val="Heading2"/>
      </w:pPr>
      <w:r>
        <w:t>Review</w:t>
      </w:r>
      <w:r w:rsidR="004462FD">
        <w:t>i</w:t>
      </w:r>
      <w:r>
        <w:t>ng and monitoring</w:t>
      </w:r>
    </w:p>
    <w:p w14:paraId="33DDB863" w14:textId="0DE97457" w:rsidR="00302706" w:rsidRDefault="00302706" w:rsidP="00302706">
      <w:pPr>
        <w:pStyle w:val="GMCNumbertext"/>
      </w:pPr>
      <w:r>
        <w:t xml:space="preserve">The EA will be updated with any actions we identify </w:t>
      </w:r>
      <w:proofErr w:type="gramStart"/>
      <w:r>
        <w:t>in the course of</w:t>
      </w:r>
      <w:proofErr w:type="gramEnd"/>
      <w:r>
        <w:t xml:space="preserve"> this review.</w:t>
      </w:r>
    </w:p>
    <w:p w14:paraId="6B5AEA98" w14:textId="77777777" w:rsidR="00686C47" w:rsidRDefault="00302706" w:rsidP="00686C47">
      <w:pPr>
        <w:pStyle w:val="GMCNumbertext"/>
        <w:numPr>
          <w:ilvl w:val="0"/>
          <w:numId w:val="1"/>
        </w:numPr>
        <w:rPr>
          <w:rFonts w:cs="Tahoma"/>
        </w:rPr>
      </w:pPr>
      <w:r>
        <w:rPr>
          <w:rFonts w:cs="Tahoma"/>
        </w:rPr>
        <w:t xml:space="preserve">We will consider and review actions arising from this analysis at critical project milestones. </w:t>
      </w:r>
    </w:p>
    <w:p w14:paraId="5C83C3BA" w14:textId="18B270F1" w:rsidR="00F6693E" w:rsidRPr="00686C47" w:rsidRDefault="00302706" w:rsidP="00686C47">
      <w:pPr>
        <w:pStyle w:val="GMCNumbertext"/>
        <w:numPr>
          <w:ilvl w:val="0"/>
          <w:numId w:val="1"/>
        </w:numPr>
        <w:rPr>
          <w:rFonts w:cs="Tahoma"/>
        </w:rPr>
      </w:pPr>
      <w:r w:rsidRPr="00686C47">
        <w:rPr>
          <w:rFonts w:cs="Tahoma"/>
        </w:rPr>
        <w:t xml:space="preserve">We will continue to review and monitor any literature which addresses inequalities in healthcare and any actions that arise in response to the revised </w:t>
      </w:r>
      <w:r w:rsidR="00350F76">
        <w:rPr>
          <w:rFonts w:cs="Tahoma"/>
        </w:rPr>
        <w:t xml:space="preserve">GMP </w:t>
      </w:r>
      <w:r w:rsidRPr="00686C47">
        <w:rPr>
          <w:rFonts w:cs="Tahoma"/>
        </w:rPr>
        <w:t>ahead of the next full review.</w:t>
      </w:r>
    </w:p>
    <w:p w14:paraId="2FEDB471" w14:textId="77777777" w:rsidR="003716EB" w:rsidRDefault="003716EB" w:rsidP="003716EB">
      <w:pPr>
        <w:pStyle w:val="Heading2"/>
      </w:pPr>
      <w:r>
        <w:t>Sign off</w:t>
      </w:r>
    </w:p>
    <w:p w14:paraId="4D30264C" w14:textId="77777777" w:rsidR="003716EB" w:rsidRPr="003716EB" w:rsidRDefault="003716EB" w:rsidP="003716EB"/>
    <w:tbl>
      <w:tblPr>
        <w:tblStyle w:val="TableGrid"/>
        <w:tblW w:w="0" w:type="auto"/>
        <w:tblInd w:w="534" w:type="dxa"/>
        <w:tblLook w:val="04A0" w:firstRow="1" w:lastRow="0" w:firstColumn="1" w:lastColumn="0" w:noHBand="0" w:noVBand="1"/>
      </w:tblPr>
      <w:tblGrid>
        <w:gridCol w:w="2103"/>
        <w:gridCol w:w="6992"/>
      </w:tblGrid>
      <w:tr w:rsidR="003716EB" w14:paraId="08E0AA37" w14:textId="77777777" w:rsidTr="003716EB">
        <w:tc>
          <w:tcPr>
            <w:tcW w:w="2693" w:type="dxa"/>
          </w:tcPr>
          <w:p w14:paraId="4B3A03E1" w14:textId="77777777" w:rsidR="003716EB" w:rsidRDefault="003716EB" w:rsidP="003716EB">
            <w:r>
              <w:t xml:space="preserve">EA </w:t>
            </w:r>
            <w:proofErr w:type="gramStart"/>
            <w:r>
              <w:t>lead</w:t>
            </w:r>
            <w:proofErr w:type="gramEnd"/>
            <w:r>
              <w:t>(s)</w:t>
            </w:r>
          </w:p>
        </w:tc>
        <w:tc>
          <w:tcPr>
            <w:tcW w:w="11702" w:type="dxa"/>
          </w:tcPr>
          <w:p w14:paraId="0BB3B984" w14:textId="6BC6120F" w:rsidR="003716EB" w:rsidRDefault="000021FC" w:rsidP="003716EB">
            <w:r>
              <w:t>Rose Clout</w:t>
            </w:r>
            <w:r w:rsidR="00456FDC">
              <w:t>, Policy Officer</w:t>
            </w:r>
          </w:p>
        </w:tc>
      </w:tr>
      <w:tr w:rsidR="003716EB" w14:paraId="0D529CEC" w14:textId="77777777" w:rsidTr="003716EB">
        <w:tc>
          <w:tcPr>
            <w:tcW w:w="2693" w:type="dxa"/>
          </w:tcPr>
          <w:p w14:paraId="2DEEA85E" w14:textId="77777777" w:rsidR="003716EB" w:rsidRDefault="003716EB" w:rsidP="003716EB">
            <w:r>
              <w:t>Directorate</w:t>
            </w:r>
          </w:p>
        </w:tc>
        <w:tc>
          <w:tcPr>
            <w:tcW w:w="11702" w:type="dxa"/>
          </w:tcPr>
          <w:p w14:paraId="37BDF451" w14:textId="60CE20F5" w:rsidR="003716EB" w:rsidRDefault="000021FC" w:rsidP="003716EB">
            <w:r>
              <w:t>Education and Standards</w:t>
            </w:r>
          </w:p>
        </w:tc>
      </w:tr>
      <w:tr w:rsidR="003716EB" w14:paraId="0289562C" w14:textId="77777777" w:rsidTr="003716EB">
        <w:tc>
          <w:tcPr>
            <w:tcW w:w="2693" w:type="dxa"/>
          </w:tcPr>
          <w:p w14:paraId="355AC6E0" w14:textId="77777777" w:rsidR="003716EB" w:rsidRDefault="003716EB" w:rsidP="003716EB">
            <w:r>
              <w:t>Assistant Director / Director</w:t>
            </w:r>
          </w:p>
        </w:tc>
        <w:tc>
          <w:tcPr>
            <w:tcW w:w="11702" w:type="dxa"/>
          </w:tcPr>
          <w:p w14:paraId="768C619A" w14:textId="204BFED9" w:rsidR="003716EB" w:rsidRDefault="000021FC" w:rsidP="003716EB">
            <w:r>
              <w:t>Mark Swindells</w:t>
            </w:r>
            <w:r w:rsidR="00456FDC">
              <w:t xml:space="preserve">, Assistant Director of Standards and Guidance </w:t>
            </w:r>
          </w:p>
        </w:tc>
      </w:tr>
      <w:tr w:rsidR="003716EB" w14:paraId="0E1969B7" w14:textId="77777777" w:rsidTr="003716EB">
        <w:tc>
          <w:tcPr>
            <w:tcW w:w="2693" w:type="dxa"/>
          </w:tcPr>
          <w:p w14:paraId="69BB87F6" w14:textId="345D1C59" w:rsidR="003716EB" w:rsidRDefault="003716EB" w:rsidP="003716EB">
            <w:r>
              <w:t>E</w:t>
            </w:r>
            <w:r w:rsidR="00456FDC">
              <w:t>D&amp;I t</w:t>
            </w:r>
            <w:r>
              <w:t xml:space="preserve">eam </w:t>
            </w:r>
            <w:r w:rsidR="00456FDC">
              <w:t>m</w:t>
            </w:r>
            <w:r>
              <w:t>ember</w:t>
            </w:r>
          </w:p>
        </w:tc>
        <w:tc>
          <w:tcPr>
            <w:tcW w:w="11702" w:type="dxa"/>
          </w:tcPr>
          <w:p w14:paraId="5A5BC820" w14:textId="12E5F732" w:rsidR="003716EB" w:rsidRDefault="008D0560" w:rsidP="003716EB">
            <w:r>
              <w:t>Claire Light</w:t>
            </w:r>
            <w:r w:rsidR="00456FDC">
              <w:t>, Head of ED&amp;I</w:t>
            </w:r>
          </w:p>
        </w:tc>
      </w:tr>
    </w:tbl>
    <w:p w14:paraId="729D1869" w14:textId="18E60380" w:rsidR="0079352D" w:rsidRDefault="0079352D" w:rsidP="00C2044F">
      <w:pPr>
        <w:pStyle w:val="Heading2"/>
        <w:rPr>
          <w:bCs w:val="0"/>
          <w:iCs w:val="0"/>
        </w:rPr>
      </w:pPr>
      <w:bookmarkStart w:id="12" w:name="_Annex_A_–"/>
      <w:bookmarkEnd w:id="12"/>
    </w:p>
    <w:p w14:paraId="4B2116DF" w14:textId="77777777" w:rsidR="0079352D" w:rsidRDefault="0079352D">
      <w:pPr>
        <w:spacing w:after="0" w:line="240" w:lineRule="auto"/>
        <w:rPr>
          <w:rFonts w:cs="Arial"/>
          <w:b/>
          <w:color w:val="00377B"/>
          <w:kern w:val="32"/>
          <w:sz w:val="32"/>
          <w:szCs w:val="28"/>
        </w:rPr>
      </w:pPr>
      <w:r>
        <w:rPr>
          <w:bCs/>
          <w:iCs/>
        </w:rPr>
        <w:br w:type="page"/>
      </w:r>
    </w:p>
    <w:p w14:paraId="45AD0001" w14:textId="4151D324" w:rsidR="003839D5" w:rsidRDefault="0079352D" w:rsidP="0057573F">
      <w:pPr>
        <w:pStyle w:val="Heading1"/>
      </w:pPr>
      <w:bookmarkStart w:id="13" w:name="_Annex_A_-"/>
      <w:bookmarkEnd w:id="13"/>
      <w:r>
        <w:rPr>
          <w:iCs/>
        </w:rPr>
        <w:lastRenderedPageBreak/>
        <w:t xml:space="preserve">Annex A - </w:t>
      </w:r>
      <w:r>
        <w:t>ED&amp;I scoping sources</w:t>
      </w:r>
    </w:p>
    <w:p w14:paraId="106952B3" w14:textId="7825F442" w:rsidR="0079352D" w:rsidRPr="008F53C6" w:rsidRDefault="00456FDC" w:rsidP="006435DA">
      <w:pPr>
        <w:pStyle w:val="ListParagraph"/>
        <w:numPr>
          <w:ilvl w:val="0"/>
          <w:numId w:val="26"/>
        </w:numPr>
        <w:spacing w:after="120" w:line="240" w:lineRule="auto"/>
        <w:ind w:left="714" w:hanging="357"/>
        <w:contextualSpacing w:val="0"/>
        <w:rPr>
          <w:rStyle w:val="Hyperlink"/>
          <w:color w:val="auto"/>
        </w:rPr>
      </w:pPr>
      <w:hyperlink r:id="rId16" w:history="1">
        <w:r w:rsidR="0079352D" w:rsidRPr="0063276A">
          <w:rPr>
            <w:rStyle w:val="Hyperlink"/>
            <w:color w:val="auto"/>
          </w:rPr>
          <w:t>GMC Caring for doctors caring for patients 2018</w:t>
        </w:r>
      </w:hyperlink>
    </w:p>
    <w:p w14:paraId="33966316" w14:textId="77777777" w:rsidR="0079352D" w:rsidRDefault="00456FDC" w:rsidP="006435DA">
      <w:pPr>
        <w:pStyle w:val="ListParagraph"/>
        <w:numPr>
          <w:ilvl w:val="0"/>
          <w:numId w:val="26"/>
        </w:numPr>
        <w:spacing w:after="120" w:line="240" w:lineRule="auto"/>
        <w:ind w:left="714" w:hanging="357"/>
        <w:contextualSpacing w:val="0"/>
        <w:rPr>
          <w:rStyle w:val="Hyperlink"/>
          <w:color w:val="auto"/>
        </w:rPr>
      </w:pPr>
      <w:hyperlink r:id="rId17" w:history="1">
        <w:r w:rsidR="0079352D" w:rsidRPr="0063276A">
          <w:rPr>
            <w:rStyle w:val="Hyperlink"/>
            <w:color w:val="auto"/>
          </w:rPr>
          <w:t>Fair to refer?</w:t>
        </w:r>
      </w:hyperlink>
    </w:p>
    <w:p w14:paraId="2B641677" w14:textId="77777777" w:rsidR="0079352D" w:rsidRPr="008F53C6" w:rsidRDefault="00456FDC" w:rsidP="006435DA">
      <w:pPr>
        <w:pStyle w:val="ListParagraph"/>
        <w:numPr>
          <w:ilvl w:val="0"/>
          <w:numId w:val="26"/>
        </w:numPr>
        <w:spacing w:after="120" w:line="240" w:lineRule="auto"/>
        <w:ind w:left="714" w:hanging="357"/>
        <w:contextualSpacing w:val="0"/>
        <w:rPr>
          <w:color w:val="auto"/>
          <w:u w:val="single"/>
        </w:rPr>
      </w:pPr>
      <w:hyperlink r:id="rId18" w:history="1">
        <w:r w:rsidR="0079352D" w:rsidRPr="001A5005">
          <w:rPr>
            <w:rStyle w:val="Hyperlink"/>
          </w:rPr>
          <w:t>Understanding employer’s referrals of doctors to the General Medical Council</w:t>
        </w:r>
      </w:hyperlink>
    </w:p>
    <w:p w14:paraId="39BE940B" w14:textId="77777777" w:rsidR="0079352D" w:rsidRPr="008F53C6" w:rsidRDefault="00456FDC" w:rsidP="006435DA">
      <w:pPr>
        <w:pStyle w:val="ListParagraph"/>
        <w:numPr>
          <w:ilvl w:val="0"/>
          <w:numId w:val="26"/>
        </w:numPr>
        <w:spacing w:after="120" w:line="240" w:lineRule="auto"/>
        <w:ind w:left="714" w:hanging="357"/>
        <w:contextualSpacing w:val="0"/>
        <w:rPr>
          <w:color w:val="auto"/>
        </w:rPr>
      </w:pPr>
      <w:hyperlink r:id="rId19" w:history="1">
        <w:r w:rsidR="0079352D" w:rsidRPr="0063276A">
          <w:rPr>
            <w:rStyle w:val="Hyperlink"/>
            <w:color w:val="auto"/>
          </w:rPr>
          <w:t>Medical council of New Zealand statement on cultural safety</w:t>
        </w:r>
      </w:hyperlink>
    </w:p>
    <w:p w14:paraId="5F424867" w14:textId="65E4A37D" w:rsidR="0079352D" w:rsidRPr="008F53C6" w:rsidRDefault="00456FDC" w:rsidP="006435DA">
      <w:pPr>
        <w:pStyle w:val="ListParagraph"/>
        <w:numPr>
          <w:ilvl w:val="0"/>
          <w:numId w:val="26"/>
        </w:numPr>
        <w:spacing w:after="120" w:line="240" w:lineRule="auto"/>
        <w:ind w:left="714" w:hanging="357"/>
        <w:contextualSpacing w:val="0"/>
        <w:rPr>
          <w:rStyle w:val="Hyperlink"/>
          <w:color w:val="auto"/>
        </w:rPr>
      </w:pPr>
      <w:hyperlink r:id="rId20" w:history="1">
        <w:r w:rsidR="0079352D" w:rsidRPr="0063276A">
          <w:rPr>
            <w:rStyle w:val="Hyperlink"/>
            <w:color w:val="auto"/>
          </w:rPr>
          <w:t>GMC-What it means to be a doctor</w:t>
        </w:r>
      </w:hyperlink>
    </w:p>
    <w:p w14:paraId="0CE09287" w14:textId="77777777" w:rsidR="0079352D" w:rsidRPr="008F53C6" w:rsidRDefault="00456FDC" w:rsidP="006435DA">
      <w:pPr>
        <w:pStyle w:val="ListParagraph"/>
        <w:numPr>
          <w:ilvl w:val="0"/>
          <w:numId w:val="26"/>
        </w:numPr>
        <w:spacing w:after="120" w:line="240" w:lineRule="auto"/>
        <w:ind w:left="714" w:hanging="357"/>
        <w:contextualSpacing w:val="0"/>
        <w:rPr>
          <w:rStyle w:val="Hyperlink"/>
          <w:color w:val="auto"/>
        </w:rPr>
      </w:pPr>
      <w:hyperlink r:id="rId21" w:history="1">
        <w:r w:rsidR="0079352D" w:rsidRPr="00FC24B8">
          <w:rPr>
            <w:rStyle w:val="Hyperlink"/>
            <w:color w:val="auto"/>
          </w:rPr>
          <w:t>Fairness and the GMC: Doctors’ views</w:t>
        </w:r>
      </w:hyperlink>
    </w:p>
    <w:p w14:paraId="1E62093B" w14:textId="77B93DAD" w:rsidR="0079352D" w:rsidRPr="008F53C6" w:rsidRDefault="0079352D" w:rsidP="006435DA">
      <w:pPr>
        <w:pStyle w:val="ListParagraph"/>
        <w:numPr>
          <w:ilvl w:val="0"/>
          <w:numId w:val="26"/>
        </w:numPr>
        <w:spacing w:after="120" w:line="240" w:lineRule="auto"/>
        <w:ind w:left="714" w:hanging="357"/>
        <w:contextualSpacing w:val="0"/>
        <w:rPr>
          <w:rStyle w:val="Hyperlink"/>
          <w:color w:val="auto"/>
        </w:rPr>
      </w:pPr>
      <w:r w:rsidRPr="0063276A">
        <w:rPr>
          <w:i/>
          <w:color w:val="auto"/>
        </w:rPr>
        <w:t>Alliance for Equality in Healthcare Professions</w:t>
      </w:r>
      <w:r w:rsidRPr="0063276A">
        <w:rPr>
          <w:color w:val="auto"/>
        </w:rPr>
        <w:t>, chaired by BAPIO </w:t>
      </w:r>
      <w:hyperlink r:id="rId22" w:tgtFrame="_blank" w:history="1">
        <w:r w:rsidRPr="0063276A">
          <w:rPr>
            <w:rStyle w:val="Hyperlink"/>
            <w:color w:val="auto"/>
          </w:rPr>
          <w:t>Bridging the Gap workstream</w:t>
        </w:r>
      </w:hyperlink>
      <w:r w:rsidRPr="0063276A">
        <w:rPr>
          <w:color w:val="auto"/>
        </w:rPr>
        <w:t xml:space="preserve"> and </w:t>
      </w:r>
      <w:r w:rsidRPr="008F53C6">
        <w:t xml:space="preserve">Does a </w:t>
      </w:r>
      <w:hyperlink r:id="rId23" w:history="1">
        <w:r w:rsidRPr="006435DA">
          <w:rPr>
            <w:rStyle w:val="Hyperlink"/>
          </w:rPr>
          <w:t>Narrow Definition of Medical Professionalism lead to Systemic Bias and Differential Outcomes</w:t>
        </w:r>
      </w:hyperlink>
      <w:r w:rsidRPr="008F53C6">
        <w:t>? report</w:t>
      </w:r>
    </w:p>
    <w:p w14:paraId="3208DB26" w14:textId="77777777" w:rsidR="0079352D" w:rsidRDefault="0079352D" w:rsidP="006435DA">
      <w:pPr>
        <w:pStyle w:val="ListParagraph"/>
        <w:numPr>
          <w:ilvl w:val="0"/>
          <w:numId w:val="26"/>
        </w:numPr>
        <w:spacing w:after="120" w:line="240" w:lineRule="auto"/>
        <w:ind w:left="714" w:hanging="357"/>
        <w:contextualSpacing w:val="0"/>
        <w:rPr>
          <w:color w:val="auto"/>
        </w:rPr>
      </w:pPr>
      <w:r w:rsidRPr="0063276A">
        <w:rPr>
          <w:color w:val="auto"/>
        </w:rPr>
        <w:t>Scoping Report on Nuffield Council on bioethics Workshop - The role of technology in the future of mental healthcare: challenges, opportunities, and ethical issues</w:t>
      </w:r>
    </w:p>
    <w:p w14:paraId="18CC1BEC" w14:textId="77777777" w:rsidR="0079352D" w:rsidRDefault="0079352D" w:rsidP="006435DA">
      <w:pPr>
        <w:pStyle w:val="ListParagraph"/>
        <w:numPr>
          <w:ilvl w:val="0"/>
          <w:numId w:val="26"/>
        </w:numPr>
        <w:spacing w:after="120" w:line="240" w:lineRule="auto"/>
        <w:ind w:left="714" w:hanging="357"/>
        <w:contextualSpacing w:val="0"/>
        <w:rPr>
          <w:color w:val="auto"/>
        </w:rPr>
      </w:pPr>
      <w:r>
        <w:rPr>
          <w:color w:val="auto"/>
        </w:rPr>
        <w:t>GMC key facts and figures 2020</w:t>
      </w:r>
    </w:p>
    <w:p w14:paraId="6957DB6A" w14:textId="4227C0E3" w:rsidR="0079352D" w:rsidRPr="00E3009A" w:rsidRDefault="00456FDC" w:rsidP="006435DA">
      <w:pPr>
        <w:pStyle w:val="ListParagraph"/>
        <w:numPr>
          <w:ilvl w:val="0"/>
          <w:numId w:val="26"/>
        </w:numPr>
        <w:spacing w:after="120" w:line="240" w:lineRule="auto"/>
        <w:ind w:left="714" w:hanging="357"/>
        <w:contextualSpacing w:val="0"/>
        <w:rPr>
          <w:color w:val="auto"/>
        </w:rPr>
      </w:pPr>
      <w:hyperlink r:id="rId24" w:history="1">
        <w:r w:rsidR="0079352D" w:rsidRPr="006435DA">
          <w:rPr>
            <w:rStyle w:val="Hyperlink"/>
          </w:rPr>
          <w:t>Specialty, associate specialist and locally employed doctors workplace experiences survey</w:t>
        </w:r>
      </w:hyperlink>
      <w:r w:rsidR="0079352D" w:rsidRPr="00863F8E">
        <w:rPr>
          <w:color w:val="984806" w:themeColor="accent6" w:themeShade="80"/>
          <w:u w:val="single"/>
        </w:rPr>
        <w:t xml:space="preserve"> </w:t>
      </w:r>
      <w:r w:rsidR="0079352D" w:rsidRPr="00E3009A">
        <w:rPr>
          <w:color w:val="auto"/>
        </w:rPr>
        <w:t xml:space="preserve">and report </w:t>
      </w:r>
      <w:hyperlink r:id="rId25" w:history="1">
        <w:r w:rsidR="0079352D" w:rsidRPr="00E3009A">
          <w:rPr>
            <w:color w:val="auto"/>
            <w:u w:val="single"/>
          </w:rPr>
          <w:t>What do we know about SAS and LA doctors?</w:t>
        </w:r>
      </w:hyperlink>
    </w:p>
    <w:p w14:paraId="6A895190" w14:textId="0A1FADF8" w:rsidR="0079352D" w:rsidRPr="00E3009A" w:rsidRDefault="00456FDC" w:rsidP="006435DA">
      <w:pPr>
        <w:pStyle w:val="ListParagraph"/>
        <w:numPr>
          <w:ilvl w:val="0"/>
          <w:numId w:val="26"/>
        </w:numPr>
        <w:spacing w:after="120" w:line="240" w:lineRule="auto"/>
        <w:ind w:left="714" w:hanging="357"/>
        <w:contextualSpacing w:val="0"/>
        <w:rPr>
          <w:rStyle w:val="Hyperlink"/>
          <w:color w:val="auto"/>
          <w:u w:val="none"/>
        </w:rPr>
      </w:pPr>
      <w:hyperlink r:id="rId26" w:history="1">
        <w:r w:rsidR="0079352D" w:rsidRPr="00E3009A">
          <w:rPr>
            <w:rStyle w:val="Hyperlink"/>
            <w:color w:val="auto"/>
            <w:shd w:val="clear" w:color="auto" w:fill="F7F8F8"/>
          </w:rPr>
          <w:t>What our data tells us about locum doctors</w:t>
        </w:r>
      </w:hyperlink>
    </w:p>
    <w:p w14:paraId="0D7CBFAE" w14:textId="7C61ACFA" w:rsidR="0079352D" w:rsidRPr="00D91075" w:rsidRDefault="00456FDC" w:rsidP="006435DA">
      <w:pPr>
        <w:pStyle w:val="ListParagraph"/>
        <w:numPr>
          <w:ilvl w:val="0"/>
          <w:numId w:val="26"/>
        </w:numPr>
        <w:spacing w:after="120" w:line="240" w:lineRule="auto"/>
        <w:ind w:left="714" w:hanging="357"/>
        <w:contextualSpacing w:val="0"/>
        <w:rPr>
          <w:color w:val="auto"/>
        </w:rPr>
      </w:pPr>
      <w:hyperlink r:id="rId27" w:history="1">
        <w:r w:rsidR="0079352D" w:rsidRPr="007B1DC8">
          <w:rPr>
            <w:rStyle w:val="Hyperlink"/>
          </w:rPr>
          <w:t xml:space="preserve">Welcomed and </w:t>
        </w:r>
        <w:proofErr w:type="gramStart"/>
        <w:r w:rsidR="0079352D" w:rsidRPr="007B1DC8">
          <w:rPr>
            <w:rStyle w:val="Hyperlink"/>
          </w:rPr>
          <w:t>Valued</w:t>
        </w:r>
        <w:proofErr w:type="gramEnd"/>
      </w:hyperlink>
    </w:p>
    <w:p w14:paraId="05D23D2C" w14:textId="4A35E144" w:rsidR="0079352D" w:rsidRDefault="0079352D" w:rsidP="006435DA">
      <w:pPr>
        <w:pStyle w:val="ListParagraph"/>
        <w:numPr>
          <w:ilvl w:val="0"/>
          <w:numId w:val="26"/>
        </w:numPr>
        <w:spacing w:after="120" w:line="240" w:lineRule="auto"/>
        <w:ind w:left="714" w:hanging="357"/>
        <w:contextualSpacing w:val="0"/>
        <w:rPr>
          <w:color w:val="auto"/>
        </w:rPr>
      </w:pPr>
      <w:r w:rsidRPr="0063276A">
        <w:rPr>
          <w:color w:val="auto"/>
        </w:rPr>
        <w:t>LGBTQ+</w:t>
      </w:r>
      <w:r>
        <w:rPr>
          <w:color w:val="auto"/>
        </w:rPr>
        <w:t xml:space="preserve"> patients and </w:t>
      </w:r>
      <w:r w:rsidRPr="0063276A">
        <w:rPr>
          <w:color w:val="auto"/>
        </w:rPr>
        <w:t xml:space="preserve">healthcare </w:t>
      </w:r>
      <w:r>
        <w:rPr>
          <w:color w:val="auto"/>
        </w:rPr>
        <w:t xml:space="preserve">– 13 </w:t>
      </w:r>
      <w:r w:rsidRPr="0063276A">
        <w:rPr>
          <w:color w:val="auto"/>
        </w:rPr>
        <w:t>sources</w:t>
      </w:r>
    </w:p>
    <w:p w14:paraId="0D71F7AD" w14:textId="100FBDA8" w:rsidR="0079352D" w:rsidRPr="008F53C6" w:rsidRDefault="0079352D" w:rsidP="006435DA">
      <w:pPr>
        <w:pStyle w:val="ListParagraph"/>
        <w:numPr>
          <w:ilvl w:val="0"/>
          <w:numId w:val="26"/>
        </w:numPr>
        <w:spacing w:after="120" w:line="240" w:lineRule="auto"/>
        <w:ind w:left="714" w:hanging="357"/>
        <w:contextualSpacing w:val="0"/>
        <w:rPr>
          <w:color w:val="auto"/>
        </w:rPr>
      </w:pPr>
      <w:r w:rsidRPr="0063276A">
        <w:rPr>
          <w:color w:val="auto"/>
        </w:rPr>
        <w:t>EDI and building back better after COVID</w:t>
      </w:r>
      <w:r>
        <w:rPr>
          <w:color w:val="auto"/>
        </w:rPr>
        <w:t>-19</w:t>
      </w:r>
      <w:r w:rsidRPr="0063276A">
        <w:rPr>
          <w:color w:val="auto"/>
        </w:rPr>
        <w:t xml:space="preserve"> </w:t>
      </w:r>
      <w:r>
        <w:rPr>
          <w:color w:val="auto"/>
        </w:rPr>
        <w:t>–</w:t>
      </w:r>
      <w:r w:rsidRPr="0063276A">
        <w:rPr>
          <w:color w:val="auto"/>
        </w:rPr>
        <w:t xml:space="preserve"> </w:t>
      </w:r>
      <w:r>
        <w:rPr>
          <w:color w:val="auto"/>
        </w:rPr>
        <w:t xml:space="preserve">33 </w:t>
      </w:r>
      <w:r w:rsidRPr="0063276A">
        <w:rPr>
          <w:color w:val="auto"/>
        </w:rPr>
        <w:t>sources</w:t>
      </w:r>
    </w:p>
    <w:p w14:paraId="0E17A970" w14:textId="46EB823D" w:rsidR="0079352D" w:rsidRPr="008F53C6" w:rsidRDefault="0079352D" w:rsidP="006435DA">
      <w:pPr>
        <w:pStyle w:val="ListParagraph"/>
        <w:numPr>
          <w:ilvl w:val="0"/>
          <w:numId w:val="26"/>
        </w:numPr>
        <w:spacing w:after="120" w:line="240" w:lineRule="auto"/>
        <w:ind w:left="714" w:hanging="357"/>
        <w:contextualSpacing w:val="0"/>
        <w:rPr>
          <w:color w:val="auto"/>
        </w:rPr>
      </w:pPr>
      <w:r w:rsidRPr="0063276A">
        <w:rPr>
          <w:color w:val="auto"/>
        </w:rPr>
        <w:t>Scoping report on Boundaries –</w:t>
      </w:r>
      <w:r>
        <w:rPr>
          <w:color w:val="auto"/>
        </w:rPr>
        <w:t xml:space="preserve"> 16 </w:t>
      </w:r>
      <w:r w:rsidRPr="0063276A">
        <w:rPr>
          <w:color w:val="auto"/>
        </w:rPr>
        <w:t>sources</w:t>
      </w:r>
    </w:p>
    <w:p w14:paraId="1F8E92C2" w14:textId="53F03E71" w:rsidR="0057573F" w:rsidRDefault="0057573F" w:rsidP="006435DA">
      <w:pPr>
        <w:pStyle w:val="ListParagraph"/>
        <w:numPr>
          <w:ilvl w:val="0"/>
          <w:numId w:val="26"/>
        </w:numPr>
        <w:spacing w:after="120" w:line="240" w:lineRule="auto"/>
        <w:ind w:left="714" w:hanging="357"/>
        <w:contextualSpacing w:val="0"/>
        <w:rPr>
          <w:color w:val="auto"/>
        </w:rPr>
      </w:pPr>
      <w:r w:rsidRPr="00D91075">
        <w:rPr>
          <w:color w:val="auto"/>
        </w:rPr>
        <w:t>Scoping report on horizon scanning</w:t>
      </w:r>
      <w:r>
        <w:rPr>
          <w:color w:val="auto"/>
        </w:rPr>
        <w:t xml:space="preserve"> – 19 sources</w:t>
      </w:r>
    </w:p>
    <w:p w14:paraId="5679D4FB" w14:textId="42985E8D" w:rsidR="0057573F" w:rsidRPr="00D91075" w:rsidRDefault="0057573F" w:rsidP="006435DA">
      <w:pPr>
        <w:pStyle w:val="ListParagraph"/>
        <w:numPr>
          <w:ilvl w:val="0"/>
          <w:numId w:val="26"/>
        </w:numPr>
        <w:spacing w:after="120" w:line="240" w:lineRule="auto"/>
        <w:ind w:left="714" w:hanging="357"/>
        <w:contextualSpacing w:val="0"/>
        <w:rPr>
          <w:color w:val="auto"/>
        </w:rPr>
      </w:pPr>
      <w:r w:rsidRPr="00D91075">
        <w:rPr>
          <w:color w:val="auto"/>
        </w:rPr>
        <w:t>Scoping report on trends in medical education</w:t>
      </w:r>
      <w:r>
        <w:rPr>
          <w:color w:val="auto"/>
        </w:rPr>
        <w:t xml:space="preserve"> – 20 sources</w:t>
      </w:r>
    </w:p>
    <w:p w14:paraId="78294693" w14:textId="6A701778" w:rsidR="0057573F" w:rsidRPr="00D91075" w:rsidRDefault="0057573F" w:rsidP="006435DA">
      <w:pPr>
        <w:pStyle w:val="ListParagraph"/>
        <w:numPr>
          <w:ilvl w:val="0"/>
          <w:numId w:val="26"/>
        </w:numPr>
        <w:spacing w:after="120" w:line="240" w:lineRule="auto"/>
        <w:ind w:left="714" w:hanging="357"/>
        <w:contextualSpacing w:val="0"/>
        <w:rPr>
          <w:color w:val="auto"/>
        </w:rPr>
      </w:pPr>
      <w:r w:rsidRPr="00D91075">
        <w:rPr>
          <w:color w:val="auto"/>
        </w:rPr>
        <w:t>Scoping report on public inquiries and reviews</w:t>
      </w:r>
      <w:r>
        <w:rPr>
          <w:color w:val="auto"/>
        </w:rPr>
        <w:t xml:space="preserve"> – 4 sources</w:t>
      </w:r>
    </w:p>
    <w:p w14:paraId="41D4C361" w14:textId="69414509" w:rsidR="0057573F" w:rsidRDefault="0057573F" w:rsidP="006435DA">
      <w:pPr>
        <w:pStyle w:val="ListParagraph"/>
        <w:numPr>
          <w:ilvl w:val="0"/>
          <w:numId w:val="26"/>
        </w:numPr>
        <w:spacing w:after="120" w:line="240" w:lineRule="auto"/>
        <w:ind w:left="714" w:hanging="357"/>
        <w:contextualSpacing w:val="0"/>
        <w:rPr>
          <w:color w:val="auto"/>
        </w:rPr>
      </w:pPr>
      <w:r w:rsidRPr="00D91075">
        <w:rPr>
          <w:color w:val="auto"/>
        </w:rPr>
        <w:t xml:space="preserve">GMC’s Data and Research Insight Team </w:t>
      </w:r>
      <w:r>
        <w:rPr>
          <w:color w:val="auto"/>
        </w:rPr>
        <w:t>(</w:t>
      </w:r>
      <w:r w:rsidRPr="00D91075">
        <w:rPr>
          <w:color w:val="auto"/>
        </w:rPr>
        <w:t>DRIH</w:t>
      </w:r>
      <w:r>
        <w:rPr>
          <w:color w:val="auto"/>
        </w:rPr>
        <w:t>) horizon scans – 55 sources</w:t>
      </w:r>
    </w:p>
    <w:p w14:paraId="72C678C1" w14:textId="0869B0E0" w:rsidR="0057573F" w:rsidRPr="00D91075" w:rsidRDefault="00632DB2" w:rsidP="006435DA">
      <w:pPr>
        <w:pStyle w:val="ListParagraph"/>
        <w:numPr>
          <w:ilvl w:val="0"/>
          <w:numId w:val="26"/>
        </w:numPr>
        <w:spacing w:after="120" w:line="240" w:lineRule="auto"/>
        <w:ind w:left="714" w:hanging="357"/>
        <w:contextualSpacing w:val="0"/>
        <w:rPr>
          <w:color w:val="auto"/>
        </w:rPr>
      </w:pPr>
      <w:r w:rsidRPr="00E2680B">
        <w:t>F</w:t>
      </w:r>
      <w:r>
        <w:t xml:space="preserve">itness to practice </w:t>
      </w:r>
      <w:r w:rsidR="0057573F" w:rsidRPr="00E2680B">
        <w:t>allegation trends</w:t>
      </w:r>
    </w:p>
    <w:p w14:paraId="0331A811" w14:textId="5E3A46F5"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Intelligence module report</w:t>
      </w:r>
    </w:p>
    <w:p w14:paraId="23094974" w14:textId="7CC10D87"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Contact centre report</w:t>
      </w:r>
    </w:p>
    <w:p w14:paraId="3653A03D" w14:textId="1530DCCC"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Engage report</w:t>
      </w:r>
    </w:p>
    <w:p w14:paraId="41371E60" w14:textId="0E932F31"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Three stage review of ethical enquiries</w:t>
      </w:r>
    </w:p>
    <w:p w14:paraId="44A12C54" w14:textId="3F861D4E"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Reactive log</w:t>
      </w:r>
    </w:p>
    <w:p w14:paraId="762E62C3" w14:textId="171EFD26"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Social media doctor report</w:t>
      </w:r>
    </w:p>
    <w:p w14:paraId="6C8FC148" w14:textId="1AE25D0B"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MAPS equality assessment</w:t>
      </w:r>
    </w:p>
    <w:p w14:paraId="61F6DD77" w14:textId="79183859"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Everyday leadership</w:t>
      </w:r>
    </w:p>
    <w:p w14:paraId="569B173D" w14:textId="3136A7DE" w:rsidR="0057573F" w:rsidRPr="0057573F"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Promoting excellence</w:t>
      </w:r>
    </w:p>
    <w:p w14:paraId="5767D04E" w14:textId="18D2BB1B" w:rsidR="0079352D" w:rsidRDefault="0057573F" w:rsidP="006435DA">
      <w:pPr>
        <w:pStyle w:val="ListParagraph"/>
        <w:numPr>
          <w:ilvl w:val="0"/>
          <w:numId w:val="26"/>
        </w:numPr>
        <w:spacing w:after="120" w:line="240" w:lineRule="auto"/>
        <w:ind w:left="714" w:hanging="357"/>
        <w:contextualSpacing w:val="0"/>
        <w:rPr>
          <w:color w:val="auto"/>
        </w:rPr>
      </w:pPr>
      <w:r w:rsidRPr="0057573F">
        <w:rPr>
          <w:color w:val="auto"/>
        </w:rPr>
        <w:t>GMC GMP review pre-consultation stakeholder survey</w:t>
      </w:r>
    </w:p>
    <w:p w14:paraId="17EA5284" w14:textId="77777777" w:rsidR="0057573F" w:rsidRPr="005E4CF8" w:rsidRDefault="00456FDC" w:rsidP="006435DA">
      <w:pPr>
        <w:pStyle w:val="GMCNumbertext"/>
        <w:numPr>
          <w:ilvl w:val="0"/>
          <w:numId w:val="26"/>
        </w:numPr>
        <w:spacing w:after="120" w:line="240" w:lineRule="auto"/>
        <w:ind w:left="714" w:hanging="357"/>
      </w:pPr>
      <w:hyperlink r:id="rId28" w:history="1">
        <w:r w:rsidR="0057573F" w:rsidRPr="005E4CF8">
          <w:rPr>
            <w:rStyle w:val="Hyperlink"/>
          </w:rPr>
          <w:t>NHS Race &amp; Health Observatory Terminology Consultation Report</w:t>
        </w:r>
      </w:hyperlink>
    </w:p>
    <w:p w14:paraId="136C4A61" w14:textId="77777777" w:rsidR="0057573F" w:rsidRPr="005E4CF8" w:rsidRDefault="00456FDC" w:rsidP="006435DA">
      <w:pPr>
        <w:pStyle w:val="GMCNumbertext"/>
        <w:numPr>
          <w:ilvl w:val="0"/>
          <w:numId w:val="26"/>
        </w:numPr>
        <w:spacing w:after="120" w:line="240" w:lineRule="auto"/>
        <w:ind w:left="714" w:hanging="357"/>
      </w:pPr>
      <w:hyperlink r:id="rId29" w:history="1">
        <w:r w:rsidR="0057573F" w:rsidRPr="005E4CF8">
          <w:rPr>
            <w:rStyle w:val="Hyperlink"/>
          </w:rPr>
          <w:t>Prescription for fairness: Remedying health inequalities in a post-COVID era</w:t>
        </w:r>
      </w:hyperlink>
    </w:p>
    <w:p w14:paraId="3C6E1619" w14:textId="77777777" w:rsidR="0057573F" w:rsidRDefault="00456FDC" w:rsidP="006435DA">
      <w:pPr>
        <w:pStyle w:val="GMCNumbertext"/>
        <w:numPr>
          <w:ilvl w:val="0"/>
          <w:numId w:val="26"/>
        </w:numPr>
        <w:spacing w:after="120" w:line="240" w:lineRule="auto"/>
        <w:ind w:left="714" w:hanging="357"/>
      </w:pPr>
      <w:hyperlink r:id="rId30" w:history="1">
        <w:r w:rsidR="0057573F" w:rsidRPr="001C1A7E">
          <w:rPr>
            <w:rStyle w:val="Hyperlink"/>
          </w:rPr>
          <w:t>Professor Chris Whitty gives inaugural O'Donoghue lecture on health disparities</w:t>
        </w:r>
      </w:hyperlink>
    </w:p>
    <w:p w14:paraId="66529306" w14:textId="77777777" w:rsidR="0057573F" w:rsidRPr="009E6C54" w:rsidRDefault="00456FDC" w:rsidP="006435DA">
      <w:pPr>
        <w:pStyle w:val="GMCNumbertext"/>
        <w:numPr>
          <w:ilvl w:val="0"/>
          <w:numId w:val="26"/>
        </w:numPr>
        <w:spacing w:after="120" w:line="240" w:lineRule="auto"/>
        <w:ind w:left="714" w:hanging="357"/>
        <w:rPr>
          <w:rStyle w:val="Hyperlink"/>
          <w:color w:val="000000"/>
          <w:u w:val="none"/>
        </w:rPr>
      </w:pPr>
      <w:hyperlink r:id="rId31" w:history="1">
        <w:r w:rsidR="0057573F" w:rsidRPr="009E6C54">
          <w:rPr>
            <w:rStyle w:val="Hyperlink"/>
          </w:rPr>
          <w:t>NHS confederation. Building back inclusively: Radical approaches to tackling the elective backlog</w:t>
        </w:r>
      </w:hyperlink>
    </w:p>
    <w:p w14:paraId="08DF3423" w14:textId="77777777" w:rsidR="0057573F" w:rsidRPr="00647428" w:rsidRDefault="00456FDC" w:rsidP="006435DA">
      <w:pPr>
        <w:pStyle w:val="GMCNumbertext"/>
        <w:numPr>
          <w:ilvl w:val="0"/>
          <w:numId w:val="26"/>
        </w:numPr>
        <w:spacing w:after="120" w:line="240" w:lineRule="auto"/>
        <w:ind w:left="714" w:hanging="357"/>
        <w:rPr>
          <w:rStyle w:val="Hyperlink"/>
          <w:color w:val="000000"/>
          <w:u w:val="none"/>
        </w:rPr>
      </w:pPr>
      <w:hyperlink r:id="rId32" w:history="1">
        <w:r w:rsidR="0057573F" w:rsidRPr="00F477B4">
          <w:rPr>
            <w:rStyle w:val="Hyperlink"/>
          </w:rPr>
          <w:t>Supporting named leads for health inequalities on NHS boards</w:t>
        </w:r>
      </w:hyperlink>
    </w:p>
    <w:p w14:paraId="7CC6930E" w14:textId="77777777" w:rsidR="0057573F" w:rsidRPr="001E3F26" w:rsidRDefault="00456FDC" w:rsidP="006435DA">
      <w:pPr>
        <w:pStyle w:val="GMCNumbertext"/>
        <w:numPr>
          <w:ilvl w:val="0"/>
          <w:numId w:val="26"/>
        </w:numPr>
        <w:spacing w:after="120" w:line="240" w:lineRule="auto"/>
        <w:ind w:left="714" w:hanging="357"/>
        <w:rPr>
          <w:rStyle w:val="Hyperlink"/>
          <w:color w:val="000000"/>
          <w:u w:val="none"/>
        </w:rPr>
      </w:pPr>
      <w:hyperlink r:id="rId33" w:history="1">
        <w:r w:rsidR="0057573F" w:rsidRPr="00647428">
          <w:rPr>
            <w:rStyle w:val="Hyperlink"/>
          </w:rPr>
          <w:t>How the digital healthcare revolution leaves the most vulnerable behind</w:t>
        </w:r>
      </w:hyperlink>
    </w:p>
    <w:p w14:paraId="20B8D00E" w14:textId="20A006C4" w:rsidR="0057573F" w:rsidRPr="0057573F" w:rsidRDefault="00456FDC" w:rsidP="006435DA">
      <w:pPr>
        <w:pStyle w:val="ListParagraph"/>
        <w:numPr>
          <w:ilvl w:val="0"/>
          <w:numId w:val="26"/>
        </w:numPr>
        <w:spacing w:after="120" w:line="240" w:lineRule="auto"/>
        <w:ind w:left="714" w:hanging="357"/>
        <w:contextualSpacing w:val="0"/>
        <w:rPr>
          <w:rStyle w:val="Hyperlink"/>
          <w:color w:val="auto"/>
          <w:u w:val="none"/>
        </w:rPr>
      </w:pPr>
      <w:hyperlink r:id="rId34" w:history="1">
        <w:r w:rsidR="0057573F" w:rsidRPr="001E3F26">
          <w:rPr>
            <w:rStyle w:val="Hyperlink"/>
          </w:rPr>
          <w:t>The evidence which shows poorer and ethnic minority patients wait longer for NHS care</w:t>
        </w:r>
      </w:hyperlink>
    </w:p>
    <w:p w14:paraId="74BAFE8B" w14:textId="77777777" w:rsidR="0057573F" w:rsidRDefault="00456FDC" w:rsidP="006435DA">
      <w:pPr>
        <w:pStyle w:val="GMCNumbertext"/>
        <w:numPr>
          <w:ilvl w:val="0"/>
          <w:numId w:val="26"/>
        </w:numPr>
        <w:spacing w:after="120" w:line="240" w:lineRule="auto"/>
        <w:ind w:left="714" w:hanging="357"/>
      </w:pPr>
      <w:hyperlink r:id="rId35" w:history="1">
        <w:r w:rsidR="0057573F" w:rsidRPr="00242259">
          <w:rPr>
            <w:rStyle w:val="Hyperlink"/>
          </w:rPr>
          <w:t>NHSE delivery plan for tackling the backlog of elective care</w:t>
        </w:r>
      </w:hyperlink>
    </w:p>
    <w:p w14:paraId="030E2137" w14:textId="2EB524A5" w:rsidR="0057573F" w:rsidRPr="00087F5E" w:rsidRDefault="00456FDC" w:rsidP="006435DA">
      <w:pPr>
        <w:pStyle w:val="GMCNumbertext"/>
        <w:numPr>
          <w:ilvl w:val="0"/>
          <w:numId w:val="26"/>
        </w:numPr>
        <w:spacing w:after="120" w:line="240" w:lineRule="auto"/>
        <w:ind w:left="714" w:hanging="357"/>
        <w:rPr>
          <w:rStyle w:val="Hyperlink"/>
          <w:color w:val="000000"/>
          <w:u w:val="none"/>
        </w:rPr>
      </w:pPr>
      <w:hyperlink r:id="rId36" w:history="1">
        <w:r w:rsidR="0057573F">
          <w:rPr>
            <w:rStyle w:val="Hyperlink"/>
          </w:rPr>
          <w:t>Ethnic Inequalities in Healthcare: A Rapid Evidence Review - NHS - Race and Health Observatory (nhsrho.org)</w:t>
        </w:r>
      </w:hyperlink>
    </w:p>
    <w:p w14:paraId="3630445A" w14:textId="6760AAE9" w:rsidR="0057573F" w:rsidRPr="0057573F" w:rsidRDefault="00456FDC" w:rsidP="006435DA">
      <w:pPr>
        <w:pStyle w:val="ListParagraph"/>
        <w:numPr>
          <w:ilvl w:val="0"/>
          <w:numId w:val="26"/>
        </w:numPr>
        <w:spacing w:after="120" w:line="240" w:lineRule="auto"/>
        <w:ind w:left="714" w:hanging="357"/>
        <w:contextualSpacing w:val="0"/>
        <w:rPr>
          <w:rStyle w:val="Hyperlink"/>
          <w:color w:val="auto"/>
          <w:u w:val="none"/>
        </w:rPr>
      </w:pPr>
      <w:hyperlink r:id="rId37" w:history="1">
        <w:r w:rsidR="0057573F">
          <w:rPr>
            <w:rStyle w:val="Hyperlink"/>
          </w:rPr>
          <w:t xml:space="preserve">NHS HEE Enhance programme handbook </w:t>
        </w:r>
      </w:hyperlink>
    </w:p>
    <w:p w14:paraId="7B1DECA8" w14:textId="3D80D6CB" w:rsidR="0079352D" w:rsidRPr="00205272" w:rsidRDefault="0079352D" w:rsidP="00205272">
      <w:pPr>
        <w:spacing w:after="0" w:line="240" w:lineRule="auto"/>
        <w:rPr>
          <w:color w:val="auto"/>
        </w:rPr>
      </w:pPr>
    </w:p>
    <w:sectPr w:rsidR="0079352D" w:rsidRPr="00205272" w:rsidSect="0042688F">
      <w:headerReference w:type="first" r:id="rId38"/>
      <w:footnotePr>
        <w:numFmt w:val="chicago"/>
        <w:numRestart w:val="eachPage"/>
      </w:footnotePr>
      <w:endnotePr>
        <w:numFmt w:val="decimal"/>
      </w:endnotePr>
      <w:pgSz w:w="11907" w:h="16840" w:code="9"/>
      <w:pgMar w:top="709" w:right="1134" w:bottom="1418" w:left="1134" w:header="28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13AC" w14:textId="77777777" w:rsidR="00885475" w:rsidRDefault="00885475" w:rsidP="00280C24">
      <w:pPr>
        <w:pStyle w:val="GMCNumbertext"/>
        <w:numPr>
          <w:ilvl w:val="0"/>
          <w:numId w:val="0"/>
        </w:numPr>
      </w:pPr>
    </w:p>
  </w:endnote>
  <w:endnote w:type="continuationSeparator" w:id="0">
    <w:p w14:paraId="1B53C629" w14:textId="77777777" w:rsidR="00885475" w:rsidRDefault="00885475" w:rsidP="00280C24">
      <w:pPr>
        <w:pStyle w:val="GMCNumber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C4BD" w14:textId="77777777" w:rsidR="00885475" w:rsidRDefault="00885475" w:rsidP="00FB4E59">
      <w:pPr>
        <w:pStyle w:val="GMCNumbertext"/>
        <w:numPr>
          <w:ilvl w:val="0"/>
          <w:numId w:val="0"/>
        </w:numPr>
      </w:pPr>
    </w:p>
  </w:footnote>
  <w:footnote w:type="continuationSeparator" w:id="0">
    <w:p w14:paraId="35605DA5" w14:textId="77777777" w:rsidR="00885475" w:rsidRDefault="00885475" w:rsidP="00FB4E59">
      <w:pPr>
        <w:pStyle w:val="GMCNumbertext"/>
        <w:numPr>
          <w:ilvl w:val="0"/>
          <w:numId w:val="0"/>
        </w:numPr>
      </w:pPr>
    </w:p>
  </w:footnote>
  <w:footnote w:type="continuationNotice" w:id="1">
    <w:p w14:paraId="77F8C43C" w14:textId="77777777" w:rsidR="00885475" w:rsidRDefault="00885475">
      <w:pPr>
        <w:spacing w:after="0" w:line="240" w:lineRule="auto"/>
      </w:pPr>
    </w:p>
  </w:footnote>
  <w:footnote w:id="2">
    <w:p w14:paraId="5C7CA06A" w14:textId="61E15E9F" w:rsidR="00F62D6D" w:rsidRPr="002158AF" w:rsidRDefault="00F62D6D" w:rsidP="002158AF">
      <w:pPr>
        <w:rPr>
          <w:rFonts w:cs="Tahoma"/>
          <w:sz w:val="20"/>
          <w:szCs w:val="20"/>
        </w:rPr>
      </w:pPr>
      <w:r>
        <w:rPr>
          <w:rStyle w:val="FootnoteReference"/>
        </w:rPr>
        <w:footnoteRef/>
      </w:r>
      <w:r>
        <w:t xml:space="preserve"> </w:t>
      </w:r>
      <w:r w:rsidR="002158AF" w:rsidRPr="006707E4">
        <w:rPr>
          <w:rFonts w:cs="Tahoma"/>
          <w:sz w:val="20"/>
          <w:szCs w:val="20"/>
        </w:rPr>
        <w:t xml:space="preserve">Children (under 15) and young people (aged 15 to 17) including care leavers; older people aged 75+ especially those living in residential care; women; expectant parents and parents of babies and young children; people who identify as lesbian, gay, bisexual, trans, intersex or non-binary; people who are proposing to undergo, are undergoing or who have undergone a process, or part of a process of gender reassignment; carers and patient’s families; black and minority and ethnic groups; people living with a disability; homeless people; asylum seekers and refugees; survivors of domestic abuse (including both women and men); people accessing healthcare while detained by the state under the Mental Health Act; </w:t>
      </w:r>
      <w:r w:rsidR="00CB62CA">
        <w:rPr>
          <w:rFonts w:cs="Tahoma"/>
          <w:sz w:val="20"/>
          <w:szCs w:val="20"/>
        </w:rPr>
        <w:t>p</w:t>
      </w:r>
      <w:r w:rsidR="002158AF" w:rsidRPr="006707E4">
        <w:rPr>
          <w:rFonts w:cs="Tahoma"/>
          <w:sz w:val="20"/>
          <w:szCs w:val="20"/>
        </w:rPr>
        <w:t>eople with communication needs (such as people who communicate using British Sign Language, people with a learning disability, people with low levels of literacy, people for whom English is not their first language)</w:t>
      </w:r>
      <w:r w:rsidR="002158AF">
        <w:rPr>
          <w:rFonts w:cs="Tahoma"/>
          <w:sz w:val="20"/>
          <w:szCs w:val="20"/>
        </w:rPr>
        <w:t>.</w:t>
      </w:r>
    </w:p>
  </w:footnote>
  <w:footnote w:id="3">
    <w:p w14:paraId="321A896C" w14:textId="392993BB" w:rsidR="008D4F06" w:rsidRDefault="008D4F06" w:rsidP="005D3DB5">
      <w:pPr>
        <w:pStyle w:val="FootnoteText"/>
      </w:pPr>
      <w:r>
        <w:rPr>
          <w:rStyle w:val="FootnoteReference"/>
        </w:rPr>
        <w:footnoteRef/>
      </w:r>
      <w:r>
        <w:t xml:space="preserve"> </w:t>
      </w:r>
      <w:r w:rsidRPr="00E156BD">
        <w:t xml:space="preserve">Female </w:t>
      </w:r>
      <w:r w:rsidR="00F85B6C">
        <w:t>medical professionals</w:t>
      </w:r>
      <w:r w:rsidRPr="00E156BD">
        <w:t xml:space="preserve"> (Note PAs are predominantly </w:t>
      </w:r>
      <w:r w:rsidR="00EE4C58">
        <w:t xml:space="preserve">a </w:t>
      </w:r>
      <w:r w:rsidRPr="00E156BD">
        <w:t>young female profession)</w:t>
      </w:r>
      <w:r>
        <w:t xml:space="preserve">, </w:t>
      </w:r>
      <w:r w:rsidRPr="00E156BD">
        <w:t>International Medical Graduates</w:t>
      </w:r>
      <w:r>
        <w:t xml:space="preserve">, </w:t>
      </w:r>
      <w:r w:rsidR="00E3009A">
        <w:t xml:space="preserve">ethnic minority </w:t>
      </w:r>
      <w:r w:rsidR="00F85B6C">
        <w:t>medical professionals</w:t>
      </w:r>
      <w:r>
        <w:t xml:space="preserve">, </w:t>
      </w:r>
      <w:r w:rsidRPr="00E156BD">
        <w:t xml:space="preserve">LGBTQ+ </w:t>
      </w:r>
      <w:r w:rsidR="00F85B6C">
        <w:t>medical professionals</w:t>
      </w:r>
      <w:r>
        <w:t xml:space="preserve">, </w:t>
      </w:r>
      <w:r w:rsidR="00F85B6C">
        <w:t>Medical professionals</w:t>
      </w:r>
      <w:r w:rsidRPr="00E156BD">
        <w:t xml:space="preserve"> who are disabled or have a long-term health condition</w:t>
      </w:r>
      <w:r>
        <w:t xml:space="preserve">, </w:t>
      </w:r>
      <w:r w:rsidR="00C62705" w:rsidRPr="00C62705">
        <w:t>Staff grade and Associate Specialist</w:t>
      </w:r>
      <w:r w:rsidR="00EE4C58">
        <w:t xml:space="preserve"> (‘SAS’) doctors</w:t>
      </w:r>
      <w:r>
        <w:t xml:space="preserve">, </w:t>
      </w:r>
      <w:r w:rsidRPr="00E156BD">
        <w:t>Legal and HR teams</w:t>
      </w:r>
      <w:r>
        <w:t xml:space="preserve">, </w:t>
      </w:r>
      <w:r w:rsidRPr="00E156BD">
        <w:t>Doctors with training responsibilities</w:t>
      </w:r>
      <w:r>
        <w:t xml:space="preserve">, </w:t>
      </w:r>
      <w:r w:rsidRPr="00E156BD">
        <w:t>Doctors with leadership responsibilities</w:t>
      </w:r>
      <w:r>
        <w:t xml:space="preserve">, </w:t>
      </w:r>
      <w:r w:rsidRPr="00E156BD">
        <w:t>Doctors in training and medical students</w:t>
      </w:r>
      <w:r>
        <w:t xml:space="preserve">, </w:t>
      </w:r>
      <w:r w:rsidRPr="00E156BD">
        <w:t>Locum doctors</w:t>
      </w:r>
      <w:r>
        <w:t xml:space="preserve">, </w:t>
      </w:r>
      <w:r w:rsidRPr="00E156BD">
        <w:t>Doctors working in immigration and detention centres</w:t>
      </w:r>
      <w:r>
        <w:t xml:space="preserve">, </w:t>
      </w:r>
      <w:r w:rsidRPr="00E156BD">
        <w:t>ROs and those involved in FTP decision making and local investigations.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9B30" w14:textId="77777777" w:rsidR="008D4F06" w:rsidRDefault="008D4F06">
    <w:pPr>
      <w:pStyle w:val="Header"/>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609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341BA"/>
    <w:multiLevelType w:val="hybridMultilevel"/>
    <w:tmpl w:val="74821FAE"/>
    <w:lvl w:ilvl="0" w:tplc="AA4A5356">
      <w:start w:val="4"/>
      <w:numFmt w:val="decimal"/>
      <w:lvlText w:val="%1."/>
      <w:lvlJc w:val="left"/>
      <w:pPr>
        <w:tabs>
          <w:tab w:val="num" w:pos="720"/>
        </w:tabs>
        <w:ind w:left="720" w:hanging="360"/>
      </w:pPr>
    </w:lvl>
    <w:lvl w:ilvl="1" w:tplc="A48AF4F4" w:tentative="1">
      <w:start w:val="1"/>
      <w:numFmt w:val="decimal"/>
      <w:lvlText w:val="%2."/>
      <w:lvlJc w:val="left"/>
      <w:pPr>
        <w:tabs>
          <w:tab w:val="num" w:pos="1440"/>
        </w:tabs>
        <w:ind w:left="1440" w:hanging="360"/>
      </w:pPr>
    </w:lvl>
    <w:lvl w:ilvl="2" w:tplc="E10E5228" w:tentative="1">
      <w:start w:val="1"/>
      <w:numFmt w:val="decimal"/>
      <w:lvlText w:val="%3."/>
      <w:lvlJc w:val="left"/>
      <w:pPr>
        <w:tabs>
          <w:tab w:val="num" w:pos="2160"/>
        </w:tabs>
        <w:ind w:left="2160" w:hanging="360"/>
      </w:pPr>
    </w:lvl>
    <w:lvl w:ilvl="3" w:tplc="46CEA76A" w:tentative="1">
      <w:start w:val="1"/>
      <w:numFmt w:val="decimal"/>
      <w:lvlText w:val="%4."/>
      <w:lvlJc w:val="left"/>
      <w:pPr>
        <w:tabs>
          <w:tab w:val="num" w:pos="2880"/>
        </w:tabs>
        <w:ind w:left="2880" w:hanging="360"/>
      </w:pPr>
    </w:lvl>
    <w:lvl w:ilvl="4" w:tplc="13F88156" w:tentative="1">
      <w:start w:val="1"/>
      <w:numFmt w:val="decimal"/>
      <w:lvlText w:val="%5."/>
      <w:lvlJc w:val="left"/>
      <w:pPr>
        <w:tabs>
          <w:tab w:val="num" w:pos="3600"/>
        </w:tabs>
        <w:ind w:left="3600" w:hanging="360"/>
      </w:pPr>
    </w:lvl>
    <w:lvl w:ilvl="5" w:tplc="66E49CDE" w:tentative="1">
      <w:start w:val="1"/>
      <w:numFmt w:val="decimal"/>
      <w:lvlText w:val="%6."/>
      <w:lvlJc w:val="left"/>
      <w:pPr>
        <w:tabs>
          <w:tab w:val="num" w:pos="4320"/>
        </w:tabs>
        <w:ind w:left="4320" w:hanging="360"/>
      </w:pPr>
    </w:lvl>
    <w:lvl w:ilvl="6" w:tplc="91726A72" w:tentative="1">
      <w:start w:val="1"/>
      <w:numFmt w:val="decimal"/>
      <w:lvlText w:val="%7."/>
      <w:lvlJc w:val="left"/>
      <w:pPr>
        <w:tabs>
          <w:tab w:val="num" w:pos="5040"/>
        </w:tabs>
        <w:ind w:left="5040" w:hanging="360"/>
      </w:pPr>
    </w:lvl>
    <w:lvl w:ilvl="7" w:tplc="37868BDA" w:tentative="1">
      <w:start w:val="1"/>
      <w:numFmt w:val="decimal"/>
      <w:lvlText w:val="%8."/>
      <w:lvlJc w:val="left"/>
      <w:pPr>
        <w:tabs>
          <w:tab w:val="num" w:pos="5760"/>
        </w:tabs>
        <w:ind w:left="5760" w:hanging="360"/>
      </w:pPr>
    </w:lvl>
    <w:lvl w:ilvl="8" w:tplc="AD7AA7F0" w:tentative="1">
      <w:start w:val="1"/>
      <w:numFmt w:val="decimal"/>
      <w:lvlText w:val="%9."/>
      <w:lvlJc w:val="left"/>
      <w:pPr>
        <w:tabs>
          <w:tab w:val="num" w:pos="6480"/>
        </w:tabs>
        <w:ind w:left="6480" w:hanging="360"/>
      </w:pPr>
    </w:lvl>
  </w:abstractNum>
  <w:abstractNum w:abstractNumId="2" w15:restartNumberingAfterBreak="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3" w15:restartNumberingAfterBreak="0">
    <w:nsid w:val="277607BE"/>
    <w:multiLevelType w:val="multilevel"/>
    <w:tmpl w:val="EE8C1B58"/>
    <w:lvl w:ilvl="0">
      <w:start w:val="1"/>
      <w:numFmt w:val="decimal"/>
      <w:lvlRestart w:val="0"/>
      <w:lvlText w:val="%1"/>
      <w:lvlJc w:val="left"/>
      <w:pPr>
        <w:tabs>
          <w:tab w:val="num" w:pos="510"/>
        </w:tabs>
        <w:ind w:left="510" w:hanging="510"/>
      </w:pPr>
      <w:rPr>
        <w:rFonts w:ascii="Tahoma" w:hAnsi="Tahoma" w:cs="Tahoma"/>
        <w:b/>
        <w:i w:val="0"/>
        <w:iCs w:val="0"/>
        <w:color w:val="000000"/>
        <w:sz w:val="24"/>
        <w:u w:val="no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1797" w:hanging="357"/>
      </w:pPr>
    </w:lvl>
    <w:lvl w:ilvl="3">
      <w:start w:val="1"/>
      <w:numFmt w:val="decimal"/>
      <w:lvlText w:val="%4"/>
      <w:lvlJc w:val="left"/>
      <w:pPr>
        <w:tabs>
          <w:tab w:val="num" w:pos="2160"/>
        </w:tabs>
        <w:ind w:left="2160" w:hanging="363"/>
      </w:pPr>
    </w:lvl>
    <w:lvl w:ilvl="4">
      <w:start w:val="1"/>
      <w:numFmt w:val="decimal"/>
      <w:lvlText w:val="%5"/>
      <w:lvlJc w:val="left"/>
      <w:pPr>
        <w:tabs>
          <w:tab w:val="num" w:pos="2517"/>
        </w:tabs>
        <w:ind w:left="2517" w:hanging="357"/>
      </w:pPr>
    </w:lvl>
    <w:lvl w:ilvl="5">
      <w:start w:val="1"/>
      <w:numFmt w:val="decimal"/>
      <w:lvlText w:val="%6"/>
      <w:lvlJc w:val="left"/>
      <w:pPr>
        <w:tabs>
          <w:tab w:val="num" w:pos="3237"/>
        </w:tabs>
        <w:ind w:left="2880" w:hanging="363"/>
      </w:pPr>
    </w:lvl>
    <w:lvl w:ilvl="6">
      <w:start w:val="1"/>
      <w:numFmt w:val="decimal"/>
      <w:lvlText w:val="%7"/>
      <w:lvlJc w:val="left"/>
      <w:pPr>
        <w:tabs>
          <w:tab w:val="num" w:pos="3237"/>
        </w:tabs>
        <w:ind w:left="3237" w:hanging="357"/>
      </w:pPr>
    </w:lvl>
    <w:lvl w:ilvl="7">
      <w:start w:val="1"/>
      <w:numFmt w:val="decimal"/>
      <w:lvlText w:val="%8"/>
      <w:lvlJc w:val="left"/>
      <w:pPr>
        <w:tabs>
          <w:tab w:val="num" w:pos="3600"/>
        </w:tabs>
        <w:ind w:left="3600" w:hanging="363"/>
      </w:pPr>
    </w:lvl>
    <w:lvl w:ilvl="8">
      <w:start w:val="1"/>
      <w:numFmt w:val="decimal"/>
      <w:lvlText w:val="%9"/>
      <w:lvlJc w:val="left"/>
      <w:pPr>
        <w:tabs>
          <w:tab w:val="num" w:pos="4320"/>
        </w:tabs>
        <w:ind w:left="3957" w:hanging="357"/>
      </w:pPr>
    </w:lvl>
  </w:abstractNum>
  <w:abstractNum w:abstractNumId="4" w15:restartNumberingAfterBreak="0">
    <w:nsid w:val="295C6967"/>
    <w:multiLevelType w:val="hybridMultilevel"/>
    <w:tmpl w:val="E8583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64661"/>
    <w:multiLevelType w:val="multilevel"/>
    <w:tmpl w:val="67661728"/>
    <w:lvl w:ilvl="0">
      <w:start w:val="1"/>
      <w:numFmt w:val="decimal"/>
      <w:lvlText w:val="%1"/>
      <w:lvlJc w:val="left"/>
      <w:pPr>
        <w:ind w:left="3405" w:hanging="3405"/>
      </w:pPr>
      <w:rPr>
        <w:rFonts w:hint="default"/>
      </w:rPr>
    </w:lvl>
    <w:lvl w:ilvl="1">
      <w:start w:val="1"/>
      <w:numFmt w:val="decimal"/>
      <w:lvlText w:val="%1.%2"/>
      <w:lvlJc w:val="left"/>
      <w:pPr>
        <w:ind w:left="3405" w:hanging="3405"/>
      </w:pPr>
      <w:rPr>
        <w:rFonts w:hint="default"/>
      </w:rPr>
    </w:lvl>
    <w:lvl w:ilvl="2">
      <w:start w:val="1"/>
      <w:numFmt w:val="decimal"/>
      <w:lvlText w:val="%1.%2.%3"/>
      <w:lvlJc w:val="left"/>
      <w:pPr>
        <w:ind w:left="3405" w:hanging="3405"/>
      </w:pPr>
      <w:rPr>
        <w:rFonts w:hint="default"/>
      </w:rPr>
    </w:lvl>
    <w:lvl w:ilvl="3">
      <w:start w:val="1"/>
      <w:numFmt w:val="decimal"/>
      <w:lvlText w:val="%1.%2.%3.%4"/>
      <w:lvlJc w:val="left"/>
      <w:pPr>
        <w:ind w:left="3405" w:hanging="3405"/>
      </w:pPr>
      <w:rPr>
        <w:rFonts w:hint="default"/>
      </w:rPr>
    </w:lvl>
    <w:lvl w:ilvl="4">
      <w:start w:val="1"/>
      <w:numFmt w:val="decimal"/>
      <w:lvlText w:val="%1.%2.%3.%4.%5"/>
      <w:lvlJc w:val="left"/>
      <w:pPr>
        <w:ind w:left="3405" w:hanging="3405"/>
      </w:pPr>
      <w:rPr>
        <w:rFonts w:hint="default"/>
      </w:rPr>
    </w:lvl>
    <w:lvl w:ilvl="5">
      <w:start w:val="1"/>
      <w:numFmt w:val="decimal"/>
      <w:lvlText w:val="%1.%2.%3.%4.%5.%6"/>
      <w:lvlJc w:val="left"/>
      <w:pPr>
        <w:ind w:left="3405" w:hanging="3405"/>
      </w:pPr>
      <w:rPr>
        <w:rFonts w:hint="default"/>
      </w:rPr>
    </w:lvl>
    <w:lvl w:ilvl="6">
      <w:start w:val="1"/>
      <w:numFmt w:val="decimal"/>
      <w:lvlText w:val="%1.%2.%3.%4.%5.%6.%7"/>
      <w:lvlJc w:val="left"/>
      <w:pPr>
        <w:ind w:left="3405" w:hanging="3405"/>
      </w:pPr>
      <w:rPr>
        <w:rFonts w:hint="default"/>
      </w:rPr>
    </w:lvl>
    <w:lvl w:ilvl="7">
      <w:start w:val="1"/>
      <w:numFmt w:val="decimal"/>
      <w:lvlText w:val="%1.%2.%3.%4.%5.%6.%7.%8"/>
      <w:lvlJc w:val="left"/>
      <w:pPr>
        <w:ind w:left="3405" w:hanging="3405"/>
      </w:pPr>
      <w:rPr>
        <w:rFonts w:hint="default"/>
      </w:rPr>
    </w:lvl>
    <w:lvl w:ilvl="8">
      <w:start w:val="1"/>
      <w:numFmt w:val="decimal"/>
      <w:lvlText w:val="%1.%2.%3.%4.%5.%6.%7.%8.%9"/>
      <w:lvlJc w:val="left"/>
      <w:pPr>
        <w:ind w:left="3405" w:hanging="3405"/>
      </w:pPr>
      <w:rPr>
        <w:rFonts w:hint="default"/>
      </w:rPr>
    </w:lvl>
  </w:abstractNum>
  <w:abstractNum w:abstractNumId="6" w15:restartNumberingAfterBreak="0">
    <w:nsid w:val="4C7F582C"/>
    <w:multiLevelType w:val="multilevel"/>
    <w:tmpl w:val="13BA1F0C"/>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color w:val="auto"/>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7" w15:restartNumberingAfterBreak="0">
    <w:nsid w:val="4F0F32F9"/>
    <w:multiLevelType w:val="multilevel"/>
    <w:tmpl w:val="44166C74"/>
    <w:lvl w:ilvl="0">
      <w:start w:val="1"/>
      <w:numFmt w:val="bullet"/>
      <w:pStyle w:val="ListBullet"/>
      <w:lvlText w:val=""/>
      <w:lvlJc w:val="left"/>
      <w:pPr>
        <w:ind w:left="1061" w:hanging="341"/>
      </w:pPr>
      <w:rPr>
        <w:rFonts w:ascii="Wingdings" w:hAnsi="Wingdings" w:hint="default"/>
        <w:b/>
        <w:i w:val="0"/>
        <w:color w:val="30A5BE"/>
        <w:sz w:val="18"/>
      </w:rPr>
    </w:lvl>
    <w:lvl w:ilvl="1">
      <w:start w:val="1"/>
      <w:numFmt w:val="bullet"/>
      <w:pStyle w:val="ListBullet2"/>
      <w:lvlText w:val=""/>
      <w:lvlJc w:val="left"/>
      <w:pPr>
        <w:ind w:left="1514" w:hanging="453"/>
      </w:pPr>
      <w:rPr>
        <w:rFonts w:ascii="Wingdings" w:hAnsi="Wingdings" w:hint="default"/>
        <w:b/>
        <w:i w:val="0"/>
        <w:color w:val="00377B"/>
        <w:sz w:val="18"/>
      </w:rPr>
    </w:lvl>
    <w:lvl w:ilvl="2">
      <w:start w:val="1"/>
      <w:numFmt w:val="bullet"/>
      <w:pStyle w:val="ListBullet3"/>
      <w:lvlText w:val=""/>
      <w:lvlJc w:val="left"/>
      <w:pPr>
        <w:ind w:left="2195" w:hanging="681"/>
      </w:pPr>
      <w:rPr>
        <w:rFonts w:ascii="Wingdings" w:hAnsi="Wingdings" w:hint="default"/>
        <w:b/>
        <w:i w:val="0"/>
        <w:color w:val="00377B"/>
        <w:sz w:val="18"/>
      </w:rPr>
    </w:lvl>
    <w:lvl w:ilvl="3">
      <w:start w:val="1"/>
      <w:numFmt w:val="bullet"/>
      <w:pStyle w:val="ListBullet4"/>
      <w:lvlText w:val=""/>
      <w:lvlJc w:val="left"/>
      <w:pPr>
        <w:ind w:left="2762" w:hanging="567"/>
      </w:pPr>
      <w:rPr>
        <w:rFonts w:ascii="Wingdings" w:hAnsi="Wingdings" w:hint="default"/>
        <w:b/>
        <w:i w:val="0"/>
        <w:color w:val="00377B"/>
        <w:sz w:val="18"/>
      </w:rPr>
    </w:lvl>
    <w:lvl w:ilvl="4">
      <w:start w:val="1"/>
      <w:numFmt w:val="bullet"/>
      <w:pStyle w:val="ListBullet5"/>
      <w:lvlText w:val=""/>
      <w:lvlJc w:val="left"/>
      <w:pPr>
        <w:ind w:left="3329" w:hanging="567"/>
      </w:pPr>
      <w:rPr>
        <w:rFonts w:ascii="Wingdings" w:hAnsi="Wingdings" w:hint="default"/>
        <w:b/>
        <w:i w:val="0"/>
        <w:color w:val="00377B"/>
        <w:sz w:val="18"/>
      </w:rPr>
    </w:lvl>
    <w:lvl w:ilvl="5">
      <w:start w:val="1"/>
      <w:numFmt w:val="none"/>
      <w:lvlText w:val="%1.%2.%3.%4.%5.%6."/>
      <w:lvlJc w:val="left"/>
      <w:pPr>
        <w:tabs>
          <w:tab w:val="num" w:pos="6105"/>
        </w:tabs>
        <w:ind w:left="6105" w:hanging="510"/>
      </w:pPr>
      <w:rPr>
        <w:rFonts w:hint="default"/>
      </w:rPr>
    </w:lvl>
    <w:lvl w:ilvl="6">
      <w:start w:val="1"/>
      <w:numFmt w:val="none"/>
      <w:lvlText w:val="%1.%2.%3.%4.%5.%6.%7."/>
      <w:lvlJc w:val="left"/>
      <w:pPr>
        <w:tabs>
          <w:tab w:val="num" w:pos="7182"/>
        </w:tabs>
        <w:ind w:left="7182" w:hanging="510"/>
      </w:pPr>
      <w:rPr>
        <w:rFonts w:hint="default"/>
      </w:rPr>
    </w:lvl>
    <w:lvl w:ilvl="7">
      <w:start w:val="1"/>
      <w:numFmt w:val="none"/>
      <w:lvlText w:val="%1.%2.%3.%4.%5.%6.%7.%8."/>
      <w:lvlJc w:val="left"/>
      <w:pPr>
        <w:tabs>
          <w:tab w:val="num" w:pos="8259"/>
        </w:tabs>
        <w:ind w:left="8259" w:hanging="510"/>
      </w:pPr>
      <w:rPr>
        <w:rFonts w:hint="default"/>
      </w:rPr>
    </w:lvl>
    <w:lvl w:ilvl="8">
      <w:start w:val="1"/>
      <w:numFmt w:val="none"/>
      <w:lvlText w:val="%1.%2.%3.%4.%5.%6.%7.%8.%9."/>
      <w:lvlJc w:val="left"/>
      <w:pPr>
        <w:tabs>
          <w:tab w:val="num" w:pos="9336"/>
        </w:tabs>
        <w:ind w:left="9336" w:hanging="510"/>
      </w:pPr>
      <w:rPr>
        <w:rFonts w:hint="default"/>
      </w:rPr>
    </w:lvl>
  </w:abstractNum>
  <w:abstractNum w:abstractNumId="8"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9" w15:restartNumberingAfterBreak="0">
    <w:nsid w:val="590E4950"/>
    <w:multiLevelType w:val="multilevel"/>
    <w:tmpl w:val="74AEB8D8"/>
    <w:lvl w:ilvl="0">
      <w:start w:val="1"/>
      <w:numFmt w:val="decimal"/>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0" w15:restartNumberingAfterBreak="0">
    <w:nsid w:val="5C450D3E"/>
    <w:multiLevelType w:val="multilevel"/>
    <w:tmpl w:val="74AEB8D8"/>
    <w:lvl w:ilvl="0">
      <w:start w:val="1"/>
      <w:numFmt w:val="decimal"/>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1" w15:restartNumberingAfterBreak="0">
    <w:nsid w:val="5F5E69E3"/>
    <w:multiLevelType w:val="hybridMultilevel"/>
    <w:tmpl w:val="FCF4D094"/>
    <w:lvl w:ilvl="0" w:tplc="FFFFFFFF">
      <w:start w:val="1"/>
      <w:numFmt w:val="bullet"/>
      <w:lvlText w:val=""/>
      <w:lvlJc w:val="left"/>
      <w:pPr>
        <w:tabs>
          <w:tab w:val="num" w:pos="284"/>
        </w:tabs>
        <w:ind w:left="227" w:hanging="227"/>
      </w:pPr>
      <w:rPr>
        <w:rFonts w:ascii="Wingdings" w:hAnsi="Wingdings" w:hint="default"/>
        <w:color w:val="0000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num w:numId="1">
    <w:abstractNumId w:val="6"/>
  </w:num>
  <w:num w:numId="2">
    <w:abstractNumId w:val="2"/>
  </w:num>
  <w:num w:numId="3">
    <w:abstractNumId w:val="6"/>
  </w:num>
  <w:num w:numId="4">
    <w:abstractNumId w:val="12"/>
  </w:num>
  <w:num w:numId="5">
    <w:abstractNumId w:val="7"/>
  </w:num>
  <w:num w:numId="6">
    <w:abstractNumId w:val="8"/>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4"/>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9"/>
  </w:num>
  <w:num w:numId="34">
    <w:abstractNumId w:val="10"/>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isplayVerticalDrawingGridEvery w:val="2"/>
  <w:noPunctuationKerning/>
  <w:characterSpacingControl w:val="doNotCompress"/>
  <w:hdrShapeDefaults>
    <o:shapedefaults v:ext="edit" spidmax="4097">
      <o:colormru v:ext="edit" colors="#3e5185,#60adb8"/>
    </o:shapedefaults>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EB"/>
    <w:rsid w:val="0000200A"/>
    <w:rsid w:val="000021FC"/>
    <w:rsid w:val="000101C6"/>
    <w:rsid w:val="00017928"/>
    <w:rsid w:val="00030083"/>
    <w:rsid w:val="00034DA7"/>
    <w:rsid w:val="00040080"/>
    <w:rsid w:val="00040660"/>
    <w:rsid w:val="0004137E"/>
    <w:rsid w:val="00052140"/>
    <w:rsid w:val="000535E9"/>
    <w:rsid w:val="00055EA6"/>
    <w:rsid w:val="000612A6"/>
    <w:rsid w:val="00066D34"/>
    <w:rsid w:val="00072428"/>
    <w:rsid w:val="0007456E"/>
    <w:rsid w:val="00077B91"/>
    <w:rsid w:val="00080CDF"/>
    <w:rsid w:val="0008371D"/>
    <w:rsid w:val="00087164"/>
    <w:rsid w:val="00093423"/>
    <w:rsid w:val="00096950"/>
    <w:rsid w:val="000A3DEE"/>
    <w:rsid w:val="000A5023"/>
    <w:rsid w:val="000C4AB7"/>
    <w:rsid w:val="000C619E"/>
    <w:rsid w:val="000C7969"/>
    <w:rsid w:val="000C7E92"/>
    <w:rsid w:val="000D13BF"/>
    <w:rsid w:val="000D1831"/>
    <w:rsid w:val="000D1B42"/>
    <w:rsid w:val="000D5CC1"/>
    <w:rsid w:val="000E1DA7"/>
    <w:rsid w:val="000E31EE"/>
    <w:rsid w:val="000E3C2E"/>
    <w:rsid w:val="000E6766"/>
    <w:rsid w:val="000F4055"/>
    <w:rsid w:val="0010338B"/>
    <w:rsid w:val="00110AF4"/>
    <w:rsid w:val="001222DF"/>
    <w:rsid w:val="00123557"/>
    <w:rsid w:val="001305C5"/>
    <w:rsid w:val="00132A6A"/>
    <w:rsid w:val="00135287"/>
    <w:rsid w:val="00136804"/>
    <w:rsid w:val="0014427D"/>
    <w:rsid w:val="001475A8"/>
    <w:rsid w:val="00152790"/>
    <w:rsid w:val="0015549C"/>
    <w:rsid w:val="00164C80"/>
    <w:rsid w:val="00165650"/>
    <w:rsid w:val="00174315"/>
    <w:rsid w:val="00177760"/>
    <w:rsid w:val="001829F1"/>
    <w:rsid w:val="0018332F"/>
    <w:rsid w:val="00190941"/>
    <w:rsid w:val="00193D35"/>
    <w:rsid w:val="00194534"/>
    <w:rsid w:val="00197E39"/>
    <w:rsid w:val="001A17F4"/>
    <w:rsid w:val="001B4774"/>
    <w:rsid w:val="001C0C34"/>
    <w:rsid w:val="001C5B8B"/>
    <w:rsid w:val="001C79A0"/>
    <w:rsid w:val="001D681B"/>
    <w:rsid w:val="001D6A41"/>
    <w:rsid w:val="001E365C"/>
    <w:rsid w:val="001F5963"/>
    <w:rsid w:val="001F6617"/>
    <w:rsid w:val="00205272"/>
    <w:rsid w:val="002116DA"/>
    <w:rsid w:val="00213FE9"/>
    <w:rsid w:val="00215800"/>
    <w:rsid w:val="002158AF"/>
    <w:rsid w:val="00215D9F"/>
    <w:rsid w:val="002166F7"/>
    <w:rsid w:val="00225997"/>
    <w:rsid w:val="00232C1D"/>
    <w:rsid w:val="00234474"/>
    <w:rsid w:val="00234AB5"/>
    <w:rsid w:val="00236782"/>
    <w:rsid w:val="0023757D"/>
    <w:rsid w:val="00244635"/>
    <w:rsid w:val="0024587A"/>
    <w:rsid w:val="00255994"/>
    <w:rsid w:val="00260AC4"/>
    <w:rsid w:val="00261986"/>
    <w:rsid w:val="00263775"/>
    <w:rsid w:val="00264F05"/>
    <w:rsid w:val="0026525C"/>
    <w:rsid w:val="00266BBB"/>
    <w:rsid w:val="002670A4"/>
    <w:rsid w:val="00270153"/>
    <w:rsid w:val="00270658"/>
    <w:rsid w:val="00272116"/>
    <w:rsid w:val="00273425"/>
    <w:rsid w:val="00276284"/>
    <w:rsid w:val="0027730D"/>
    <w:rsid w:val="00280C24"/>
    <w:rsid w:val="00282AEB"/>
    <w:rsid w:val="002927AE"/>
    <w:rsid w:val="002A19A0"/>
    <w:rsid w:val="002A2EF1"/>
    <w:rsid w:val="002B5A57"/>
    <w:rsid w:val="002B5A66"/>
    <w:rsid w:val="002B73B7"/>
    <w:rsid w:val="002C5C6D"/>
    <w:rsid w:val="002C7A28"/>
    <w:rsid w:val="002D03BC"/>
    <w:rsid w:val="002D66C0"/>
    <w:rsid w:val="002E0F8E"/>
    <w:rsid w:val="002E400E"/>
    <w:rsid w:val="002F1D54"/>
    <w:rsid w:val="002F2454"/>
    <w:rsid w:val="002F7643"/>
    <w:rsid w:val="002F7D4F"/>
    <w:rsid w:val="00302706"/>
    <w:rsid w:val="0030498D"/>
    <w:rsid w:val="00310809"/>
    <w:rsid w:val="00310AA6"/>
    <w:rsid w:val="00310D97"/>
    <w:rsid w:val="0031147A"/>
    <w:rsid w:val="00315A04"/>
    <w:rsid w:val="003169FD"/>
    <w:rsid w:val="003179AC"/>
    <w:rsid w:val="003334A3"/>
    <w:rsid w:val="00337176"/>
    <w:rsid w:val="0033796F"/>
    <w:rsid w:val="0034003A"/>
    <w:rsid w:val="00340086"/>
    <w:rsid w:val="00342A67"/>
    <w:rsid w:val="003432EA"/>
    <w:rsid w:val="00350F76"/>
    <w:rsid w:val="0035626E"/>
    <w:rsid w:val="00360185"/>
    <w:rsid w:val="00362333"/>
    <w:rsid w:val="00362F3A"/>
    <w:rsid w:val="00363086"/>
    <w:rsid w:val="003643AA"/>
    <w:rsid w:val="00367670"/>
    <w:rsid w:val="00370CCF"/>
    <w:rsid w:val="003716EB"/>
    <w:rsid w:val="00374D25"/>
    <w:rsid w:val="00377F60"/>
    <w:rsid w:val="0038122F"/>
    <w:rsid w:val="00382C43"/>
    <w:rsid w:val="003839D5"/>
    <w:rsid w:val="003928E2"/>
    <w:rsid w:val="003A0AAB"/>
    <w:rsid w:val="003A4332"/>
    <w:rsid w:val="003A44D0"/>
    <w:rsid w:val="003A684E"/>
    <w:rsid w:val="003B2253"/>
    <w:rsid w:val="003B45BA"/>
    <w:rsid w:val="003C0BBC"/>
    <w:rsid w:val="003C24C8"/>
    <w:rsid w:val="003D005B"/>
    <w:rsid w:val="003E0934"/>
    <w:rsid w:val="003E4806"/>
    <w:rsid w:val="003E54BE"/>
    <w:rsid w:val="003F0D97"/>
    <w:rsid w:val="003F59DC"/>
    <w:rsid w:val="004005FD"/>
    <w:rsid w:val="0040157E"/>
    <w:rsid w:val="00404B6F"/>
    <w:rsid w:val="004051F2"/>
    <w:rsid w:val="00411115"/>
    <w:rsid w:val="00423375"/>
    <w:rsid w:val="0042688F"/>
    <w:rsid w:val="00426D23"/>
    <w:rsid w:val="00431627"/>
    <w:rsid w:val="00434CF8"/>
    <w:rsid w:val="00445319"/>
    <w:rsid w:val="004462FD"/>
    <w:rsid w:val="00446C8B"/>
    <w:rsid w:val="0045178E"/>
    <w:rsid w:val="004526AB"/>
    <w:rsid w:val="00456FDC"/>
    <w:rsid w:val="00457DDF"/>
    <w:rsid w:val="00460E75"/>
    <w:rsid w:val="00462C39"/>
    <w:rsid w:val="00464225"/>
    <w:rsid w:val="00470F51"/>
    <w:rsid w:val="00472098"/>
    <w:rsid w:val="00487575"/>
    <w:rsid w:val="00487B30"/>
    <w:rsid w:val="004A3DD6"/>
    <w:rsid w:val="004B674D"/>
    <w:rsid w:val="004B6C11"/>
    <w:rsid w:val="004C2644"/>
    <w:rsid w:val="004C43B6"/>
    <w:rsid w:val="004D4356"/>
    <w:rsid w:val="004D4F75"/>
    <w:rsid w:val="004D58AA"/>
    <w:rsid w:val="004E706B"/>
    <w:rsid w:val="004E7AB8"/>
    <w:rsid w:val="004F3D68"/>
    <w:rsid w:val="00501F7A"/>
    <w:rsid w:val="00502958"/>
    <w:rsid w:val="0051274F"/>
    <w:rsid w:val="005163AE"/>
    <w:rsid w:val="005242D2"/>
    <w:rsid w:val="00525CD0"/>
    <w:rsid w:val="0052645E"/>
    <w:rsid w:val="00527AD9"/>
    <w:rsid w:val="005324A5"/>
    <w:rsid w:val="00533A18"/>
    <w:rsid w:val="00534845"/>
    <w:rsid w:val="00535721"/>
    <w:rsid w:val="00541DF3"/>
    <w:rsid w:val="00545017"/>
    <w:rsid w:val="005536F4"/>
    <w:rsid w:val="00556274"/>
    <w:rsid w:val="0055688F"/>
    <w:rsid w:val="00562F33"/>
    <w:rsid w:val="0056434A"/>
    <w:rsid w:val="0056708B"/>
    <w:rsid w:val="00567F09"/>
    <w:rsid w:val="005724DE"/>
    <w:rsid w:val="0057573F"/>
    <w:rsid w:val="00581ABE"/>
    <w:rsid w:val="00583053"/>
    <w:rsid w:val="0058677E"/>
    <w:rsid w:val="00587017"/>
    <w:rsid w:val="005960C9"/>
    <w:rsid w:val="005A4059"/>
    <w:rsid w:val="005A5A3D"/>
    <w:rsid w:val="005C34EA"/>
    <w:rsid w:val="005C3933"/>
    <w:rsid w:val="005D1134"/>
    <w:rsid w:val="005D2DB2"/>
    <w:rsid w:val="005D3DB5"/>
    <w:rsid w:val="005D6BD4"/>
    <w:rsid w:val="005E191F"/>
    <w:rsid w:val="005E345B"/>
    <w:rsid w:val="005E3CF2"/>
    <w:rsid w:val="005E5736"/>
    <w:rsid w:val="005E5987"/>
    <w:rsid w:val="005F0FE0"/>
    <w:rsid w:val="005F2670"/>
    <w:rsid w:val="005F32A7"/>
    <w:rsid w:val="005F3F9B"/>
    <w:rsid w:val="005F6C4F"/>
    <w:rsid w:val="00610A85"/>
    <w:rsid w:val="0061298D"/>
    <w:rsid w:val="00620610"/>
    <w:rsid w:val="00622E2C"/>
    <w:rsid w:val="00623A0B"/>
    <w:rsid w:val="006276E4"/>
    <w:rsid w:val="00632DB2"/>
    <w:rsid w:val="006427A6"/>
    <w:rsid w:val="006435DA"/>
    <w:rsid w:val="006443CA"/>
    <w:rsid w:val="00651D9C"/>
    <w:rsid w:val="00652A97"/>
    <w:rsid w:val="006534CC"/>
    <w:rsid w:val="00657AD0"/>
    <w:rsid w:val="006618B5"/>
    <w:rsid w:val="006626C3"/>
    <w:rsid w:val="00665161"/>
    <w:rsid w:val="00665CEA"/>
    <w:rsid w:val="00667C83"/>
    <w:rsid w:val="0067355A"/>
    <w:rsid w:val="00680189"/>
    <w:rsid w:val="006847D9"/>
    <w:rsid w:val="00684B9C"/>
    <w:rsid w:val="00686C47"/>
    <w:rsid w:val="0069375C"/>
    <w:rsid w:val="006A0EFB"/>
    <w:rsid w:val="006A1FBE"/>
    <w:rsid w:val="006A454C"/>
    <w:rsid w:val="006B1598"/>
    <w:rsid w:val="006C57E7"/>
    <w:rsid w:val="006D0DBD"/>
    <w:rsid w:val="006D11D2"/>
    <w:rsid w:val="006D4FF4"/>
    <w:rsid w:val="006D6867"/>
    <w:rsid w:val="006E31FC"/>
    <w:rsid w:val="006E3A45"/>
    <w:rsid w:val="006F7127"/>
    <w:rsid w:val="006F75A4"/>
    <w:rsid w:val="006F7B94"/>
    <w:rsid w:val="0070637D"/>
    <w:rsid w:val="0070735C"/>
    <w:rsid w:val="00711ED8"/>
    <w:rsid w:val="007209E5"/>
    <w:rsid w:val="00720A08"/>
    <w:rsid w:val="007220A6"/>
    <w:rsid w:val="0073205A"/>
    <w:rsid w:val="0074291A"/>
    <w:rsid w:val="007453B8"/>
    <w:rsid w:val="00745F34"/>
    <w:rsid w:val="007513C7"/>
    <w:rsid w:val="00752F45"/>
    <w:rsid w:val="0075520B"/>
    <w:rsid w:val="0075781E"/>
    <w:rsid w:val="00763C5D"/>
    <w:rsid w:val="00776378"/>
    <w:rsid w:val="007820B4"/>
    <w:rsid w:val="00783315"/>
    <w:rsid w:val="007854CF"/>
    <w:rsid w:val="00786502"/>
    <w:rsid w:val="00787CE8"/>
    <w:rsid w:val="0079352D"/>
    <w:rsid w:val="007A2863"/>
    <w:rsid w:val="007A4C5C"/>
    <w:rsid w:val="007A703C"/>
    <w:rsid w:val="007B12D3"/>
    <w:rsid w:val="007B647E"/>
    <w:rsid w:val="007B7774"/>
    <w:rsid w:val="007C21FB"/>
    <w:rsid w:val="007C2741"/>
    <w:rsid w:val="007C4064"/>
    <w:rsid w:val="007C78E0"/>
    <w:rsid w:val="007E2A4F"/>
    <w:rsid w:val="007E32BB"/>
    <w:rsid w:val="007E555E"/>
    <w:rsid w:val="007F1C83"/>
    <w:rsid w:val="007F3BB5"/>
    <w:rsid w:val="007F3E4D"/>
    <w:rsid w:val="00802705"/>
    <w:rsid w:val="008034E0"/>
    <w:rsid w:val="00806ED5"/>
    <w:rsid w:val="0081114A"/>
    <w:rsid w:val="00816C7D"/>
    <w:rsid w:val="00820C3D"/>
    <w:rsid w:val="00822205"/>
    <w:rsid w:val="00827789"/>
    <w:rsid w:val="00836E49"/>
    <w:rsid w:val="00837C10"/>
    <w:rsid w:val="0084008B"/>
    <w:rsid w:val="008464A1"/>
    <w:rsid w:val="008505FF"/>
    <w:rsid w:val="0086048A"/>
    <w:rsid w:val="00873CEB"/>
    <w:rsid w:val="00875025"/>
    <w:rsid w:val="0087512D"/>
    <w:rsid w:val="00875FA5"/>
    <w:rsid w:val="00877478"/>
    <w:rsid w:val="008808AE"/>
    <w:rsid w:val="00881A64"/>
    <w:rsid w:val="00883FB2"/>
    <w:rsid w:val="00885475"/>
    <w:rsid w:val="008878DB"/>
    <w:rsid w:val="00897BA9"/>
    <w:rsid w:val="008A4C70"/>
    <w:rsid w:val="008A7FF7"/>
    <w:rsid w:val="008B0C91"/>
    <w:rsid w:val="008B50FD"/>
    <w:rsid w:val="008B5B29"/>
    <w:rsid w:val="008C3721"/>
    <w:rsid w:val="008C59B1"/>
    <w:rsid w:val="008C6026"/>
    <w:rsid w:val="008C65C9"/>
    <w:rsid w:val="008C6C3C"/>
    <w:rsid w:val="008C6D35"/>
    <w:rsid w:val="008D0555"/>
    <w:rsid w:val="008D0560"/>
    <w:rsid w:val="008D1D0B"/>
    <w:rsid w:val="008D4F06"/>
    <w:rsid w:val="008E4089"/>
    <w:rsid w:val="008F6552"/>
    <w:rsid w:val="00900947"/>
    <w:rsid w:val="00900BB3"/>
    <w:rsid w:val="00902AEA"/>
    <w:rsid w:val="00906B43"/>
    <w:rsid w:val="0091783A"/>
    <w:rsid w:val="00920B84"/>
    <w:rsid w:val="00924C6E"/>
    <w:rsid w:val="00930395"/>
    <w:rsid w:val="00933AB7"/>
    <w:rsid w:val="00935CB4"/>
    <w:rsid w:val="0094052E"/>
    <w:rsid w:val="009469C8"/>
    <w:rsid w:val="00946EA1"/>
    <w:rsid w:val="00952912"/>
    <w:rsid w:val="00953807"/>
    <w:rsid w:val="009543A6"/>
    <w:rsid w:val="00954E34"/>
    <w:rsid w:val="00956F11"/>
    <w:rsid w:val="009656FC"/>
    <w:rsid w:val="0096617E"/>
    <w:rsid w:val="00967EAE"/>
    <w:rsid w:val="00970E72"/>
    <w:rsid w:val="00980114"/>
    <w:rsid w:val="00980EFC"/>
    <w:rsid w:val="009940EE"/>
    <w:rsid w:val="00997F53"/>
    <w:rsid w:val="009A109E"/>
    <w:rsid w:val="009A5C30"/>
    <w:rsid w:val="009A69FE"/>
    <w:rsid w:val="009B471C"/>
    <w:rsid w:val="009B48D1"/>
    <w:rsid w:val="009B6F1F"/>
    <w:rsid w:val="009B7887"/>
    <w:rsid w:val="009C17C3"/>
    <w:rsid w:val="009C5ECE"/>
    <w:rsid w:val="009C7228"/>
    <w:rsid w:val="009D11A3"/>
    <w:rsid w:val="009E01F7"/>
    <w:rsid w:val="009F29B8"/>
    <w:rsid w:val="009F49CD"/>
    <w:rsid w:val="009F4FE6"/>
    <w:rsid w:val="00A03567"/>
    <w:rsid w:val="00A05884"/>
    <w:rsid w:val="00A1100C"/>
    <w:rsid w:val="00A116BF"/>
    <w:rsid w:val="00A214E1"/>
    <w:rsid w:val="00A31BE6"/>
    <w:rsid w:val="00A33BC5"/>
    <w:rsid w:val="00A349DA"/>
    <w:rsid w:val="00A41B2A"/>
    <w:rsid w:val="00A44AA6"/>
    <w:rsid w:val="00A45382"/>
    <w:rsid w:val="00A46DB9"/>
    <w:rsid w:val="00A5026F"/>
    <w:rsid w:val="00A50917"/>
    <w:rsid w:val="00A532AA"/>
    <w:rsid w:val="00A53CF8"/>
    <w:rsid w:val="00A56974"/>
    <w:rsid w:val="00A56E08"/>
    <w:rsid w:val="00A64DED"/>
    <w:rsid w:val="00A65FE8"/>
    <w:rsid w:val="00A70EE9"/>
    <w:rsid w:val="00A73410"/>
    <w:rsid w:val="00A76BF4"/>
    <w:rsid w:val="00A77BF2"/>
    <w:rsid w:val="00A8094E"/>
    <w:rsid w:val="00A83177"/>
    <w:rsid w:val="00A87F4E"/>
    <w:rsid w:val="00A954D5"/>
    <w:rsid w:val="00AA593B"/>
    <w:rsid w:val="00AA5969"/>
    <w:rsid w:val="00AA7B21"/>
    <w:rsid w:val="00AB1651"/>
    <w:rsid w:val="00AB172D"/>
    <w:rsid w:val="00AC05FF"/>
    <w:rsid w:val="00AC5651"/>
    <w:rsid w:val="00AD682F"/>
    <w:rsid w:val="00AD6B7A"/>
    <w:rsid w:val="00AD75C9"/>
    <w:rsid w:val="00AE078D"/>
    <w:rsid w:val="00AE29D1"/>
    <w:rsid w:val="00AF1837"/>
    <w:rsid w:val="00AF299C"/>
    <w:rsid w:val="00AF2D86"/>
    <w:rsid w:val="00B00017"/>
    <w:rsid w:val="00B042A9"/>
    <w:rsid w:val="00B12A2D"/>
    <w:rsid w:val="00B16B73"/>
    <w:rsid w:val="00B216E2"/>
    <w:rsid w:val="00B22358"/>
    <w:rsid w:val="00B228BB"/>
    <w:rsid w:val="00B22A1A"/>
    <w:rsid w:val="00B2483F"/>
    <w:rsid w:val="00B33363"/>
    <w:rsid w:val="00B3431C"/>
    <w:rsid w:val="00B34A8F"/>
    <w:rsid w:val="00B353AB"/>
    <w:rsid w:val="00B355AB"/>
    <w:rsid w:val="00B41A93"/>
    <w:rsid w:val="00B422D5"/>
    <w:rsid w:val="00B43F33"/>
    <w:rsid w:val="00B445B2"/>
    <w:rsid w:val="00B46372"/>
    <w:rsid w:val="00B4644A"/>
    <w:rsid w:val="00B51DE5"/>
    <w:rsid w:val="00B5243E"/>
    <w:rsid w:val="00B53873"/>
    <w:rsid w:val="00B56AE3"/>
    <w:rsid w:val="00B61E84"/>
    <w:rsid w:val="00B629C3"/>
    <w:rsid w:val="00B648BB"/>
    <w:rsid w:val="00B718C4"/>
    <w:rsid w:val="00B73A3D"/>
    <w:rsid w:val="00B77D71"/>
    <w:rsid w:val="00B816E2"/>
    <w:rsid w:val="00B865F3"/>
    <w:rsid w:val="00B86781"/>
    <w:rsid w:val="00B9168E"/>
    <w:rsid w:val="00B91D2F"/>
    <w:rsid w:val="00B963D0"/>
    <w:rsid w:val="00BA24F6"/>
    <w:rsid w:val="00BB05A7"/>
    <w:rsid w:val="00BB4CE0"/>
    <w:rsid w:val="00BC1C8A"/>
    <w:rsid w:val="00BC4BC8"/>
    <w:rsid w:val="00BE3E7B"/>
    <w:rsid w:val="00BE602D"/>
    <w:rsid w:val="00BF2D58"/>
    <w:rsid w:val="00BF5F4C"/>
    <w:rsid w:val="00BF7F4E"/>
    <w:rsid w:val="00C01873"/>
    <w:rsid w:val="00C03212"/>
    <w:rsid w:val="00C04EFE"/>
    <w:rsid w:val="00C077F4"/>
    <w:rsid w:val="00C10A0B"/>
    <w:rsid w:val="00C14DE5"/>
    <w:rsid w:val="00C2044F"/>
    <w:rsid w:val="00C20A8C"/>
    <w:rsid w:val="00C249F7"/>
    <w:rsid w:val="00C24EFD"/>
    <w:rsid w:val="00C36D4E"/>
    <w:rsid w:val="00C37D53"/>
    <w:rsid w:val="00C37D83"/>
    <w:rsid w:val="00C41056"/>
    <w:rsid w:val="00C425AD"/>
    <w:rsid w:val="00C43B69"/>
    <w:rsid w:val="00C502B2"/>
    <w:rsid w:val="00C56E60"/>
    <w:rsid w:val="00C62705"/>
    <w:rsid w:val="00C62CF6"/>
    <w:rsid w:val="00C62E4B"/>
    <w:rsid w:val="00C64989"/>
    <w:rsid w:val="00C668F2"/>
    <w:rsid w:val="00C66CFA"/>
    <w:rsid w:val="00C772AC"/>
    <w:rsid w:val="00C9025F"/>
    <w:rsid w:val="00C91C6A"/>
    <w:rsid w:val="00C962AD"/>
    <w:rsid w:val="00CA2304"/>
    <w:rsid w:val="00CA3B3B"/>
    <w:rsid w:val="00CA492A"/>
    <w:rsid w:val="00CB02F5"/>
    <w:rsid w:val="00CB62CA"/>
    <w:rsid w:val="00CC531F"/>
    <w:rsid w:val="00CD567C"/>
    <w:rsid w:val="00CF1701"/>
    <w:rsid w:val="00CF480E"/>
    <w:rsid w:val="00CF54C2"/>
    <w:rsid w:val="00D0006A"/>
    <w:rsid w:val="00D03541"/>
    <w:rsid w:val="00D05987"/>
    <w:rsid w:val="00D102F6"/>
    <w:rsid w:val="00D1065A"/>
    <w:rsid w:val="00D11A76"/>
    <w:rsid w:val="00D145AF"/>
    <w:rsid w:val="00D25B6E"/>
    <w:rsid w:val="00D368B7"/>
    <w:rsid w:val="00D37AE2"/>
    <w:rsid w:val="00D4519B"/>
    <w:rsid w:val="00D46E1E"/>
    <w:rsid w:val="00D46F5F"/>
    <w:rsid w:val="00D47B4F"/>
    <w:rsid w:val="00D50B8A"/>
    <w:rsid w:val="00D65924"/>
    <w:rsid w:val="00D76DEC"/>
    <w:rsid w:val="00D80B9A"/>
    <w:rsid w:val="00D810D6"/>
    <w:rsid w:val="00D83D64"/>
    <w:rsid w:val="00D87577"/>
    <w:rsid w:val="00D9195C"/>
    <w:rsid w:val="00D9197B"/>
    <w:rsid w:val="00D9288A"/>
    <w:rsid w:val="00D92D73"/>
    <w:rsid w:val="00D950F4"/>
    <w:rsid w:val="00D9678C"/>
    <w:rsid w:val="00DA5B24"/>
    <w:rsid w:val="00DB12A7"/>
    <w:rsid w:val="00DB5FFA"/>
    <w:rsid w:val="00DB6C13"/>
    <w:rsid w:val="00DB703E"/>
    <w:rsid w:val="00DB7746"/>
    <w:rsid w:val="00DC5BCF"/>
    <w:rsid w:val="00DD0EA3"/>
    <w:rsid w:val="00DD5C5C"/>
    <w:rsid w:val="00DD5D1A"/>
    <w:rsid w:val="00DD6220"/>
    <w:rsid w:val="00DD6792"/>
    <w:rsid w:val="00DD74AA"/>
    <w:rsid w:val="00DD764F"/>
    <w:rsid w:val="00DD7842"/>
    <w:rsid w:val="00DF7167"/>
    <w:rsid w:val="00E0118C"/>
    <w:rsid w:val="00E025E0"/>
    <w:rsid w:val="00E11A69"/>
    <w:rsid w:val="00E13703"/>
    <w:rsid w:val="00E13C05"/>
    <w:rsid w:val="00E2133F"/>
    <w:rsid w:val="00E23245"/>
    <w:rsid w:val="00E2660B"/>
    <w:rsid w:val="00E3009A"/>
    <w:rsid w:val="00E31453"/>
    <w:rsid w:val="00E40077"/>
    <w:rsid w:val="00E43769"/>
    <w:rsid w:val="00E44DCB"/>
    <w:rsid w:val="00E50F5A"/>
    <w:rsid w:val="00E61703"/>
    <w:rsid w:val="00E621AE"/>
    <w:rsid w:val="00E63B60"/>
    <w:rsid w:val="00E64EF3"/>
    <w:rsid w:val="00E67456"/>
    <w:rsid w:val="00E71EBB"/>
    <w:rsid w:val="00E76536"/>
    <w:rsid w:val="00E779F7"/>
    <w:rsid w:val="00E84392"/>
    <w:rsid w:val="00E91404"/>
    <w:rsid w:val="00E94690"/>
    <w:rsid w:val="00E94F40"/>
    <w:rsid w:val="00EA2AB7"/>
    <w:rsid w:val="00EA717D"/>
    <w:rsid w:val="00EA7E05"/>
    <w:rsid w:val="00EB0BB3"/>
    <w:rsid w:val="00EB6491"/>
    <w:rsid w:val="00EB7511"/>
    <w:rsid w:val="00EB7D07"/>
    <w:rsid w:val="00EC3394"/>
    <w:rsid w:val="00EC75B3"/>
    <w:rsid w:val="00ED41E2"/>
    <w:rsid w:val="00ED5750"/>
    <w:rsid w:val="00EE13F2"/>
    <w:rsid w:val="00EE1920"/>
    <w:rsid w:val="00EE4C58"/>
    <w:rsid w:val="00EE677A"/>
    <w:rsid w:val="00EF5DCE"/>
    <w:rsid w:val="00EF6AEC"/>
    <w:rsid w:val="00EF766A"/>
    <w:rsid w:val="00F0251C"/>
    <w:rsid w:val="00F07DF7"/>
    <w:rsid w:val="00F11E12"/>
    <w:rsid w:val="00F125AD"/>
    <w:rsid w:val="00F13EA1"/>
    <w:rsid w:val="00F272FD"/>
    <w:rsid w:val="00F30EEA"/>
    <w:rsid w:val="00F454E9"/>
    <w:rsid w:val="00F46626"/>
    <w:rsid w:val="00F50921"/>
    <w:rsid w:val="00F52D55"/>
    <w:rsid w:val="00F61B91"/>
    <w:rsid w:val="00F62D6D"/>
    <w:rsid w:val="00F6693E"/>
    <w:rsid w:val="00F81CFA"/>
    <w:rsid w:val="00F83AC2"/>
    <w:rsid w:val="00F85B6C"/>
    <w:rsid w:val="00F90255"/>
    <w:rsid w:val="00F90E06"/>
    <w:rsid w:val="00FA51A9"/>
    <w:rsid w:val="00FA6762"/>
    <w:rsid w:val="00FB0D29"/>
    <w:rsid w:val="00FB49C6"/>
    <w:rsid w:val="00FB4E59"/>
    <w:rsid w:val="00FB53A1"/>
    <w:rsid w:val="00FB6D19"/>
    <w:rsid w:val="00FC3AC2"/>
    <w:rsid w:val="00FC7A71"/>
    <w:rsid w:val="00FD1EC7"/>
    <w:rsid w:val="00FD4A19"/>
    <w:rsid w:val="00FD6D86"/>
    <w:rsid w:val="00FE2B32"/>
    <w:rsid w:val="00FE594E"/>
    <w:rsid w:val="00FF10A5"/>
    <w:rsid w:val="00FF2695"/>
    <w:rsid w:val="00FF3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3e5185,#60adb8"/>
    </o:shapedefaults>
    <o:shapelayout v:ext="edit">
      <o:idmap v:ext="edit" data="1"/>
    </o:shapelayout>
  </w:shapeDefaults>
  <w:decimalSymbol w:val="."/>
  <w:listSeparator w:val=","/>
  <w14:docId w14:val="1EAFF0DF"/>
  <w15:docId w15:val="{17CD3F4A-2F6D-4635-8949-0B5B806B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E2"/>
    <w:pPr>
      <w:spacing w:after="280" w:line="320" w:lineRule="exact"/>
    </w:pPr>
    <w:rPr>
      <w:rFonts w:ascii="Tahoma" w:hAnsi="Tahoma"/>
      <w:color w:val="000000"/>
      <w:sz w:val="24"/>
      <w:szCs w:val="24"/>
      <w:lang w:eastAsia="en-US"/>
    </w:rPr>
  </w:style>
  <w:style w:type="paragraph" w:styleId="Heading1">
    <w:name w:val="heading 1"/>
    <w:basedOn w:val="Normal"/>
    <w:next w:val="Normal"/>
    <w:qFormat/>
    <w:rsid w:val="003928E2"/>
    <w:pPr>
      <w:keepNext/>
      <w:spacing w:after="200" w:line="500" w:lineRule="exact"/>
      <w:outlineLvl w:val="0"/>
    </w:pPr>
    <w:rPr>
      <w:rFonts w:cs="Arial"/>
      <w:b/>
      <w:bCs/>
      <w:color w:val="30A5BE"/>
      <w:kern w:val="32"/>
      <w:sz w:val="40"/>
      <w:szCs w:val="32"/>
    </w:rPr>
  </w:style>
  <w:style w:type="paragraph" w:styleId="Heading2">
    <w:name w:val="heading 2"/>
    <w:basedOn w:val="Heading1"/>
    <w:next w:val="Normal"/>
    <w:link w:val="Heading2Char"/>
    <w:qFormat/>
    <w:rsid w:val="003928E2"/>
    <w:pPr>
      <w:spacing w:before="500" w:after="100" w:line="400" w:lineRule="exact"/>
      <w:outlineLvl w:val="1"/>
    </w:pPr>
    <w:rPr>
      <w:iCs/>
      <w:color w:val="00377B"/>
      <w:sz w:val="32"/>
      <w:szCs w:val="28"/>
    </w:rPr>
  </w:style>
  <w:style w:type="paragraph" w:styleId="Heading3">
    <w:name w:val="heading 3"/>
    <w:basedOn w:val="Normal"/>
    <w:next w:val="Normal"/>
    <w:qFormat/>
    <w:rsid w:val="003928E2"/>
    <w:pPr>
      <w:keepNext/>
      <w:spacing w:before="500" w:after="100"/>
      <w:outlineLvl w:val="2"/>
    </w:pPr>
    <w:rPr>
      <w:rFonts w:cs="Arial"/>
      <w:b/>
      <w:bCs/>
      <w:iCs/>
      <w:color w:val="auto"/>
      <w:szCs w:val="26"/>
    </w:rPr>
  </w:style>
  <w:style w:type="paragraph" w:styleId="Heading4">
    <w:name w:val="heading 4"/>
    <w:basedOn w:val="Normal"/>
    <w:next w:val="Normal"/>
    <w:link w:val="Heading4Char"/>
    <w:uiPriority w:val="9"/>
    <w:qFormat/>
    <w:rsid w:val="003928E2"/>
    <w:pPr>
      <w:keepNext/>
      <w:spacing w:before="500" w:after="100"/>
      <w:outlineLvl w:val="3"/>
    </w:pPr>
    <w:rPr>
      <w:bCs/>
      <w:i/>
      <w:szCs w:val="28"/>
    </w:rPr>
  </w:style>
  <w:style w:type="paragraph" w:styleId="Heading5">
    <w:name w:val="heading 5"/>
    <w:basedOn w:val="Normal"/>
    <w:next w:val="Normal"/>
    <w:qFormat/>
    <w:rsid w:val="003928E2"/>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3928E2"/>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928E2"/>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928E2"/>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928E2"/>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8E2"/>
    <w:pPr>
      <w:tabs>
        <w:tab w:val="center" w:pos="4320"/>
        <w:tab w:val="right" w:pos="8640"/>
      </w:tabs>
    </w:pPr>
  </w:style>
  <w:style w:type="paragraph" w:styleId="Footer">
    <w:name w:val="footer"/>
    <w:basedOn w:val="Normal"/>
    <w:rsid w:val="003928E2"/>
    <w:pPr>
      <w:tabs>
        <w:tab w:val="center" w:pos="4320"/>
        <w:tab w:val="right" w:pos="8640"/>
      </w:tabs>
      <w:spacing w:after="160"/>
    </w:pPr>
    <w:rPr>
      <w:sz w:val="18"/>
    </w:rPr>
  </w:style>
  <w:style w:type="paragraph" w:customStyle="1" w:styleId="GMCNormalBold">
    <w:name w:val="GMC Normal Bold"/>
    <w:basedOn w:val="Normal"/>
    <w:rsid w:val="003928E2"/>
    <w:rPr>
      <w:b/>
    </w:rPr>
  </w:style>
  <w:style w:type="paragraph" w:styleId="Caption">
    <w:name w:val="caption"/>
    <w:basedOn w:val="Normal"/>
    <w:next w:val="Normal"/>
    <w:qFormat/>
    <w:rsid w:val="003928E2"/>
    <w:rPr>
      <w:b/>
      <w:bCs/>
      <w:i/>
      <w:szCs w:val="20"/>
    </w:rPr>
  </w:style>
  <w:style w:type="paragraph" w:styleId="ListNumber">
    <w:name w:val="List Number"/>
    <w:basedOn w:val="Normal"/>
    <w:rsid w:val="003928E2"/>
  </w:style>
  <w:style w:type="paragraph" w:styleId="ListBullet">
    <w:name w:val="List Bullet"/>
    <w:basedOn w:val="Normal"/>
    <w:rsid w:val="003928E2"/>
    <w:pPr>
      <w:numPr>
        <w:numId w:val="5"/>
      </w:numPr>
    </w:pPr>
  </w:style>
  <w:style w:type="paragraph" w:customStyle="1" w:styleId="GMCNormalItalic">
    <w:name w:val="GMC Normal Italic"/>
    <w:basedOn w:val="Normal"/>
    <w:rsid w:val="003928E2"/>
    <w:rPr>
      <w:bCs/>
      <w:i/>
    </w:rPr>
  </w:style>
  <w:style w:type="character" w:styleId="PageNumber">
    <w:name w:val="page number"/>
    <w:basedOn w:val="DefaultParagraphFont"/>
    <w:rsid w:val="003928E2"/>
    <w:rPr>
      <w:sz w:val="18"/>
    </w:rPr>
  </w:style>
  <w:style w:type="paragraph" w:styleId="ListNumber2">
    <w:name w:val="List Number 2"/>
    <w:basedOn w:val="Normal"/>
    <w:rsid w:val="003928E2"/>
    <w:pPr>
      <w:numPr>
        <w:ilvl w:val="1"/>
        <w:numId w:val="6"/>
      </w:numPr>
      <w:tabs>
        <w:tab w:val="left" w:pos="1361"/>
      </w:tabs>
    </w:pPr>
  </w:style>
  <w:style w:type="paragraph" w:styleId="ListNumber3">
    <w:name w:val="List Number 3"/>
    <w:basedOn w:val="Normal"/>
    <w:rsid w:val="003928E2"/>
    <w:pPr>
      <w:numPr>
        <w:ilvl w:val="2"/>
        <w:numId w:val="6"/>
      </w:numPr>
    </w:pPr>
  </w:style>
  <w:style w:type="paragraph" w:customStyle="1" w:styleId="GMCNormalRight">
    <w:name w:val="GMC Normal Right"/>
    <w:basedOn w:val="Normal"/>
    <w:rsid w:val="003928E2"/>
    <w:pPr>
      <w:jc w:val="right"/>
    </w:pPr>
  </w:style>
  <w:style w:type="paragraph" w:customStyle="1" w:styleId="GMCNumberheadingstyle">
    <w:name w:val="GMC Number heading style"/>
    <w:basedOn w:val="Normal"/>
    <w:next w:val="Normal"/>
    <w:rsid w:val="003928E2"/>
    <w:pPr>
      <w:jc w:val="right"/>
    </w:pPr>
    <w:rPr>
      <w:b/>
      <w:bCs/>
      <w:sz w:val="44"/>
    </w:rPr>
  </w:style>
  <w:style w:type="paragraph" w:customStyle="1" w:styleId="GMCNumbertext">
    <w:name w:val="GMC Number text"/>
    <w:basedOn w:val="Normal"/>
    <w:link w:val="GMCNumbertextChar"/>
    <w:rsid w:val="003928E2"/>
    <w:pPr>
      <w:numPr>
        <w:numId w:val="3"/>
      </w:numPr>
    </w:pPr>
  </w:style>
  <w:style w:type="paragraph" w:customStyle="1" w:styleId="GMCA-Ztext">
    <w:name w:val="GMC A-Z text"/>
    <w:basedOn w:val="Normal"/>
    <w:rsid w:val="003928E2"/>
    <w:pPr>
      <w:numPr>
        <w:numId w:val="2"/>
      </w:numPr>
    </w:pPr>
  </w:style>
  <w:style w:type="paragraph" w:customStyle="1" w:styleId="GMCRomantext">
    <w:name w:val="GMC Roman text"/>
    <w:basedOn w:val="Normal"/>
    <w:rsid w:val="003928E2"/>
    <w:pPr>
      <w:numPr>
        <w:numId w:val="4"/>
      </w:numPr>
    </w:pPr>
  </w:style>
  <w:style w:type="paragraph" w:customStyle="1" w:styleId="GMCNormalindented">
    <w:name w:val="GMC Normal indented"/>
    <w:basedOn w:val="GMCNumbertext"/>
    <w:rsid w:val="003928E2"/>
    <w:pPr>
      <w:numPr>
        <w:numId w:val="0"/>
      </w:numPr>
      <w:ind w:left="709"/>
    </w:pPr>
  </w:style>
  <w:style w:type="paragraph" w:styleId="Title">
    <w:name w:val="Title"/>
    <w:basedOn w:val="Normal"/>
    <w:next w:val="Normal"/>
    <w:qFormat/>
    <w:rsid w:val="003928E2"/>
    <w:pPr>
      <w:tabs>
        <w:tab w:val="left" w:pos="1418"/>
      </w:tabs>
      <w:spacing w:line="320" w:lineRule="atLeast"/>
      <w:outlineLvl w:val="0"/>
    </w:pPr>
    <w:rPr>
      <w:rFonts w:cs="Arial"/>
      <w:b/>
      <w:bCs/>
      <w:kern w:val="28"/>
      <w:szCs w:val="32"/>
    </w:rPr>
  </w:style>
  <w:style w:type="table" w:styleId="TableGrid">
    <w:name w:val="Table Grid"/>
    <w:basedOn w:val="TableNormal"/>
    <w:rsid w:val="003928E2"/>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928E2"/>
    <w:rPr>
      <w:sz w:val="16"/>
      <w:szCs w:val="16"/>
    </w:rPr>
  </w:style>
  <w:style w:type="paragraph" w:styleId="CommentText">
    <w:name w:val="annotation text"/>
    <w:basedOn w:val="Normal"/>
    <w:link w:val="CommentTextChar"/>
    <w:semiHidden/>
    <w:rsid w:val="003928E2"/>
    <w:rPr>
      <w:sz w:val="20"/>
      <w:szCs w:val="20"/>
    </w:rPr>
  </w:style>
  <w:style w:type="paragraph" w:styleId="CommentSubject">
    <w:name w:val="annotation subject"/>
    <w:basedOn w:val="CommentText"/>
    <w:next w:val="CommentText"/>
    <w:semiHidden/>
    <w:rsid w:val="003928E2"/>
    <w:rPr>
      <w:b/>
      <w:bCs/>
    </w:rPr>
  </w:style>
  <w:style w:type="paragraph" w:styleId="BalloonText">
    <w:name w:val="Balloon Text"/>
    <w:basedOn w:val="Normal"/>
    <w:semiHidden/>
    <w:rsid w:val="003928E2"/>
    <w:rPr>
      <w:rFonts w:cs="Tahoma"/>
      <w:sz w:val="16"/>
      <w:szCs w:val="16"/>
    </w:rPr>
  </w:style>
  <w:style w:type="paragraph" w:styleId="ListBullet2">
    <w:name w:val="List Bullet 2"/>
    <w:basedOn w:val="Normal"/>
    <w:rsid w:val="003928E2"/>
    <w:pPr>
      <w:numPr>
        <w:ilvl w:val="1"/>
        <w:numId w:val="5"/>
      </w:numPr>
    </w:pPr>
  </w:style>
  <w:style w:type="paragraph" w:styleId="ListBullet3">
    <w:name w:val="List Bullet 3"/>
    <w:basedOn w:val="Normal"/>
    <w:rsid w:val="003928E2"/>
    <w:pPr>
      <w:numPr>
        <w:ilvl w:val="2"/>
        <w:numId w:val="5"/>
      </w:numPr>
    </w:pPr>
  </w:style>
  <w:style w:type="paragraph" w:styleId="ListBullet4">
    <w:name w:val="List Bullet 4"/>
    <w:basedOn w:val="Normal"/>
    <w:rsid w:val="003928E2"/>
    <w:pPr>
      <w:numPr>
        <w:ilvl w:val="3"/>
        <w:numId w:val="5"/>
      </w:numPr>
    </w:pPr>
  </w:style>
  <w:style w:type="paragraph" w:styleId="ListBullet5">
    <w:name w:val="List Bullet 5"/>
    <w:basedOn w:val="Normal"/>
    <w:rsid w:val="003928E2"/>
    <w:pPr>
      <w:numPr>
        <w:ilvl w:val="4"/>
        <w:numId w:val="5"/>
      </w:numPr>
    </w:pPr>
  </w:style>
  <w:style w:type="paragraph" w:styleId="FootnoteText">
    <w:name w:val="footnote text"/>
    <w:basedOn w:val="Normal"/>
    <w:link w:val="FootnoteTextChar"/>
    <w:rsid w:val="00270153"/>
    <w:pPr>
      <w:spacing w:after="0" w:line="280" w:lineRule="atLeast"/>
    </w:pPr>
    <w:rPr>
      <w:sz w:val="20"/>
      <w:szCs w:val="20"/>
    </w:rPr>
  </w:style>
  <w:style w:type="character" w:customStyle="1" w:styleId="FootnoteTextChar">
    <w:name w:val="Footnote Text Char"/>
    <w:basedOn w:val="DefaultParagraphFont"/>
    <w:link w:val="FootnoteText"/>
    <w:rsid w:val="00270153"/>
    <w:rPr>
      <w:rFonts w:ascii="Tahoma" w:hAnsi="Tahoma"/>
      <w:color w:val="000000"/>
      <w:lang w:eastAsia="en-US"/>
    </w:rPr>
  </w:style>
  <w:style w:type="character" w:styleId="FootnoteReference">
    <w:name w:val="footnote reference"/>
    <w:basedOn w:val="DefaultParagraphFont"/>
    <w:rsid w:val="003928E2"/>
    <w:rPr>
      <w:vertAlign w:val="superscript"/>
    </w:rPr>
  </w:style>
  <w:style w:type="character" w:styleId="Hyperlink">
    <w:name w:val="Hyperlink"/>
    <w:basedOn w:val="DefaultParagraphFont"/>
    <w:uiPriority w:val="99"/>
    <w:rsid w:val="003928E2"/>
    <w:rPr>
      <w:color w:val="0000FF"/>
      <w:u w:val="single"/>
    </w:rPr>
  </w:style>
  <w:style w:type="character" w:styleId="FollowedHyperlink">
    <w:name w:val="FollowedHyperlink"/>
    <w:basedOn w:val="DefaultParagraphFont"/>
    <w:rsid w:val="003928E2"/>
    <w:rPr>
      <w:color w:val="800080" w:themeColor="followedHyperlink"/>
      <w:u w:val="single"/>
    </w:rPr>
  </w:style>
  <w:style w:type="character" w:styleId="EndnoteReference">
    <w:name w:val="endnote reference"/>
    <w:basedOn w:val="DefaultParagraphFont"/>
    <w:rsid w:val="003928E2"/>
    <w:rPr>
      <w:vertAlign w:val="superscript"/>
    </w:rPr>
  </w:style>
  <w:style w:type="paragraph" w:styleId="EndnoteText">
    <w:name w:val="endnote text"/>
    <w:basedOn w:val="Normal"/>
    <w:link w:val="EndnoteTextChar"/>
    <w:rsid w:val="003928E2"/>
    <w:pPr>
      <w:spacing w:after="0" w:line="240" w:lineRule="auto"/>
    </w:pPr>
    <w:rPr>
      <w:sz w:val="20"/>
      <w:szCs w:val="20"/>
    </w:rPr>
  </w:style>
  <w:style w:type="character" w:customStyle="1" w:styleId="EndnoteTextChar">
    <w:name w:val="Endnote Text Char"/>
    <w:basedOn w:val="DefaultParagraphFont"/>
    <w:link w:val="EndnoteText"/>
    <w:rsid w:val="003928E2"/>
    <w:rPr>
      <w:rFonts w:ascii="Tahoma" w:hAnsi="Tahoma"/>
      <w:color w:val="000000"/>
      <w:lang w:eastAsia="en-US"/>
    </w:rPr>
  </w:style>
  <w:style w:type="character" w:customStyle="1" w:styleId="Heading6Char">
    <w:name w:val="Heading 6 Char"/>
    <w:basedOn w:val="DefaultParagraphFont"/>
    <w:link w:val="Heading6"/>
    <w:semiHidden/>
    <w:rsid w:val="003928E2"/>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3928E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3928E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3928E2"/>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3928E2"/>
    <w:pPr>
      <w:spacing w:after="120"/>
      <w:ind w:left="1418"/>
      <w:contextualSpacing/>
    </w:pPr>
  </w:style>
  <w:style w:type="character" w:customStyle="1" w:styleId="GMCNumbertextChar">
    <w:name w:val="GMC Number text Char"/>
    <w:basedOn w:val="DefaultParagraphFont"/>
    <w:link w:val="GMCNumbertext"/>
    <w:rsid w:val="00906B43"/>
    <w:rPr>
      <w:rFonts w:ascii="Tahoma" w:hAnsi="Tahoma"/>
      <w:color w:val="000000"/>
      <w:sz w:val="24"/>
      <w:szCs w:val="24"/>
      <w:lang w:eastAsia="en-US"/>
    </w:rPr>
  </w:style>
  <w:style w:type="paragraph" w:styleId="ListParagraph">
    <w:name w:val="List Paragraph"/>
    <w:basedOn w:val="Normal"/>
    <w:uiPriority w:val="34"/>
    <w:qFormat/>
    <w:rsid w:val="00906B43"/>
    <w:pPr>
      <w:ind w:left="720"/>
      <w:contextualSpacing/>
    </w:pPr>
  </w:style>
  <w:style w:type="character" w:styleId="UnresolvedMention">
    <w:name w:val="Unresolved Mention"/>
    <w:basedOn w:val="DefaultParagraphFont"/>
    <w:uiPriority w:val="99"/>
    <w:semiHidden/>
    <w:unhideWhenUsed/>
    <w:rsid w:val="00E779F7"/>
    <w:rPr>
      <w:color w:val="605E5C"/>
      <w:shd w:val="clear" w:color="auto" w:fill="E1DFDD"/>
    </w:rPr>
  </w:style>
  <w:style w:type="character" w:customStyle="1" w:styleId="genid2">
    <w:name w:val="genid2"/>
    <w:basedOn w:val="DefaultParagraphFont"/>
    <w:rsid w:val="003839D5"/>
  </w:style>
  <w:style w:type="character" w:customStyle="1" w:styleId="CommentTextChar">
    <w:name w:val="Comment Text Char"/>
    <w:basedOn w:val="DefaultParagraphFont"/>
    <w:link w:val="CommentText"/>
    <w:semiHidden/>
    <w:rsid w:val="005D3DB5"/>
    <w:rPr>
      <w:rFonts w:ascii="Tahoma" w:hAnsi="Tahoma"/>
      <w:color w:val="000000"/>
      <w:lang w:eastAsia="en-US"/>
    </w:rPr>
  </w:style>
  <w:style w:type="character" w:customStyle="1" w:styleId="guidanceparagraphnumber">
    <w:name w:val="guidanceparagraphnumber"/>
    <w:basedOn w:val="DefaultParagraphFont"/>
    <w:rsid w:val="00BF5F4C"/>
  </w:style>
  <w:style w:type="paragraph" w:styleId="NormalWeb">
    <w:name w:val="Normal (Web)"/>
    <w:basedOn w:val="Normal"/>
    <w:uiPriority w:val="99"/>
    <w:semiHidden/>
    <w:unhideWhenUsed/>
    <w:rsid w:val="00BF5F4C"/>
    <w:pPr>
      <w:spacing w:before="100" w:beforeAutospacing="1" w:after="100" w:afterAutospacing="1" w:line="240" w:lineRule="auto"/>
    </w:pPr>
    <w:rPr>
      <w:rFonts w:ascii="Times New Roman" w:hAnsi="Times New Roman"/>
      <w:color w:val="auto"/>
      <w:lang w:eastAsia="en-GB"/>
    </w:rPr>
  </w:style>
  <w:style w:type="paragraph" w:customStyle="1" w:styleId="wordsection1">
    <w:name w:val="wordsection1"/>
    <w:basedOn w:val="Normal"/>
    <w:rsid w:val="00DD5D1A"/>
    <w:pPr>
      <w:spacing w:before="100" w:beforeAutospacing="1" w:after="100" w:afterAutospacing="1" w:line="240" w:lineRule="auto"/>
    </w:pPr>
    <w:rPr>
      <w:rFonts w:ascii="Calibri" w:eastAsiaTheme="minorHAnsi" w:hAnsi="Calibri" w:cs="Calibri"/>
      <w:color w:val="auto"/>
      <w:sz w:val="20"/>
      <w:szCs w:val="20"/>
      <w:lang w:eastAsia="en-GB"/>
    </w:rPr>
  </w:style>
  <w:style w:type="character" w:customStyle="1" w:styleId="Heading2Char">
    <w:name w:val="Heading 2 Char"/>
    <w:basedOn w:val="DefaultParagraphFont"/>
    <w:link w:val="Heading2"/>
    <w:rsid w:val="0057573F"/>
    <w:rPr>
      <w:rFonts w:ascii="Tahoma" w:hAnsi="Tahoma" w:cs="Arial"/>
      <w:b/>
      <w:bCs/>
      <w:iCs/>
      <w:color w:val="00377B"/>
      <w:kern w:val="32"/>
      <w:sz w:val="32"/>
      <w:szCs w:val="28"/>
      <w:lang w:eastAsia="en-US"/>
    </w:rPr>
  </w:style>
  <w:style w:type="character" w:customStyle="1" w:styleId="Heading4Char">
    <w:name w:val="Heading 4 Char"/>
    <w:basedOn w:val="DefaultParagraphFont"/>
    <w:link w:val="Heading4"/>
    <w:uiPriority w:val="9"/>
    <w:rsid w:val="00C37D83"/>
    <w:rPr>
      <w:rFonts w:ascii="Tahoma" w:hAnsi="Tahoma"/>
      <w:bCs/>
      <w:i/>
      <w:color w:val="000000"/>
      <w:sz w:val="24"/>
      <w:szCs w:val="28"/>
      <w:lang w:eastAsia="en-US"/>
    </w:rPr>
  </w:style>
  <w:style w:type="character" w:customStyle="1" w:styleId="legds">
    <w:name w:val="legds"/>
    <w:basedOn w:val="DefaultParagraphFont"/>
    <w:rsid w:val="00C37D83"/>
  </w:style>
  <w:style w:type="paragraph" w:customStyle="1" w:styleId="legclearfix">
    <w:name w:val="legclearfix"/>
    <w:basedOn w:val="Normal"/>
    <w:rsid w:val="00C37D83"/>
    <w:pPr>
      <w:spacing w:before="100" w:beforeAutospacing="1" w:after="100" w:afterAutospacing="1" w:line="240" w:lineRule="auto"/>
    </w:pPr>
    <w:rPr>
      <w:rFonts w:ascii="Times New Roman" w:hAnsi="Times New Roman"/>
      <w:color w:val="auto"/>
      <w:lang w:eastAsia="en-GB"/>
    </w:rPr>
  </w:style>
  <w:style w:type="character" w:customStyle="1" w:styleId="legterm">
    <w:name w:val="legterm"/>
    <w:basedOn w:val="DefaultParagraphFont"/>
    <w:rsid w:val="00C37D83"/>
  </w:style>
  <w:style w:type="character" w:customStyle="1" w:styleId="legchangedelimiter">
    <w:name w:val="legchangedelimiter"/>
    <w:basedOn w:val="DefaultParagraphFont"/>
    <w:rsid w:val="00C37D83"/>
  </w:style>
  <w:style w:type="character" w:customStyle="1" w:styleId="legsubstitution">
    <w:name w:val="legsubstitution"/>
    <w:basedOn w:val="DefaultParagraphFont"/>
    <w:rsid w:val="00C37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8320">
      <w:bodyDiv w:val="1"/>
      <w:marLeft w:val="0"/>
      <w:marRight w:val="0"/>
      <w:marTop w:val="0"/>
      <w:marBottom w:val="0"/>
      <w:divBdr>
        <w:top w:val="none" w:sz="0" w:space="0" w:color="auto"/>
        <w:left w:val="none" w:sz="0" w:space="0" w:color="auto"/>
        <w:bottom w:val="none" w:sz="0" w:space="0" w:color="auto"/>
        <w:right w:val="none" w:sz="0" w:space="0" w:color="auto"/>
      </w:divBdr>
      <w:divsChild>
        <w:div w:id="1136606363">
          <w:marLeft w:val="0"/>
          <w:marRight w:val="0"/>
          <w:marTop w:val="0"/>
          <w:marBottom w:val="0"/>
          <w:divBdr>
            <w:top w:val="none" w:sz="0" w:space="0" w:color="auto"/>
            <w:left w:val="none" w:sz="0" w:space="0" w:color="auto"/>
            <w:bottom w:val="none" w:sz="0" w:space="0" w:color="auto"/>
            <w:right w:val="none" w:sz="0" w:space="0" w:color="auto"/>
          </w:divBdr>
          <w:divsChild>
            <w:div w:id="158039165">
              <w:marLeft w:val="0"/>
              <w:marRight w:val="0"/>
              <w:marTop w:val="0"/>
              <w:marBottom w:val="0"/>
              <w:divBdr>
                <w:top w:val="none" w:sz="0" w:space="0" w:color="auto"/>
                <w:left w:val="none" w:sz="0" w:space="0" w:color="auto"/>
                <w:bottom w:val="none" w:sz="0" w:space="0" w:color="auto"/>
                <w:right w:val="none" w:sz="0" w:space="0" w:color="auto"/>
              </w:divBdr>
            </w:div>
            <w:div w:id="18357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2901">
      <w:bodyDiv w:val="1"/>
      <w:marLeft w:val="0"/>
      <w:marRight w:val="0"/>
      <w:marTop w:val="0"/>
      <w:marBottom w:val="0"/>
      <w:divBdr>
        <w:top w:val="none" w:sz="0" w:space="0" w:color="auto"/>
        <w:left w:val="none" w:sz="0" w:space="0" w:color="auto"/>
        <w:bottom w:val="none" w:sz="0" w:space="0" w:color="auto"/>
        <w:right w:val="none" w:sz="0" w:space="0" w:color="auto"/>
      </w:divBdr>
    </w:div>
    <w:div w:id="478303497">
      <w:bodyDiv w:val="1"/>
      <w:marLeft w:val="0"/>
      <w:marRight w:val="0"/>
      <w:marTop w:val="0"/>
      <w:marBottom w:val="0"/>
      <w:divBdr>
        <w:top w:val="none" w:sz="0" w:space="0" w:color="auto"/>
        <w:left w:val="none" w:sz="0" w:space="0" w:color="auto"/>
        <w:bottom w:val="none" w:sz="0" w:space="0" w:color="auto"/>
        <w:right w:val="none" w:sz="0" w:space="0" w:color="auto"/>
      </w:divBdr>
      <w:divsChild>
        <w:div w:id="1966545981">
          <w:marLeft w:val="0"/>
          <w:marRight w:val="0"/>
          <w:marTop w:val="0"/>
          <w:marBottom w:val="0"/>
          <w:divBdr>
            <w:top w:val="none" w:sz="0" w:space="0" w:color="auto"/>
            <w:left w:val="none" w:sz="0" w:space="0" w:color="auto"/>
            <w:bottom w:val="none" w:sz="0" w:space="0" w:color="auto"/>
            <w:right w:val="none" w:sz="0" w:space="0" w:color="auto"/>
          </w:divBdr>
          <w:divsChild>
            <w:div w:id="9086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3031">
      <w:bodyDiv w:val="1"/>
      <w:marLeft w:val="0"/>
      <w:marRight w:val="0"/>
      <w:marTop w:val="0"/>
      <w:marBottom w:val="0"/>
      <w:divBdr>
        <w:top w:val="none" w:sz="0" w:space="0" w:color="auto"/>
        <w:left w:val="none" w:sz="0" w:space="0" w:color="auto"/>
        <w:bottom w:val="none" w:sz="0" w:space="0" w:color="auto"/>
        <w:right w:val="none" w:sz="0" w:space="0" w:color="auto"/>
      </w:divBdr>
    </w:div>
    <w:div w:id="808322686">
      <w:bodyDiv w:val="1"/>
      <w:marLeft w:val="0"/>
      <w:marRight w:val="0"/>
      <w:marTop w:val="0"/>
      <w:marBottom w:val="0"/>
      <w:divBdr>
        <w:top w:val="none" w:sz="0" w:space="0" w:color="auto"/>
        <w:left w:val="none" w:sz="0" w:space="0" w:color="auto"/>
        <w:bottom w:val="none" w:sz="0" w:space="0" w:color="auto"/>
        <w:right w:val="none" w:sz="0" w:space="0" w:color="auto"/>
      </w:divBdr>
    </w:div>
    <w:div w:id="866916654">
      <w:bodyDiv w:val="1"/>
      <w:marLeft w:val="0"/>
      <w:marRight w:val="0"/>
      <w:marTop w:val="0"/>
      <w:marBottom w:val="0"/>
      <w:divBdr>
        <w:top w:val="none" w:sz="0" w:space="0" w:color="auto"/>
        <w:left w:val="none" w:sz="0" w:space="0" w:color="auto"/>
        <w:bottom w:val="none" w:sz="0" w:space="0" w:color="auto"/>
        <w:right w:val="none" w:sz="0" w:space="0" w:color="auto"/>
      </w:divBdr>
    </w:div>
    <w:div w:id="908075237">
      <w:bodyDiv w:val="1"/>
      <w:marLeft w:val="0"/>
      <w:marRight w:val="0"/>
      <w:marTop w:val="0"/>
      <w:marBottom w:val="0"/>
      <w:divBdr>
        <w:top w:val="none" w:sz="0" w:space="0" w:color="auto"/>
        <w:left w:val="none" w:sz="0" w:space="0" w:color="auto"/>
        <w:bottom w:val="none" w:sz="0" w:space="0" w:color="auto"/>
        <w:right w:val="none" w:sz="0" w:space="0" w:color="auto"/>
      </w:divBdr>
    </w:div>
    <w:div w:id="973292766">
      <w:bodyDiv w:val="1"/>
      <w:marLeft w:val="0"/>
      <w:marRight w:val="0"/>
      <w:marTop w:val="0"/>
      <w:marBottom w:val="0"/>
      <w:divBdr>
        <w:top w:val="none" w:sz="0" w:space="0" w:color="auto"/>
        <w:left w:val="none" w:sz="0" w:space="0" w:color="auto"/>
        <w:bottom w:val="none" w:sz="0" w:space="0" w:color="auto"/>
        <w:right w:val="none" w:sz="0" w:space="0" w:color="auto"/>
      </w:divBdr>
    </w:div>
    <w:div w:id="1101611103">
      <w:bodyDiv w:val="1"/>
      <w:marLeft w:val="0"/>
      <w:marRight w:val="0"/>
      <w:marTop w:val="0"/>
      <w:marBottom w:val="0"/>
      <w:divBdr>
        <w:top w:val="none" w:sz="0" w:space="0" w:color="auto"/>
        <w:left w:val="none" w:sz="0" w:space="0" w:color="auto"/>
        <w:bottom w:val="none" w:sz="0" w:space="0" w:color="auto"/>
        <w:right w:val="none" w:sz="0" w:space="0" w:color="auto"/>
      </w:divBdr>
    </w:div>
    <w:div w:id="1122654650">
      <w:bodyDiv w:val="1"/>
      <w:marLeft w:val="0"/>
      <w:marRight w:val="0"/>
      <w:marTop w:val="0"/>
      <w:marBottom w:val="0"/>
      <w:divBdr>
        <w:top w:val="none" w:sz="0" w:space="0" w:color="auto"/>
        <w:left w:val="none" w:sz="0" w:space="0" w:color="auto"/>
        <w:bottom w:val="none" w:sz="0" w:space="0" w:color="auto"/>
        <w:right w:val="none" w:sz="0" w:space="0" w:color="auto"/>
      </w:divBdr>
    </w:div>
    <w:div w:id="1124617380">
      <w:bodyDiv w:val="1"/>
      <w:marLeft w:val="0"/>
      <w:marRight w:val="0"/>
      <w:marTop w:val="0"/>
      <w:marBottom w:val="0"/>
      <w:divBdr>
        <w:top w:val="none" w:sz="0" w:space="0" w:color="auto"/>
        <w:left w:val="none" w:sz="0" w:space="0" w:color="auto"/>
        <w:bottom w:val="none" w:sz="0" w:space="0" w:color="auto"/>
        <w:right w:val="none" w:sz="0" w:space="0" w:color="auto"/>
      </w:divBdr>
    </w:div>
    <w:div w:id="1373574719">
      <w:bodyDiv w:val="1"/>
      <w:marLeft w:val="0"/>
      <w:marRight w:val="0"/>
      <w:marTop w:val="0"/>
      <w:marBottom w:val="0"/>
      <w:divBdr>
        <w:top w:val="none" w:sz="0" w:space="0" w:color="auto"/>
        <w:left w:val="none" w:sz="0" w:space="0" w:color="auto"/>
        <w:bottom w:val="none" w:sz="0" w:space="0" w:color="auto"/>
        <w:right w:val="none" w:sz="0" w:space="0" w:color="auto"/>
      </w:divBdr>
    </w:div>
    <w:div w:id="1488859936">
      <w:bodyDiv w:val="1"/>
      <w:marLeft w:val="0"/>
      <w:marRight w:val="0"/>
      <w:marTop w:val="0"/>
      <w:marBottom w:val="0"/>
      <w:divBdr>
        <w:top w:val="none" w:sz="0" w:space="0" w:color="auto"/>
        <w:left w:val="none" w:sz="0" w:space="0" w:color="auto"/>
        <w:bottom w:val="none" w:sz="0" w:space="0" w:color="auto"/>
        <w:right w:val="none" w:sz="0" w:space="0" w:color="auto"/>
      </w:divBdr>
    </w:div>
    <w:div w:id="1620919493">
      <w:bodyDiv w:val="1"/>
      <w:marLeft w:val="0"/>
      <w:marRight w:val="0"/>
      <w:marTop w:val="0"/>
      <w:marBottom w:val="0"/>
      <w:divBdr>
        <w:top w:val="none" w:sz="0" w:space="0" w:color="auto"/>
        <w:left w:val="none" w:sz="0" w:space="0" w:color="auto"/>
        <w:bottom w:val="none" w:sz="0" w:space="0" w:color="auto"/>
        <w:right w:val="none" w:sz="0" w:space="0" w:color="auto"/>
      </w:divBdr>
    </w:div>
    <w:div w:id="1697003012">
      <w:bodyDiv w:val="1"/>
      <w:marLeft w:val="0"/>
      <w:marRight w:val="0"/>
      <w:marTop w:val="0"/>
      <w:marBottom w:val="0"/>
      <w:divBdr>
        <w:top w:val="none" w:sz="0" w:space="0" w:color="auto"/>
        <w:left w:val="none" w:sz="0" w:space="0" w:color="auto"/>
        <w:bottom w:val="none" w:sz="0" w:space="0" w:color="auto"/>
        <w:right w:val="none" w:sz="0" w:space="0" w:color="auto"/>
      </w:divBdr>
      <w:divsChild>
        <w:div w:id="190460487">
          <w:marLeft w:val="0"/>
          <w:marRight w:val="0"/>
          <w:marTop w:val="0"/>
          <w:marBottom w:val="0"/>
          <w:divBdr>
            <w:top w:val="none" w:sz="0" w:space="0" w:color="auto"/>
            <w:left w:val="none" w:sz="0" w:space="0" w:color="auto"/>
            <w:bottom w:val="none" w:sz="0" w:space="0" w:color="auto"/>
            <w:right w:val="none" w:sz="0" w:space="0" w:color="auto"/>
          </w:divBdr>
          <w:divsChild>
            <w:div w:id="232667467">
              <w:marLeft w:val="0"/>
              <w:marRight w:val="0"/>
              <w:marTop w:val="0"/>
              <w:marBottom w:val="0"/>
              <w:divBdr>
                <w:top w:val="none" w:sz="0" w:space="0" w:color="auto"/>
                <w:left w:val="none" w:sz="0" w:space="0" w:color="auto"/>
                <w:bottom w:val="none" w:sz="0" w:space="0" w:color="auto"/>
                <w:right w:val="none" w:sz="0" w:space="0" w:color="auto"/>
              </w:divBdr>
            </w:div>
            <w:div w:id="1372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1733">
      <w:bodyDiv w:val="1"/>
      <w:marLeft w:val="0"/>
      <w:marRight w:val="0"/>
      <w:marTop w:val="0"/>
      <w:marBottom w:val="0"/>
      <w:divBdr>
        <w:top w:val="none" w:sz="0" w:space="0" w:color="auto"/>
        <w:left w:val="none" w:sz="0" w:space="0" w:color="auto"/>
        <w:bottom w:val="none" w:sz="0" w:space="0" w:color="auto"/>
        <w:right w:val="none" w:sz="0" w:space="0" w:color="auto"/>
      </w:divBdr>
    </w:div>
    <w:div w:id="1756396483">
      <w:bodyDiv w:val="1"/>
      <w:marLeft w:val="0"/>
      <w:marRight w:val="0"/>
      <w:marTop w:val="0"/>
      <w:marBottom w:val="0"/>
      <w:divBdr>
        <w:top w:val="none" w:sz="0" w:space="0" w:color="auto"/>
        <w:left w:val="none" w:sz="0" w:space="0" w:color="auto"/>
        <w:bottom w:val="none" w:sz="0" w:space="0" w:color="auto"/>
        <w:right w:val="none" w:sz="0" w:space="0" w:color="auto"/>
      </w:divBdr>
    </w:div>
    <w:div w:id="19371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c-uk.org/-/media/gmc-site-images/about/how-we-work/corporate-strategy/corporate_strategy_document_final_en_04122020.pdf?la=en&amp;hash=14FD21EE6A9161A4DB390AE2AFC3C470E50FB12D" TargetMode="External"/><Relationship Id="rId13" Type="http://schemas.openxmlformats.org/officeDocument/2006/relationships/hyperlink" Target="file:///C:\Users\ltivey\AppData\Local\Microsoft\Windows\INetCache\Content.Outlook\EJ6BS4MO\Consultation%20design%20second%20proposal%20-%20FINAL%20DRAFT.pptx" TargetMode="External"/><Relationship Id="rId18" Type="http://schemas.openxmlformats.org/officeDocument/2006/relationships/hyperlink" Target="https://www.gmc-uk.org/-/media/documents/GMC_Employer_referrals_report_FINAL_01.03.17.pdf_69525003.pdf" TargetMode="External"/><Relationship Id="rId26" Type="http://schemas.openxmlformats.org/officeDocument/2006/relationships/hyperlink" Target="https://www.gmc-uk.org/-/media/documents/what-our-data-tells-us-about-locum-doctors_pdf-74371150.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mc-uk.org/about/what-we-do-and-why/data-and-research/research-and-insight-archive/what-are-doctors-views-on-fairness-and-the-gmc" TargetMode="External"/><Relationship Id="rId34" Type="http://schemas.openxmlformats.org/officeDocument/2006/relationships/hyperlink" Target="https://www.hsj.co.uk/health-inequalities/revealed-the-evidence-which-shows-poorer-and-ethnic-minority-patients-wait-longer-for-nhs-care/7031758.article?sm=7031758" TargetMode="External"/><Relationship Id="rId7" Type="http://schemas.openxmlformats.org/officeDocument/2006/relationships/endnotes" Target="endnotes.xml"/><Relationship Id="rId12" Type="http://schemas.openxmlformats.org/officeDocument/2006/relationships/hyperlink" Target="https://www.gmc-uk.org/about/how-we-work/outreach" TargetMode="External"/><Relationship Id="rId17" Type="http://schemas.openxmlformats.org/officeDocument/2006/relationships/hyperlink" Target="https://www.gmc-uk.org/-/media/documents/fair-to-refer-report_pdf-79011677.pdf" TargetMode="External"/><Relationship Id="rId25" Type="http://schemas.openxmlformats.org/officeDocument/2006/relationships/hyperlink" Target="https://www.gmc-uk.org/-/media/documents/insight-paper---sas-and-leds---final-with-cover.pdf" TargetMode="External"/><Relationship Id="rId33" Type="http://schemas.openxmlformats.org/officeDocument/2006/relationships/hyperlink" Target="https://documents.manchester.ac.uk/display.aspx?DocID=5516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mc-uk.org/-/media/documents/caring-for-doctors-caring-for-patients_pdf-80706341.pdf" TargetMode="External"/><Relationship Id="rId20" Type="http://schemas.openxmlformats.org/officeDocument/2006/relationships/hyperlink" Target="https://www.gmc-uk.org/-/media/documents/what-it-means-to-be-a-doctor-report_pdf-79704293.pdf" TargetMode="External"/><Relationship Id="rId29" Type="http://schemas.openxmlformats.org/officeDocument/2006/relationships/hyperlink" Target="https://fabians.org.uk/wp-content/uploads/2021/09/Prescription-for-fairness-web-fi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mc-uk.org/about/how-we-work/regulatory-reform" TargetMode="External"/><Relationship Id="rId24" Type="http://schemas.openxmlformats.org/officeDocument/2006/relationships/hyperlink" Target="https://www.gmc-uk.org/education/standards-guidance-and-curricula/projects/survey-of-specialty-and-associate-specialist-and-locally-employed-doctors" TargetMode="External"/><Relationship Id="rId32" Type="http://schemas.openxmlformats.org/officeDocument/2006/relationships/hyperlink" Target="https://www.nhsrho.org/wp-content/uploads/2021/12/SUPPORTING-HI-LEADS-REPORT.v7.pdf" TargetMode="External"/><Relationship Id="rId37" Type="http://schemas.openxmlformats.org/officeDocument/2006/relationships/hyperlink" Target="https://heeoe.hee.nhs.uk/sites/default/files/hee_enhance_handbook_002.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ma.org.uk/media/4487/sexism-in-medicine-bma-report.pdf" TargetMode="External"/><Relationship Id="rId23" Type="http://schemas.openxmlformats.org/officeDocument/2006/relationships/hyperlink" Target="https://sushrutajnl.net/index.php/sushruta/article/view/113/215" TargetMode="External"/><Relationship Id="rId28" Type="http://schemas.openxmlformats.org/officeDocument/2006/relationships/hyperlink" Target="https://www.nhsrho.org/publications/nhs-race-health-observatory-terminology-consultation-report/" TargetMode="External"/><Relationship Id="rId36" Type="http://schemas.openxmlformats.org/officeDocument/2006/relationships/hyperlink" Target="https://www.nhsrho.org/publications/ethnic-inequalities-in-healthcare-a-rapid-evidence-review/" TargetMode="External"/><Relationship Id="rId10" Type="http://schemas.openxmlformats.org/officeDocument/2006/relationships/hyperlink" Target="https://icecreates.com/" TargetMode="External"/><Relationship Id="rId19" Type="http://schemas.openxmlformats.org/officeDocument/2006/relationships/hyperlink" Target="https://www.mcnz.org.nz/assets/standards/b71d139dca/Statement-on-cultural-safety.pdf" TargetMode="External"/><Relationship Id="rId31" Type="http://schemas.openxmlformats.org/officeDocument/2006/relationships/hyperlink" Target="https://www.nhsconfed.org/sites/default/files/2021-09/Building-back-inclusively.pdf?utm_source=The%20King%27s%20Fund%20newsletters%20%28main%20account%29&amp;utm_medium=email&amp;utm_campaign=12680743_NEWSL_HMP%202021-09-28&amp;dm_i=21A8,7JSIV,2DJC5A,UQYVH,1" TargetMode="External"/><Relationship Id="rId4" Type="http://schemas.openxmlformats.org/officeDocument/2006/relationships/settings" Target="settings.xml"/><Relationship Id="rId9" Type="http://schemas.openxmlformats.org/officeDocument/2006/relationships/hyperlink" Target="https://www.gmc-uk.org/about/how-we-work/governance/advisory-forums/strategic-equality-diversity-and-inclusion-forum" TargetMode="External"/><Relationship Id="rId14" Type="http://schemas.openxmlformats.org/officeDocument/2006/relationships/hyperlink" Target="https://www.nhsrho.org/wp-content/uploads/2022/02/RHO-Rapid-Review-Final-Report_Summary_v.4.pdf" TargetMode="External"/><Relationship Id="rId22" Type="http://schemas.openxmlformats.org/officeDocument/2006/relationships/hyperlink" Target="https://clicktime.symantec.com/3JAAtZYV1DbesGwXm9Xk4zh6H2?u=https%3A%2F%2Fwww.thephysician.uk%2Fdifferential-attainment-themes-contribute" TargetMode="External"/><Relationship Id="rId27" Type="http://schemas.openxmlformats.org/officeDocument/2006/relationships/hyperlink" Target="https://www.gmc-uk.org/-/media/documents/welcomed-and-valued-2021-english_pdf-86053468.pdf" TargetMode="External"/><Relationship Id="rId30" Type="http://schemas.openxmlformats.org/officeDocument/2006/relationships/hyperlink" Target="https://www.rcplondon.ac.uk/news/professor-chris-whitty-gives-inaugural-odonoghue-lecture-health-disparities" TargetMode="External"/><Relationship Id="rId35" Type="http://schemas.openxmlformats.org/officeDocument/2006/relationships/hyperlink" Target="https://www.england.nhs.uk/coronavirus/wp-content/uploads/sites/52/2022/02/C1466-delivery-plan-for-tackling-the-covid-19-backlog-of-elective-care.pdf?utm_source=The%20King%27s%20Fund%20newsletters%20%28main%20account%29&amp;utm_medium=email&amp;utm_campaign=12982430_NEWSL_HMP%202022-02-11&amp;dm_i=21A8,7Q9B2,2DJC5A,VIG8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4E69-5441-4AE2-AEC4-0B19699C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GMC General</Template>
  <TotalTime>2</TotalTime>
  <Pages>25</Pages>
  <Words>8363</Words>
  <Characters>48847</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GMC Council 180107</vt:lpstr>
    </vt:vector>
  </TitlesOfParts>
  <Company>GMC</Company>
  <LinksUpToDate>false</LinksUpToDate>
  <CharactersWithSpaces>57096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Council 180107</dc:title>
  <dc:creator>Rose Clout (0161 923 6510)</dc:creator>
  <dc:description>Developed by Operandi Limited.</dc:description>
  <cp:lastModifiedBy>Laura Tivey</cp:lastModifiedBy>
  <cp:revision>2</cp:revision>
  <cp:lastPrinted>2005-05-18T15:20:00Z</cp:lastPrinted>
  <dcterms:created xsi:type="dcterms:W3CDTF">2022-04-25T20:02:00Z</dcterms:created>
  <dcterms:modified xsi:type="dcterms:W3CDTF">2022-04-25T20:02:00Z</dcterms:modified>
</cp:coreProperties>
</file>