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A0C4" w14:textId="77777777" w:rsidR="00A922C6" w:rsidRPr="009B7187" w:rsidRDefault="00A922C6" w:rsidP="00A922C6">
      <w:pPr>
        <w:pStyle w:val="Heading1"/>
      </w:pPr>
      <w:r>
        <w:t>What can you expect at PLAB Part 2 transcript</w:t>
      </w:r>
    </w:p>
    <w:p w14:paraId="4360505C" w14:textId="77777777" w:rsidR="00A24989" w:rsidRPr="008B3434" w:rsidRDefault="00A24989" w:rsidP="00A24989">
      <w:pPr>
        <w:rPr>
          <w:rFonts w:cs="Tahoma"/>
          <w:bCs/>
          <w:iCs/>
          <w:color w:val="auto"/>
          <w:kern w:val="32"/>
        </w:rPr>
      </w:pPr>
      <w:r>
        <w:rPr>
          <w:rFonts w:cs="Tahoma"/>
          <w:b/>
          <w:bCs/>
          <w:iCs/>
          <w:color w:val="auto"/>
          <w:kern w:val="32"/>
        </w:rPr>
        <w:t xml:space="preserve">Narrator: </w:t>
      </w:r>
      <w:r w:rsidRPr="008B3434">
        <w:rPr>
          <w:rFonts w:cs="Tahoma"/>
          <w:bCs/>
          <w:iCs/>
          <w:color w:val="auto"/>
          <w:kern w:val="32"/>
        </w:rPr>
        <w:t>Welcome to the GMC's PLAB objective structured clinical examination, the OSCE. This video will explain everything you need to know about the way the exam works.</w:t>
      </w:r>
    </w:p>
    <w:p w14:paraId="60F7B6B5" w14:textId="77777777" w:rsidR="00A24989" w:rsidRPr="008B3434" w:rsidRDefault="00A24989" w:rsidP="00A24989">
      <w:pPr>
        <w:rPr>
          <w:rFonts w:cs="Tahoma"/>
          <w:bCs/>
          <w:iCs/>
          <w:color w:val="auto"/>
          <w:kern w:val="32"/>
        </w:rPr>
      </w:pPr>
      <w:r w:rsidRPr="008B3434">
        <w:rPr>
          <w:rFonts w:cs="Tahoma"/>
          <w:bCs/>
          <w:iCs/>
          <w:color w:val="auto"/>
          <w:kern w:val="32"/>
        </w:rPr>
        <w:t>The test consists of a series of clinical scenarios, these will test you in a mock consultation setting to reflect how you would apply your knowledge and skills in real life. You may be feeling worried about taking the test but remember you will have done most of the clinical tasks many times before with real patients.</w:t>
      </w:r>
    </w:p>
    <w:p w14:paraId="1A291D11" w14:textId="77777777" w:rsidR="00A24989" w:rsidRPr="008B3434" w:rsidRDefault="00A24989" w:rsidP="00A24989">
      <w:pPr>
        <w:rPr>
          <w:rFonts w:cs="Tahoma"/>
          <w:bCs/>
          <w:iCs/>
          <w:color w:val="auto"/>
          <w:kern w:val="32"/>
        </w:rPr>
      </w:pPr>
      <w:r w:rsidRPr="008B3434">
        <w:rPr>
          <w:rFonts w:cs="Tahoma"/>
          <w:bCs/>
          <w:iCs/>
          <w:color w:val="auto"/>
          <w:kern w:val="32"/>
        </w:rPr>
        <w:t>Members of our team are here to help you throughout the test, to make sure you have everything you need. Please feel free to speak to us if we can help you. You will receive an email before you attend the test. You must read this as it contains important information about the day, including the time you need to arrive.</w:t>
      </w:r>
    </w:p>
    <w:p w14:paraId="364CCA73" w14:textId="77777777" w:rsidR="00A24989" w:rsidRPr="008B3434" w:rsidRDefault="00A24989" w:rsidP="00A24989">
      <w:pPr>
        <w:rPr>
          <w:rFonts w:cs="Tahoma"/>
          <w:bCs/>
          <w:iCs/>
          <w:color w:val="auto"/>
          <w:kern w:val="32"/>
        </w:rPr>
      </w:pPr>
      <w:r w:rsidRPr="008B3434">
        <w:rPr>
          <w:rFonts w:cs="Tahoma"/>
          <w:bCs/>
          <w:iCs/>
          <w:color w:val="auto"/>
          <w:kern w:val="32"/>
        </w:rPr>
        <w:t>It's also important you're aware of the current measures we have in place to make sure our clinical assessment centr</w:t>
      </w:r>
      <w:r>
        <w:rPr>
          <w:rFonts w:cs="Tahoma"/>
          <w:bCs/>
          <w:iCs/>
          <w:color w:val="auto"/>
          <w:kern w:val="32"/>
        </w:rPr>
        <w:t>e</w:t>
      </w:r>
      <w:r w:rsidRPr="008B3434">
        <w:rPr>
          <w:rFonts w:cs="Tahoma"/>
          <w:bCs/>
          <w:iCs/>
          <w:color w:val="auto"/>
          <w:kern w:val="32"/>
        </w:rPr>
        <w:t xml:space="preserve"> is safe during the coronavirus pandemic. We have made additions to the centre to help us keep each other safe such as signs to remind us to keep our distance and screens at reception. We will also ask you to wear a face covering in certain areas and to regularly use the hand sanitizer provided throughout the centre. We may also implement further safety measures should we be required to do so. You should not attend the exam if you have any coronavirus symptoms or have been asked to self-isolate or quarantine. You should check the quarantine requirements if you are traveling from overseas before you book your test date. Our priority is the safety of everyone attending the centre.</w:t>
      </w:r>
    </w:p>
    <w:p w14:paraId="3AFF7D3D" w14:textId="77777777" w:rsidR="00A24989" w:rsidRPr="008B3434" w:rsidRDefault="00A24989" w:rsidP="00A24989">
      <w:pPr>
        <w:rPr>
          <w:rFonts w:cs="Tahoma"/>
          <w:bCs/>
          <w:iCs/>
          <w:color w:val="auto"/>
          <w:kern w:val="32"/>
        </w:rPr>
      </w:pPr>
      <w:r w:rsidRPr="008B3434">
        <w:rPr>
          <w:rFonts w:cs="Tahoma"/>
          <w:bCs/>
          <w:iCs/>
          <w:color w:val="auto"/>
          <w:kern w:val="32"/>
        </w:rPr>
        <w:t>The test will be held at our clinical assessment centr</w:t>
      </w:r>
      <w:r>
        <w:rPr>
          <w:rFonts w:cs="Tahoma"/>
          <w:bCs/>
          <w:iCs/>
          <w:color w:val="auto"/>
          <w:kern w:val="32"/>
        </w:rPr>
        <w:t>e</w:t>
      </w:r>
      <w:r w:rsidRPr="008B3434">
        <w:rPr>
          <w:rFonts w:cs="Tahoma"/>
          <w:bCs/>
          <w:iCs/>
          <w:color w:val="auto"/>
          <w:kern w:val="32"/>
        </w:rPr>
        <w:t xml:space="preserve"> in Manchester. When you arrive the person at the front desk will guide you to the GMC's reception. At the GMC reception, a member of our team will provide you with a name badge. It's </w:t>
      </w:r>
      <w:proofErr w:type="gramStart"/>
      <w:r w:rsidRPr="008B3434">
        <w:rPr>
          <w:rFonts w:cs="Tahoma"/>
          <w:bCs/>
          <w:iCs/>
          <w:color w:val="auto"/>
          <w:kern w:val="32"/>
        </w:rPr>
        <w:t>really important</w:t>
      </w:r>
      <w:proofErr w:type="gramEnd"/>
      <w:r w:rsidRPr="008B3434">
        <w:rPr>
          <w:rFonts w:cs="Tahoma"/>
          <w:bCs/>
          <w:iCs/>
          <w:color w:val="auto"/>
          <w:kern w:val="32"/>
        </w:rPr>
        <w:t xml:space="preserve"> you wear your name badge at all times as it shows your GMC number, which circuit you are on and the number of the station where you will start.</w:t>
      </w:r>
    </w:p>
    <w:p w14:paraId="7674505E" w14:textId="77777777" w:rsidR="00A24989" w:rsidRPr="008B3434" w:rsidRDefault="00A24989" w:rsidP="00A24989">
      <w:pPr>
        <w:rPr>
          <w:rFonts w:cs="Tahoma"/>
          <w:bCs/>
          <w:iCs/>
          <w:color w:val="auto"/>
          <w:kern w:val="32"/>
        </w:rPr>
      </w:pPr>
      <w:r w:rsidRPr="008B3434">
        <w:rPr>
          <w:rFonts w:cs="Tahoma"/>
          <w:bCs/>
          <w:iCs/>
          <w:color w:val="auto"/>
          <w:kern w:val="32"/>
        </w:rPr>
        <w:t xml:space="preserve">You will also need to provide your identification so that we can complete an ID check while you are undertaking the test. It's important that you bring the correct documents with you, your identification can be a passport, a UK driving license or an EU identity card. Those with refugee status may also provide a biometric residence permit, remember the document must be original and show your photograph. We will also take a photo of you in our reception area. For information about these documents please visit our website or </w:t>
      </w:r>
      <w:proofErr w:type="gramStart"/>
      <w:r w:rsidRPr="008B3434">
        <w:rPr>
          <w:rFonts w:cs="Tahoma"/>
          <w:bCs/>
          <w:iCs/>
          <w:color w:val="auto"/>
          <w:kern w:val="32"/>
        </w:rPr>
        <w:t>take a look</w:t>
      </w:r>
      <w:proofErr w:type="gramEnd"/>
      <w:r w:rsidRPr="008B3434">
        <w:rPr>
          <w:rFonts w:cs="Tahoma"/>
          <w:bCs/>
          <w:iCs/>
          <w:color w:val="auto"/>
          <w:kern w:val="32"/>
        </w:rPr>
        <w:t xml:space="preserve"> at the confirmation email sent to you via GMC online. You won't need to take anything with you into the exam, not even your own medical equipment. We will give you everything that you need. You will need to switch off your mobile phone and place it in the locker with all your other belongings including any other electronic equipment, pens, pencils, reading materials and wrist watches. Whilst we </w:t>
      </w:r>
      <w:r w:rsidRPr="008B3434">
        <w:rPr>
          <w:rFonts w:cs="Tahoma"/>
          <w:bCs/>
          <w:iCs/>
          <w:color w:val="auto"/>
          <w:kern w:val="32"/>
        </w:rPr>
        <w:lastRenderedPageBreak/>
        <w:t xml:space="preserve">offer secure </w:t>
      </w:r>
      <w:proofErr w:type="gramStart"/>
      <w:r w:rsidRPr="008B3434">
        <w:rPr>
          <w:rFonts w:cs="Tahoma"/>
          <w:bCs/>
          <w:iCs/>
          <w:color w:val="auto"/>
          <w:kern w:val="32"/>
        </w:rPr>
        <w:t>storage</w:t>
      </w:r>
      <w:proofErr w:type="gramEnd"/>
      <w:r w:rsidRPr="008B3434">
        <w:rPr>
          <w:rFonts w:cs="Tahoma"/>
          <w:bCs/>
          <w:iCs/>
          <w:color w:val="auto"/>
          <w:kern w:val="32"/>
        </w:rPr>
        <w:t xml:space="preserve"> we cannot be responsible for your items, so please bring as few personal belongings as possible. We will then take you to the waiting area. While you are waiting for the exam to start you can use the toilet facilities in the lift lobby area. </w:t>
      </w:r>
      <w:proofErr w:type="gramStart"/>
      <w:r w:rsidRPr="008B3434">
        <w:rPr>
          <w:rFonts w:cs="Tahoma"/>
          <w:bCs/>
          <w:iCs/>
          <w:color w:val="auto"/>
          <w:kern w:val="32"/>
        </w:rPr>
        <w:t>Otherwise</w:t>
      </w:r>
      <w:proofErr w:type="gramEnd"/>
      <w:r w:rsidRPr="008B3434">
        <w:rPr>
          <w:rFonts w:cs="Tahoma"/>
          <w:bCs/>
          <w:iCs/>
          <w:color w:val="auto"/>
          <w:kern w:val="32"/>
        </w:rPr>
        <w:t xml:space="preserve"> you must remain seated to maintain a safe distance from others at all times.</w:t>
      </w:r>
    </w:p>
    <w:p w14:paraId="673C23BA" w14:textId="77777777" w:rsidR="00A24989" w:rsidRPr="008B3434" w:rsidRDefault="00A24989" w:rsidP="00A24989">
      <w:pPr>
        <w:rPr>
          <w:rFonts w:cs="Tahoma"/>
          <w:bCs/>
          <w:iCs/>
          <w:color w:val="auto"/>
          <w:kern w:val="32"/>
        </w:rPr>
      </w:pPr>
      <w:r w:rsidRPr="008B3434">
        <w:rPr>
          <w:rFonts w:cs="Tahoma"/>
          <w:bCs/>
          <w:iCs/>
          <w:color w:val="auto"/>
          <w:kern w:val="32"/>
        </w:rPr>
        <w:t xml:space="preserve">When we are ready to start the test, we will take you through to the clinical assessment centre before you enter the circuit. We will ask candidates to line up in order based on the station number you are starting at. It is important that you do not move place once you are in line. Before entering the </w:t>
      </w:r>
      <w:proofErr w:type="gramStart"/>
      <w:r w:rsidRPr="008B3434">
        <w:rPr>
          <w:rFonts w:cs="Tahoma"/>
          <w:bCs/>
          <w:iCs/>
          <w:color w:val="auto"/>
          <w:kern w:val="32"/>
        </w:rPr>
        <w:t>circuit</w:t>
      </w:r>
      <w:proofErr w:type="gramEnd"/>
      <w:r w:rsidRPr="008B3434">
        <w:rPr>
          <w:rFonts w:cs="Tahoma"/>
          <w:bCs/>
          <w:iCs/>
          <w:color w:val="auto"/>
          <w:kern w:val="32"/>
        </w:rPr>
        <w:t xml:space="preserve"> we will use a metal detector to ensure that there are no electronic aids taken into the exam. You will be guided through to the exam area where you will see a circuit of OSCE stations each with its own number. You will be taken to your first station. Please wait outside this station until every candidate is in place and then we will begin the exam. You will have 90 seconds to read the instructions and review any patient information that is displayed on the wall outside each station. At the end of the 90 seconds there will be an announcement to begin. [announcement] Begin, please enter the room [ends] and you may go into the station. Examiners will need to check they are marking the right </w:t>
      </w:r>
      <w:proofErr w:type="gramStart"/>
      <w:r w:rsidRPr="008B3434">
        <w:rPr>
          <w:rFonts w:cs="Tahoma"/>
          <w:bCs/>
          <w:iCs/>
          <w:color w:val="auto"/>
          <w:kern w:val="32"/>
        </w:rPr>
        <w:t>candidate,</w:t>
      </w:r>
      <w:proofErr w:type="gramEnd"/>
      <w:r w:rsidRPr="008B3434">
        <w:rPr>
          <w:rFonts w:cs="Tahoma"/>
          <w:bCs/>
          <w:iCs/>
          <w:color w:val="auto"/>
          <w:kern w:val="32"/>
        </w:rPr>
        <w:t xml:space="preserve"> therefore you must read out your name and number when you enter the room. Once you have done this you can then begin the clinical task described in the instructions. There's another copy of the instructions and patient information inside the station.</w:t>
      </w:r>
    </w:p>
    <w:p w14:paraId="093380E6" w14:textId="77777777" w:rsidR="00A24989" w:rsidRPr="008B3434" w:rsidRDefault="00A24989" w:rsidP="00A24989">
      <w:pPr>
        <w:rPr>
          <w:rFonts w:cs="Tahoma"/>
          <w:bCs/>
          <w:iCs/>
          <w:color w:val="auto"/>
          <w:kern w:val="32"/>
        </w:rPr>
      </w:pPr>
      <w:r w:rsidRPr="008B3434">
        <w:rPr>
          <w:rFonts w:cs="Tahoma"/>
          <w:bCs/>
          <w:iCs/>
          <w:color w:val="auto"/>
          <w:kern w:val="32"/>
        </w:rPr>
        <w:t xml:space="preserve">After six minutes there will be an announcement warning you that you have two minutes remaining to complete the task. [announcement] two minutes remaining [ends] Please stay in the station even if you have already finished and wait for the announcement to move on. [announcement] Move on to the next station [ends] You must now leave the station and go to the next one. You move on in numerical order. To help remind you which direction to move in there are floor signs pointing to the direction you need to go. You have 90 seconds to get to your next station and to read the instructions there. When you hear the announcement to begin </w:t>
      </w:r>
      <w:proofErr w:type="gramStart"/>
      <w:r w:rsidRPr="008B3434">
        <w:rPr>
          <w:rFonts w:cs="Tahoma"/>
          <w:bCs/>
          <w:iCs/>
          <w:color w:val="auto"/>
          <w:kern w:val="32"/>
        </w:rPr>
        <w:t>enter</w:t>
      </w:r>
      <w:proofErr w:type="gramEnd"/>
      <w:r w:rsidRPr="008B3434">
        <w:rPr>
          <w:rFonts w:cs="Tahoma"/>
          <w:bCs/>
          <w:iCs/>
          <w:color w:val="auto"/>
          <w:kern w:val="32"/>
        </w:rPr>
        <w:t xml:space="preserve"> the station [announcement] begin please enter the room [ends].</w:t>
      </w:r>
    </w:p>
    <w:p w14:paraId="17E4A15E" w14:textId="77777777" w:rsidR="00A24989" w:rsidRPr="008B3434" w:rsidRDefault="00A24989" w:rsidP="00A24989">
      <w:pPr>
        <w:rPr>
          <w:rFonts w:cs="Tahoma"/>
          <w:bCs/>
          <w:iCs/>
          <w:color w:val="auto"/>
          <w:kern w:val="32"/>
        </w:rPr>
      </w:pPr>
      <w:r w:rsidRPr="008B3434">
        <w:rPr>
          <w:rFonts w:cs="Tahoma"/>
          <w:bCs/>
          <w:iCs/>
          <w:color w:val="auto"/>
          <w:kern w:val="32"/>
        </w:rPr>
        <w:t xml:space="preserve">This cycle goes on until you have visited all the stations. The whole exam will take around three hours. At some of the stations you'll find an actor playing the part of a patient, relative or healthcare professional. They may be in the </w:t>
      </w:r>
      <w:proofErr w:type="gramStart"/>
      <w:r w:rsidRPr="008B3434">
        <w:rPr>
          <w:rFonts w:cs="Tahoma"/>
          <w:bCs/>
          <w:iCs/>
          <w:color w:val="auto"/>
          <w:kern w:val="32"/>
        </w:rPr>
        <w:t>room</w:t>
      </w:r>
      <w:proofErr w:type="gramEnd"/>
      <w:r w:rsidRPr="008B3434">
        <w:rPr>
          <w:rFonts w:cs="Tahoma"/>
          <w:bCs/>
          <w:iCs/>
          <w:color w:val="auto"/>
          <w:kern w:val="32"/>
        </w:rPr>
        <w:t xml:space="preserve"> or you may need to speak to them via telephone. Where there is a telephone, it is important you don't touch this, it will already be set up for you. Where you need to carry out an intimate examination or invasive practical procedure there will be a model or a mannequin.</w:t>
      </w:r>
    </w:p>
    <w:p w14:paraId="390F5443" w14:textId="77777777" w:rsidR="00A24989" w:rsidRPr="008B3434" w:rsidRDefault="00A24989" w:rsidP="00A24989">
      <w:pPr>
        <w:rPr>
          <w:rFonts w:cs="Tahoma"/>
          <w:bCs/>
          <w:iCs/>
          <w:color w:val="auto"/>
          <w:kern w:val="32"/>
        </w:rPr>
      </w:pPr>
      <w:r w:rsidRPr="008B3434">
        <w:rPr>
          <w:rFonts w:cs="Tahoma"/>
          <w:bCs/>
          <w:iCs/>
          <w:color w:val="auto"/>
          <w:kern w:val="32"/>
        </w:rPr>
        <w:t xml:space="preserve">Some stations may have a patient simulator. This is a mannequin that can talk and has physical signs and symptoms. Act as you would with a real patient, there may be other equipment in the room that you would see in a clinical area such as a monitor. There may also be tape on the floor to mark out where chairs and equipment are positioned. Please do not move anything outside of these markings they are for safety purposes and to make sure the examiner can see everything they need to. Don't worry if the examiner doesn't talk to you much, they are there to observe, assess and mark your performance, not to contribute. </w:t>
      </w:r>
      <w:proofErr w:type="gramStart"/>
      <w:r w:rsidRPr="008B3434">
        <w:rPr>
          <w:rFonts w:cs="Tahoma"/>
          <w:bCs/>
          <w:iCs/>
          <w:color w:val="auto"/>
          <w:kern w:val="32"/>
        </w:rPr>
        <w:t>However</w:t>
      </w:r>
      <w:proofErr w:type="gramEnd"/>
      <w:r w:rsidRPr="008B3434">
        <w:rPr>
          <w:rFonts w:cs="Tahoma"/>
          <w:bCs/>
          <w:iCs/>
          <w:color w:val="auto"/>
          <w:kern w:val="32"/>
        </w:rPr>
        <w:t xml:space="preserve"> there are a few occasions when the examiner might speak to you [on the phone] hello [ends] he or she may have a role to play </w:t>
      </w:r>
      <w:r w:rsidRPr="008B3434">
        <w:rPr>
          <w:rFonts w:cs="Tahoma"/>
          <w:bCs/>
          <w:iCs/>
          <w:color w:val="auto"/>
          <w:kern w:val="32"/>
        </w:rPr>
        <w:lastRenderedPageBreak/>
        <w:t>being a senior doctor on the telephone for example, or you may be asked for your diagnosis. [on the phone] Could you tell me your clinical findings please? [ends]</w:t>
      </w:r>
    </w:p>
    <w:p w14:paraId="1C206243" w14:textId="77777777" w:rsidR="00A24989" w:rsidRPr="008B3434" w:rsidRDefault="00A24989" w:rsidP="00A24989">
      <w:pPr>
        <w:rPr>
          <w:rFonts w:cs="Tahoma"/>
          <w:bCs/>
          <w:iCs/>
          <w:color w:val="auto"/>
          <w:kern w:val="32"/>
        </w:rPr>
      </w:pPr>
      <w:r w:rsidRPr="008B3434">
        <w:rPr>
          <w:rFonts w:cs="Tahoma"/>
          <w:bCs/>
          <w:iCs/>
          <w:color w:val="auto"/>
          <w:kern w:val="32"/>
        </w:rPr>
        <w:t xml:space="preserve">An examiner will also interrupt if you are about to cause pain to a patient or if you aren't quite following the instructions of the task. </w:t>
      </w:r>
      <w:proofErr w:type="gramStart"/>
      <w:r w:rsidRPr="008B3434">
        <w:rPr>
          <w:rFonts w:cs="Tahoma"/>
          <w:bCs/>
          <w:iCs/>
          <w:color w:val="auto"/>
          <w:kern w:val="32"/>
        </w:rPr>
        <w:t>Doctor</w:t>
      </w:r>
      <w:proofErr w:type="gramEnd"/>
      <w:r w:rsidRPr="008B3434">
        <w:rPr>
          <w:rFonts w:cs="Tahoma"/>
          <w:bCs/>
          <w:iCs/>
          <w:color w:val="auto"/>
          <w:kern w:val="32"/>
        </w:rPr>
        <w:t xml:space="preserve"> could you re-read your instructions please?</w:t>
      </w:r>
    </w:p>
    <w:p w14:paraId="2166689A" w14:textId="77777777" w:rsidR="00A24989" w:rsidRPr="008B3434" w:rsidRDefault="00A24989" w:rsidP="00A24989">
      <w:pPr>
        <w:rPr>
          <w:rFonts w:cs="Tahoma"/>
          <w:bCs/>
          <w:iCs/>
          <w:color w:val="auto"/>
          <w:kern w:val="32"/>
        </w:rPr>
      </w:pPr>
      <w:r w:rsidRPr="008B3434">
        <w:rPr>
          <w:rFonts w:cs="Tahoma"/>
          <w:bCs/>
          <w:iCs/>
          <w:color w:val="auto"/>
          <w:kern w:val="32"/>
        </w:rPr>
        <w:t xml:space="preserve">Some of the stations are rest stations. Here there is no clinical task to carry out it's a chance to take a break, to sit, relax and have a drink of water. You may also notice some cameras in the station rooms. We may record the exam and staff will observe the exam for monitoring, quality assurance and training purposes. When everyone has visited all the stations there'll be an announcement that the exam is over. </w:t>
      </w:r>
    </w:p>
    <w:p w14:paraId="70C7A1A0" w14:textId="77777777" w:rsidR="00A24989" w:rsidRPr="008B3434" w:rsidRDefault="00A24989" w:rsidP="00A24989">
      <w:pPr>
        <w:rPr>
          <w:rFonts w:cs="Tahoma"/>
          <w:bCs/>
          <w:iCs/>
          <w:color w:val="auto"/>
          <w:kern w:val="32"/>
        </w:rPr>
      </w:pPr>
      <w:r w:rsidRPr="008B3434">
        <w:rPr>
          <w:rFonts w:cs="Tahoma"/>
          <w:bCs/>
          <w:iCs/>
          <w:color w:val="auto"/>
          <w:kern w:val="32"/>
        </w:rPr>
        <w:t>[announcement] end of the exam candidates please leave the examination hall [end]</w:t>
      </w:r>
    </w:p>
    <w:p w14:paraId="3590747B" w14:textId="77777777" w:rsidR="00A24989" w:rsidRPr="008B3434" w:rsidRDefault="00A24989" w:rsidP="00A24989">
      <w:pPr>
        <w:rPr>
          <w:rFonts w:cs="Tahoma"/>
          <w:bCs/>
          <w:iCs/>
          <w:color w:val="auto"/>
          <w:kern w:val="32"/>
        </w:rPr>
      </w:pPr>
      <w:r w:rsidRPr="008B3434">
        <w:rPr>
          <w:rFonts w:cs="Tahoma"/>
          <w:bCs/>
          <w:iCs/>
          <w:color w:val="auto"/>
          <w:kern w:val="32"/>
        </w:rPr>
        <w:t xml:space="preserve">When the exam has finished you will be asked to leave the exam circuit in a quiet and orderly way. Please follow our team's instructions to collect your belongings from your locker and your identification documents, and to hand in your badge and locker key. It is important to remember not to discuss your exam with anyone. As part of the terms and conditions you signed up to when booking your </w:t>
      </w:r>
      <w:proofErr w:type="gramStart"/>
      <w:r w:rsidRPr="008B3434">
        <w:rPr>
          <w:rFonts w:cs="Tahoma"/>
          <w:bCs/>
          <w:iCs/>
          <w:color w:val="auto"/>
          <w:kern w:val="32"/>
        </w:rPr>
        <w:t>place</w:t>
      </w:r>
      <w:proofErr w:type="gramEnd"/>
      <w:r w:rsidRPr="008B3434">
        <w:rPr>
          <w:rFonts w:cs="Tahoma"/>
          <w:bCs/>
          <w:iCs/>
          <w:color w:val="auto"/>
          <w:kern w:val="32"/>
        </w:rPr>
        <w:t xml:space="preserve"> you have agreed to not disclose exam materials and content, this applies even after the exam has ended. This means you cannot discuss the exam with your friends, family members, colleagues or on social media. Failure to comply with this can lead to your results being annulled or any application for registration being referred to the assistant registrar.</w:t>
      </w:r>
    </w:p>
    <w:p w14:paraId="01D1682E" w14:textId="77777777" w:rsidR="00A24989" w:rsidRPr="008B3434" w:rsidRDefault="00A24989" w:rsidP="00A24989">
      <w:pPr>
        <w:rPr>
          <w:rFonts w:cs="Tahoma"/>
          <w:bCs/>
          <w:iCs/>
          <w:color w:val="auto"/>
          <w:kern w:val="32"/>
        </w:rPr>
      </w:pPr>
      <w:r w:rsidRPr="008B3434">
        <w:rPr>
          <w:rFonts w:cs="Tahoma"/>
          <w:bCs/>
          <w:iCs/>
          <w:color w:val="auto"/>
          <w:kern w:val="32"/>
        </w:rPr>
        <w:t>Please leave your mobile phone switched off until you have left the building. You will be able to access your results online via GMC online. An email of your results will also be sent to your registered email address. Please make sure that your password for your GMC online account is working and if not please call our contact centre for help as soon as possible.</w:t>
      </w:r>
    </w:p>
    <w:p w14:paraId="599669DA" w14:textId="77777777" w:rsidR="00A24989" w:rsidRPr="0060198E" w:rsidRDefault="00A24989" w:rsidP="00A24989">
      <w:pPr>
        <w:rPr>
          <w:rFonts w:cs="Tahoma"/>
          <w:bCs/>
          <w:iCs/>
          <w:color w:val="auto"/>
          <w:kern w:val="32"/>
        </w:rPr>
      </w:pPr>
      <w:r w:rsidRPr="008B3434">
        <w:rPr>
          <w:rFonts w:cs="Tahoma"/>
          <w:bCs/>
          <w:iCs/>
          <w:color w:val="auto"/>
          <w:kern w:val="32"/>
        </w:rPr>
        <w:t>And finally relax. You will have done most of these tasks many times before and with real patients in the real world. Don't forget if you pass the OSCE, you will be entitled to book onto a free welcome to UK practice workshop. Find out more by visiting our website.</w:t>
      </w:r>
    </w:p>
    <w:p w14:paraId="058E1975" w14:textId="397B1EFB" w:rsidR="006E7419" w:rsidRPr="00CA7C61" w:rsidRDefault="006E7419" w:rsidP="00A24989"/>
    <w:sectPr w:rsidR="006E7419" w:rsidRPr="00CA7C6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D05BC"/>
    <w:multiLevelType w:val="hybridMultilevel"/>
    <w:tmpl w:val="77BC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5"/>
  </w:num>
  <w:num w:numId="2" w16cid:durableId="1437169813">
    <w:abstractNumId w:val="12"/>
  </w:num>
  <w:num w:numId="3" w16cid:durableId="1361007901">
    <w:abstractNumId w:val="10"/>
  </w:num>
  <w:num w:numId="4" w16cid:durableId="1882790829">
    <w:abstractNumId w:val="9"/>
  </w:num>
  <w:num w:numId="5" w16cid:durableId="1429278252">
    <w:abstractNumId w:val="1"/>
  </w:num>
  <w:num w:numId="6" w16cid:durableId="1268200635">
    <w:abstractNumId w:val="19"/>
  </w:num>
  <w:num w:numId="7" w16cid:durableId="872115269">
    <w:abstractNumId w:val="16"/>
  </w:num>
  <w:num w:numId="8" w16cid:durableId="1157526610">
    <w:abstractNumId w:val="0"/>
  </w:num>
  <w:num w:numId="9" w16cid:durableId="1335960115">
    <w:abstractNumId w:val="13"/>
  </w:num>
  <w:num w:numId="10" w16cid:durableId="1819373949">
    <w:abstractNumId w:val="2"/>
  </w:num>
  <w:num w:numId="11" w16cid:durableId="1028600819">
    <w:abstractNumId w:val="6"/>
  </w:num>
  <w:num w:numId="12" w16cid:durableId="1338995917">
    <w:abstractNumId w:val="17"/>
  </w:num>
  <w:num w:numId="13" w16cid:durableId="319697357">
    <w:abstractNumId w:val="3"/>
  </w:num>
  <w:num w:numId="14" w16cid:durableId="2140419225">
    <w:abstractNumId w:val="18"/>
  </w:num>
  <w:num w:numId="15" w16cid:durableId="1446540403">
    <w:abstractNumId w:val="14"/>
  </w:num>
  <w:num w:numId="16" w16cid:durableId="1486507373">
    <w:abstractNumId w:val="5"/>
  </w:num>
  <w:num w:numId="17" w16cid:durableId="1655332848">
    <w:abstractNumId w:val="4"/>
  </w:num>
  <w:num w:numId="18" w16cid:durableId="581764453">
    <w:abstractNumId w:val="8"/>
  </w:num>
  <w:num w:numId="19" w16cid:durableId="1777675949">
    <w:abstractNumId w:val="11"/>
  </w:num>
  <w:num w:numId="20" w16cid:durableId="1095134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D7B7D"/>
    <w:rsid w:val="000F4142"/>
    <w:rsid w:val="000F774C"/>
    <w:rsid w:val="00103B10"/>
    <w:rsid w:val="00176C37"/>
    <w:rsid w:val="001B0AD7"/>
    <w:rsid w:val="001C7D86"/>
    <w:rsid w:val="001F430A"/>
    <w:rsid w:val="002100DD"/>
    <w:rsid w:val="00223BB0"/>
    <w:rsid w:val="00223E4D"/>
    <w:rsid w:val="00240078"/>
    <w:rsid w:val="00281C14"/>
    <w:rsid w:val="002A447D"/>
    <w:rsid w:val="002B2608"/>
    <w:rsid w:val="002B6128"/>
    <w:rsid w:val="002C0D5E"/>
    <w:rsid w:val="002D7662"/>
    <w:rsid w:val="002F5561"/>
    <w:rsid w:val="003014E9"/>
    <w:rsid w:val="00302AC4"/>
    <w:rsid w:val="003174C5"/>
    <w:rsid w:val="00320822"/>
    <w:rsid w:val="00334B36"/>
    <w:rsid w:val="00346C6B"/>
    <w:rsid w:val="00350A7D"/>
    <w:rsid w:val="00354E68"/>
    <w:rsid w:val="003804FA"/>
    <w:rsid w:val="003D07D4"/>
    <w:rsid w:val="004335EA"/>
    <w:rsid w:val="0049648A"/>
    <w:rsid w:val="004A3B0A"/>
    <w:rsid w:val="004E11FE"/>
    <w:rsid w:val="004E513F"/>
    <w:rsid w:val="004F196F"/>
    <w:rsid w:val="005922CA"/>
    <w:rsid w:val="005A0E1B"/>
    <w:rsid w:val="005A6C49"/>
    <w:rsid w:val="005C2553"/>
    <w:rsid w:val="005C72A7"/>
    <w:rsid w:val="005D50BF"/>
    <w:rsid w:val="005E0F3B"/>
    <w:rsid w:val="00621C24"/>
    <w:rsid w:val="006C593A"/>
    <w:rsid w:val="006E625E"/>
    <w:rsid w:val="006E7419"/>
    <w:rsid w:val="006F096B"/>
    <w:rsid w:val="007001C9"/>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36C33"/>
    <w:rsid w:val="009875C3"/>
    <w:rsid w:val="00A11950"/>
    <w:rsid w:val="00A24989"/>
    <w:rsid w:val="00A37B9A"/>
    <w:rsid w:val="00A37F0D"/>
    <w:rsid w:val="00A47BF8"/>
    <w:rsid w:val="00A52F18"/>
    <w:rsid w:val="00A54BC5"/>
    <w:rsid w:val="00A63685"/>
    <w:rsid w:val="00A67175"/>
    <w:rsid w:val="00A75C08"/>
    <w:rsid w:val="00A76F14"/>
    <w:rsid w:val="00A9160D"/>
    <w:rsid w:val="00A922C6"/>
    <w:rsid w:val="00AC363C"/>
    <w:rsid w:val="00B1132A"/>
    <w:rsid w:val="00B33B1A"/>
    <w:rsid w:val="00B736E9"/>
    <w:rsid w:val="00B74590"/>
    <w:rsid w:val="00BE68B8"/>
    <w:rsid w:val="00C434B1"/>
    <w:rsid w:val="00C65837"/>
    <w:rsid w:val="00C673BC"/>
    <w:rsid w:val="00C81A82"/>
    <w:rsid w:val="00CA7C61"/>
    <w:rsid w:val="00CB5810"/>
    <w:rsid w:val="00CD6A3B"/>
    <w:rsid w:val="00D161CF"/>
    <w:rsid w:val="00D871F3"/>
    <w:rsid w:val="00D90276"/>
    <w:rsid w:val="00E02FD1"/>
    <w:rsid w:val="00E07C44"/>
    <w:rsid w:val="00E34BC1"/>
    <w:rsid w:val="00E508D7"/>
    <w:rsid w:val="00E81B48"/>
    <w:rsid w:val="00E83BC7"/>
    <w:rsid w:val="00E85F54"/>
    <w:rsid w:val="00E90160"/>
    <w:rsid w:val="00E90575"/>
    <w:rsid w:val="00EA0CF1"/>
    <w:rsid w:val="00EB05B4"/>
    <w:rsid w:val="00EC7791"/>
    <w:rsid w:val="00EE7365"/>
    <w:rsid w:val="00F0251C"/>
    <w:rsid w:val="00F13006"/>
    <w:rsid w:val="00F2268E"/>
    <w:rsid w:val="00F30296"/>
    <w:rsid w:val="00F3629E"/>
    <w:rsid w:val="00F40AEA"/>
    <w:rsid w:val="00F532E2"/>
    <w:rsid w:val="00F5678E"/>
    <w:rsid w:val="00F60F0B"/>
    <w:rsid w:val="00F81497"/>
    <w:rsid w:val="00F854E4"/>
    <w:rsid w:val="00FC41B9"/>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2.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cp:revision>
  <dcterms:created xsi:type="dcterms:W3CDTF">2024-06-05T14:58:00Z</dcterms:created>
  <dcterms:modified xsi:type="dcterms:W3CDTF">2024-06-05T14:59:00Z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